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122.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r>
          <m:rPr>
            <m:sty m:val="p"/>
          </m:rPr>
          <m:t>=</m:t>
        </m:r>
        <m:r>
          <m:t>0.046</m:t>
        </m:r>
        <m:r>
          <m:rPr>
            <m:sty m:val="p"/>
          </m:rPr>
          <m:t>,</m:t>
        </m:r>
        <m:r>
          <m:t>p</m:t>
        </m:r>
        <m:r>
          <m:rPr>
            <m:sty m:val="p"/>
          </m:rPr>
          <m:t>=</m:t>
        </m:r>
        <m:r>
          <m:t>0.301</m:t>
        </m:r>
        <m:r>
          <m:rPr>
            <m:sty m:val="p"/>
          </m:rPr>
          <m:t>)</m:t>
        </m:r>
        <m:r>
          <m:rPr>
            <m:sty m:val="p"/>
          </m:rPr>
          <m:t>,</m:t>
        </m:r>
        <m:r>
          <m:t>g</m:t>
        </m:r>
        <m:r>
          <m:t>e</m:t>
        </m:r>
        <m:r>
          <m:t>o</m:t>
        </m:r>
        <m:r>
          <m:t>g</m:t>
        </m:r>
        <m:r>
          <m:t>r</m:t>
        </m:r>
        <m:r>
          <m:t>a</m:t>
        </m:r>
        <m:r>
          <m:t>p</m:t>
        </m:r>
        <m:r>
          <m:t>h</m:t>
        </m:r>
        <m:r>
          <m:t>i</m:t>
        </m:r>
        <m:r>
          <m:t>c</m:t>
        </m:r>
        <m:r>
          <m:t>d</m:t>
        </m:r>
        <m:r>
          <m:t>i</m:t>
        </m:r>
        <m:r>
          <m:t>s</m:t>
        </m:r>
        <m:r>
          <m:t>t</m:t>
        </m:r>
        <m:r>
          <m:t>a</m:t>
        </m:r>
        <m:r>
          <m:t>n</m:t>
        </m:r>
        <m:r>
          <m:t>c</m:t>
        </m:r>
        <m:r>
          <m:t>e</m:t>
        </m:r>
        <m:r>
          <m:t>r</m:t>
        </m:r>
        <m:r>
          <m:t>e</m:t>
        </m:r>
        <m:r>
          <m:t>m</m:t>
        </m:r>
        <m:r>
          <m:t>a</m:t>
        </m:r>
        <m:r>
          <m:t>i</m:t>
        </m:r>
        <m:r>
          <m:t>n</m:t>
        </m:r>
        <m:r>
          <m:t>s</m:t>
        </m:r>
        <m:r>
          <m:t>u</m:t>
        </m:r>
        <m:r>
          <m:t>n</m:t>
        </m:r>
        <m:r>
          <m:t>c</m:t>
        </m:r>
        <m:r>
          <m:t>o</m:t>
        </m:r>
        <m:r>
          <m:t>r</m:t>
        </m:r>
        <m:r>
          <m:t>r</m:t>
        </m:r>
        <m:r>
          <m:t>e</m:t>
        </m:r>
        <m:r>
          <m:t>l</m:t>
        </m:r>
        <m:r>
          <m:t>a</m:t>
        </m:r>
        <m:r>
          <m:t>t</m:t>
        </m:r>
        <m:r>
          <m:t>e</m:t>
        </m:r>
        <m:r>
          <m:t>d</m:t>
        </m:r>
        <m:r>
          <m:t>w</m:t>
        </m:r>
        <m:r>
          <m:t>i</m:t>
        </m:r>
        <m:r>
          <m:t>t</m:t>
        </m:r>
        <m:r>
          <m:t>h</m:t>
        </m:r>
        <m:r>
          <m:t>s</m:t>
        </m:r>
        <m:r>
          <m:t>i</m:t>
        </m:r>
        <m:r>
          <m:t>g</m:t>
        </m:r>
        <m:r>
          <m:t>n</m:t>
        </m:r>
        <m:r>
          <m:t>a</m:t>
        </m:r>
        <m:r>
          <m:t>s</m:t>
        </m:r>
        <m:r>
          <m:t>s</m:t>
        </m:r>
        <m:r>
          <m:t>e</m:t>
        </m:r>
        <m:r>
          <m:t>m</m:t>
        </m:r>
        <m:r>
          <m:t>b</m:t>
        </m:r>
        <m:r>
          <m:t>l</m:t>
        </m:r>
        <m:r>
          <m:t>a</m:t>
        </m:r>
        <m:r>
          <m:t>g</m:t>
        </m:r>
        <m:r>
          <m:t>e</m:t>
        </m:r>
        <m:r>
          <m:t>d</m:t>
        </m:r>
        <m:r>
          <m:t>i</m:t>
        </m:r>
        <m:r>
          <m:t>s</m:t>
        </m:r>
        <m:r>
          <m:t>s</m:t>
        </m:r>
        <m:r>
          <m:t>i</m:t>
        </m:r>
        <m:r>
          <m:t>m</m:t>
        </m:r>
        <m:r>
          <m:t>i</m:t>
        </m:r>
        <m:r>
          <m:t>l</m:t>
        </m:r>
        <m:r>
          <m:t>a</m:t>
        </m:r>
        <m:r>
          <m:t>r</m:t>
        </m:r>
        <m:r>
          <m:t>i</m:t>
        </m:r>
        <m:r>
          <m:t>t</m:t>
        </m:r>
        <m:r>
          <m:t>y</m:t>
        </m:r>
        <m:r>
          <m:t>u</m:t>
        </m:r>
        <m:r>
          <m:t>n</m:t>
        </m:r>
        <m:r>
          <m:t>d</m:t>
        </m:r>
        <m:r>
          <m:t>e</m:t>
        </m:r>
        <m:r>
          <m:t>r</m:t>
        </m:r>
        <m:r>
          <m:t>b</m:t>
        </m:r>
        <m:r>
          <m:t>o</m:t>
        </m:r>
        <m:r>
          <m:t>t</m:t>
        </m:r>
        <m:r>
          <m:t>h</m:t>
        </m:r>
        <m:r>
          <m:t>m</m:t>
        </m:r>
        <m:r>
          <m:t>e</m:t>
        </m:r>
        <m:r>
          <m:t>t</m:t>
        </m:r>
        <m:r>
          <m:t>r</m:t>
        </m:r>
        <m:r>
          <m:t>i</m:t>
        </m:r>
        <m:r>
          <m:t>c</m:t>
        </m:r>
        <m:r>
          <m:t>s</m:t>
        </m:r>
        <m:r>
          <m:rPr>
            <m:sty m:val="p"/>
          </m:rPr>
          <m:t>.</m:t>
        </m:r>
        <m:r>
          <m:rPr>
            <m:sty m:val="p"/>
          </m:rPr>
          <m:t>−</m:t>
        </m:r>
        <m:r>
          <m:t>I</m:t>
        </m:r>
        <m:r>
          <m:t>n</m:t>
        </m:r>
        <m:r>
          <m:rPr>
            <m:sty m:val="p"/>
          </m:rPr>
          <m:t>*</m:t>
        </m:r>
        <m:r>
          <m:rPr>
            <m:sty m:val="p"/>
          </m:rPr>
          <m:t>*</m:t>
        </m:r>
        <m:r>
          <m:t>A</m:t>
        </m:r>
        <m:r>
          <m:t>u</m:t>
        </m:r>
        <m:r>
          <m:t>r</m:t>
        </m:r>
        <m:r>
          <m:rPr>
            <m:sty m:val="p"/>
          </m:rPr>
          <m:t>−</m:t>
        </m:r>
        <m:r>
          <m:t>P</m:t>
        </m:r>
        <m:r>
          <m:t>2</m:t>
        </m:r>
        <m:r>
          <m:rPr>
            <m:sty m:val="p"/>
          </m:rPr>
          <m:t>*</m:t>
        </m:r>
        <m:r>
          <m:rPr>
            <m:sty m:val="p"/>
          </m:rPr>
          <m:t>*</m:t>
        </m:r>
        <m:r>
          <m:rPr>
            <m:sty m:val="p"/>
          </m:rPr>
          <m:t>(</m:t>
        </m:r>
      </m:oMath>
      <w:r>
        <w:t xml:space="preserve">R =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 Shao et al. (2021),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 Teyssandier &amp; Zilhão (2018),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35"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(Monti et al. 2003),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29" w:name="sec-s6-3"/>
    <w:p>
      <w:pPr>
        <w:pStyle w:val="Heading2"/>
      </w:pPr>
      <w:r>
        <w:t xml:space="preserve">S6.3 Stochastic Block Models</w:t>
      </w:r>
    </w:p>
    <w:bookmarkStart w:id="127"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25"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-51.9</w:t>
                  </w:r>
                </w:p>
              </w:tc>
              <w:tc>
                <w:tcPr/>
                <w:p>
                  <w:pPr>
                    <w:pStyle w:val="Compact"/>
                    <w:jc w:val="center"/>
                    <w:jc w:val="center"/>
                  </w:pPr>
                  <w:r>
                    <w:t xml:space="preserve">-52.3</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2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6"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26"/>
        </w:tc>
      </w:tr>
    </w:tbl>
    <w:bookmarkEnd w:id="127"/>
    <w:bookmarkStart w:id="128"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1 block. The ICL gap between the best and second-best model quantifies how decisively the optimum is preferred (2.04 in Aur-P1 and 0.35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In</w:t>
      </w:r>
      <w:r>
        <w:t xml:space="preserve"> </w:t>
      </w:r>
      <w:r>
        <w:rPr>
          <w:bCs/>
          <w:b/>
        </w:rPr>
        <w:t xml:space="preserve">Aur-P1</w:t>
      </w:r>
      <w:r>
        <w:t xml:space="preserve"> </w:t>
      </w:r>
      <w:r>
        <w:t xml:space="preserve">the best-supported model contains 3 blocks, and after aligning each SBM block to the nearest manual group it diverges on 1 of 20 sites (Labeko Koba). In</w:t>
      </w:r>
      <w:r>
        <w:t xml:space="preserve"> </w:t>
      </w:r>
      <w:r>
        <w:rPr>
          <w:bCs/>
          <w:b/>
        </w:rPr>
        <w:t xml:space="preserve">Aur-P2</w:t>
      </w:r>
      <w:r>
        <w:t xml:space="preserve"> </w:t>
      </w:r>
      <w:r>
        <w:t xml:space="preserve">the SBM selects a</w:t>
      </w:r>
      <w:r>
        <w:t xml:space="preserve"> </w:t>
      </w:r>
      <w:r>
        <w:rPr>
          <w:bCs/>
          <w:b/>
        </w:rPr>
        <w:t xml:space="preserve">single block</w:t>
      </w:r>
      <w:r>
        <w:t xml:space="preserve">: its ICL profile is essentially flat (the gap between the one- and two-block solutions is 0.35), so the sparse sign-sharing network of the late phase does not support a two-block partition at all, and the model-based route neither corroborates nor contradicts the manual split there.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0.99)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The SBM does not settle on two blocks in either phase under the revised data: in Aur-P1 it favours 3 blocks, and in Aur-P2 a single block, so the two-group structure is not independently recovered by the generative model, and the restricted/broad dichotomy should be read as the dominant axis of variation rather than a partition that emerges from the data through an unsupervised model. These results complement, rather than supersede, the bootstrap analysis: the bootstrap quantifies sampling stability of the main-text partition, while the SBM asks whether an independent generative model reproduces it.</w:t>
      </w:r>
    </w:p>
    <w:bookmarkEnd w:id="128"/>
    <w:bookmarkEnd w:id="129"/>
    <w:bookmarkStart w:id="133" w:name="sec-s6-4"/>
    <w:p>
      <w:pPr>
        <w:pStyle w:val="Heading2"/>
      </w:pPr>
      <w:r>
        <w:t xml:space="preserve">S6.4 Cross-Validation of Group Assignments (ARI)</w:t>
      </w:r>
    </w:p>
    <w:bookmarkStart w:id="131"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3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 Values are blank for SBM comparisons when the</w:t>
            </w:r>
            <w:r>
              <w:t xml:space="preserve"> </w:t>
            </w:r>
            <w:r>
              <w:rPr>
                <w:rStyle w:val="VerbatimChar"/>
              </w:rPr>
              <w:t xml:space="preserve">blockmodels</w:t>
            </w:r>
            <w:r>
              <w:t xml:space="preserve"> </w:t>
            </w:r>
            <w:r>
              <w:t xml:space="preserve">package is unavailable.</w:t>
            </w:r>
          </w:p>
          <w:bookmarkEnd w:id="130"/>
        </w:tc>
      </w:tr>
    </w:tbl>
    <w:bookmarkEnd w:id="131"/>
    <w:bookmarkStart w:id="132"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2"/>
    <w:bookmarkEnd w:id="133"/>
    <w:bookmarkStart w:id="13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9 sites.</w:t>
      </w:r>
    </w:p>
    <w:bookmarkEnd w:id="134"/>
    <w:bookmarkEnd w:id="135"/>
    <w:bookmarkStart w:id="152" w:name="sec-s7"/>
    <w:p>
      <w:pPr>
        <w:pStyle w:val="Heading1"/>
      </w:pPr>
      <w:r>
        <w:t xml:space="preserve">S7. Object-Type Sensitivity: Figurine Exclusion</w:t>
      </w:r>
    </w:p>
    <w:bookmarkStart w:id="136" w:name="s7.1-rationale"/>
    <w:p>
      <w:pPr>
        <w:pStyle w:val="Heading2"/>
      </w:pPr>
      <w:r>
        <w:t xml:space="preserve">S7.1 Rationale</w:t>
      </w:r>
    </w:p>
    <w:p>
      <w:pPr>
        <w:pStyle w:val="FirstParagraph"/>
      </w:pPr>
      <w:r>
        <w:t xml:space="preserve">Bentz and Dutkiewicz (2026)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6"/>
    <w:bookmarkStart w:id="138"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3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37"/>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38"/>
    <w:bookmarkStart w:id="143" w:name="s7.3-analysis-1-exclude-all-figurines"/>
    <w:p>
      <w:pPr>
        <w:pStyle w:val="Heading2"/>
      </w:pPr>
      <w:r>
        <w:t xml:space="preserve">S7.3 Analysis 1: Exclude All Figurines</w:t>
      </w:r>
    </w:p>
    <w:bookmarkStart w:id="141"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39"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3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0"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40"/>
        </w:tc>
      </w:tr>
    </w:tbl>
    <w:bookmarkEnd w:id="141"/>
    <w:bookmarkStart w:id="142" w:name="interpretation-3"/>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42"/>
    <w:bookmarkEnd w:id="143"/>
    <w:bookmarkStart w:id="148" w:name="X7549e60451b9f7bbee640100d361a0cf771ac62"/>
    <w:p>
      <w:pPr>
        <w:pStyle w:val="Heading2"/>
      </w:pPr>
      <w:r>
        <w:t xml:space="preserve">S7.4 Analysis 2: Exclude Vogelherd Figurines Only</w:t>
      </w:r>
    </w:p>
    <w:bookmarkStart w:id="146"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44"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45"/>
        </w:tc>
      </w:tr>
    </w:tbl>
    <w:bookmarkEnd w:id="146"/>
    <w:bookmarkStart w:id="147"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47"/>
    <w:bookmarkEnd w:id="148"/>
    <w:bookmarkStart w:id="150"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49"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49"/>
        </w:tc>
      </w:tr>
    </w:tbl>
    <w:bookmarkEnd w:id="150"/>
    <w:bookmarkStart w:id="151"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 Bentz and Dutkiewicz’s (2026) argument that figurines carry high-information sign sequences — but the communities themselves are defined by shared sign types across all object types.</w:t>
      </w:r>
    </w:p>
    <w:bookmarkEnd w:id="151"/>
    <w:bookmarkEnd w:id="152"/>
    <w:bookmarkStart w:id="173" w:name="sec-s8"/>
    <w:p>
      <w:pPr>
        <w:pStyle w:val="Heading1"/>
      </w:pPr>
      <w:r>
        <w:t xml:space="preserve">S8. Site Reclassification Sensitivity Analysis</w:t>
      </w:r>
    </w:p>
    <w:bookmarkStart w:id="153"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[1–3]</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 Talamo et al. (2020) classify this as Early Aurignacian (Aur-P1) based on carinated scrapers and wide Aurignacian blades. No split-base bone points (Proto-Aurignacian diagnostic) were found</w:t>
      </w:r>
      <w:r>
        <w:t xml:space="preserve"> </w:t>
      </w:r>
      <w:r>
        <w:t xml:space="preserve">[4,5]</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[6]</w:t>
      </w:r>
      <w:r>
        <w:t xml:space="preserve">. Direct dates of ~31 ka ¹⁴C BP (~35–36 cal BP) are too young for Proto-Aurignacian</w:t>
      </w:r>
      <w:r>
        <w:t xml:space="preserve"> </w:t>
      </w:r>
      <w:r>
        <w:t xml:space="preserve">[7]</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[8]</w:t>
      </w:r>
      <w:r>
        <w:t xml:space="preserve">.</w:t>
      </w:r>
    </w:p>
    <w:p>
      <w:pPr>
        <w:pStyle w:val="FirstParagraph"/>
      </w:pPr>
      <w:r>
        <w:t xml:space="preserve">Because these attributions are load-bearing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3"/>
    <w:bookmarkStart w:id="156"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5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54"/>
        </w:tc>
      </w:tr>
    </w:tbl>
    <w:bookmarkStart w:id="155"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5"/>
    <w:bookmarkEnd w:id="156"/>
    <w:bookmarkStart w:id="15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7"/>
    <w:bookmarkStart w:id="172"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Start w:id="171" w:name="refs"/>
    <w:bookmarkStart w:id="15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58"/>
    <w:bookmarkStart w:id="159" w:name="ref-Chiotti_Cretin_2011"/>
    <w:p>
      <w:pPr>
        <w:pStyle w:val="Bibliography"/>
      </w:pPr>
      <w:r>
        <w:t xml:space="preserve">[2]</w:t>
      </w:r>
      <w:r>
        <w:t xml:space="preserve"> </w:t>
      </w:r>
      <w:r>
        <w:t xml:space="preserve">	</w:t>
      </w:r>
      <w:r>
        <w:t xml:space="preserve">Chiotti L, Crétin C. The</w:t>
      </w:r>
      <w:r>
        <w:t xml:space="preserve"> </w:t>
      </w:r>
      <w:r>
        <w:t xml:space="preserve">Protoaurignacian</w:t>
      </w:r>
      <w:r>
        <w:t xml:space="preserve"> </w:t>
      </w:r>
      <w:r>
        <w:t xml:space="preserve">and the</w:t>
      </w:r>
      <w:r>
        <w:t xml:space="preserve"> </w:t>
      </w:r>
      <w:r>
        <w:t xml:space="preserve">Aurignacian</w:t>
      </w:r>
      <w:r>
        <w:t xml:space="preserve"> </w:t>
      </w:r>
      <w:r>
        <w:t xml:space="preserve">of the</w:t>
      </w:r>
      <w:r>
        <w:t xml:space="preserve"> </w:t>
      </w:r>
      <w:r>
        <w:t xml:space="preserve">Abric Romaní</w:t>
      </w:r>
      <w:r>
        <w:t xml:space="preserve"> </w:t>
      </w:r>
      <w:r>
        <w:t xml:space="preserve">and the</w:t>
      </w:r>
      <w:r>
        <w:t xml:space="preserve"> </w:t>
      </w:r>
      <w:r>
        <w:t xml:space="preserve">Abri Pataud</w:t>
      </w:r>
      <w:r>
        <w:t xml:space="preserve">: Two case studies. L’Anthropologie 2011;115:339–60.</w:t>
      </w:r>
    </w:p>
    <w:bookmarkEnd w:id="159"/>
    <w:bookmarkStart w:id="161" w:name="ref-Higham_Abri_Pataud_2011"/>
    <w:p>
      <w:pPr>
        <w:pStyle w:val="Bibliography"/>
      </w:pPr>
      <w:r>
        <w:t xml:space="preserve">[3]</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60">
        <w:r>
          <w:rPr>
            <w:rStyle w:val="Hyperlink"/>
          </w:rPr>
          <w:t xml:space="preserve">https://doi.org/10.1016/j.jhevol.2011.06.001</w:t>
        </w:r>
      </w:hyperlink>
      <w:r>
        <w:t xml:space="preserve">.</w:t>
      </w:r>
    </w:p>
    <w:bookmarkEnd w:id="161"/>
    <w:bookmarkStart w:id="162" w:name="ref-Delporte_et_al_1977"/>
    <w:p>
      <w:pPr>
        <w:pStyle w:val="Bibliography"/>
      </w:pPr>
      <w:r>
        <w:t xml:space="preserve">[4]</w:t>
      </w:r>
      <w:r>
        <w:t xml:space="preserve"> </w:t>
      </w:r>
      <w:r>
        <w:t xml:space="preserve">	</w:t>
      </w:r>
      <w:r>
        <w:t xml:space="preserve">Delporte H, Bordes F, David F, Ferring R, Szabo J, Buisson-Catil J, et al. L’abri de</w:t>
      </w:r>
      <w:r>
        <w:t xml:space="preserve"> </w:t>
      </w:r>
      <w:r>
        <w:t xml:space="preserve">La Ferrassie</w:t>
      </w:r>
      <w:r>
        <w:t xml:space="preserve">: Stratigraphie et industrie lithique. Gallia Préhistoire 1977;20:49–88.</w:t>
      </w:r>
    </w:p>
    <w:bookmarkEnd w:id="162"/>
    <w:bookmarkStart w:id="164" w:name="ref-Talamo_La_Ferrassie_2020"/>
    <w:p>
      <w:pPr>
        <w:pStyle w:val="Bibliography"/>
      </w:pPr>
      <w:r>
        <w:t xml:space="preserve">[5]</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63">
        <w:r>
          <w:rPr>
            <w:rStyle w:val="Hyperlink"/>
          </w:rPr>
          <w:t xml:space="preserve">https://doi.org/10.1002/jqs.3223</w:t>
        </w:r>
      </w:hyperlink>
      <w:r>
        <w:t xml:space="preserve">.</w:t>
      </w:r>
    </w:p>
    <w:bookmarkEnd w:id="164"/>
    <w:bookmarkStart w:id="166" w:name="ref-Oliva_2006"/>
    <w:p>
      <w:pPr>
        <w:pStyle w:val="Bibliography"/>
      </w:pPr>
      <w:r>
        <w:t xml:space="preserve">[6]</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65">
        <w:r>
          <w:rPr>
            <w:rStyle w:val="Hyperlink"/>
          </w:rPr>
          <w:t xml:space="preserve">https://doi.org/10.1007/3-211-38327-6_3</w:t>
        </w:r>
      </w:hyperlink>
      <w:r>
        <w:t xml:space="preserve">.</w:t>
      </w:r>
    </w:p>
    <w:bookmarkEnd w:id="166"/>
    <w:bookmarkStart w:id="168" w:name="ref-Wild_et_al_2005"/>
    <w:p>
      <w:pPr>
        <w:pStyle w:val="Bibliography"/>
      </w:pPr>
      <w:r>
        <w:t xml:space="preserve">[7]</w:t>
      </w:r>
      <w:r>
        <w:t xml:space="preserve"> </w:t>
      </w:r>
      <w:r>
        <w:t xml:space="preserve">	</w:t>
      </w:r>
      <w:r>
        <w:t xml:space="preserve">Wild EM, Arlamovska G, Freidl M, Grünberger S, Lutz J, Stadler P, et al.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Mladeč</w:t>
      </w:r>
      <w:r>
        <w:t xml:space="preserve">. Nature 2005;435:332–5.</w:t>
      </w:r>
      <w:r>
        <w:t xml:space="preserve"> </w:t>
      </w:r>
      <w:hyperlink r:id="rId167">
        <w:r>
          <w:rPr>
            <w:rStyle w:val="Hyperlink"/>
          </w:rPr>
          <w:t xml:space="preserve">https://doi.org/10.1038/nature03585</w:t>
        </w:r>
      </w:hyperlink>
      <w:r>
        <w:t xml:space="preserve">.</w:t>
      </w:r>
    </w:p>
    <w:bookmarkEnd w:id="168"/>
    <w:bookmarkStart w:id="170" w:name="ref-Schurch_Conard_2026"/>
    <w:p>
      <w:pPr>
        <w:pStyle w:val="Bibliography"/>
      </w:pPr>
      <w:r>
        <w:t xml:space="preserve">[8]</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69">
        <w:r>
          <w:rPr>
            <w:rStyle w:val="Hyperlink"/>
          </w:rPr>
          <w:t xml:space="preserve">https://doi.org/10.1007/s41982-025-00298-3</w:t>
        </w:r>
      </w:hyperlink>
      <w:r>
        <w:t xml:space="preserve">.</w:t>
      </w:r>
    </w:p>
    <w:bookmarkEnd w:id="170"/>
    <w:bookmarkEnd w:id="171"/>
    <w:bookmarkEnd w:id="172"/>
    <w:bookmarkEnd w:id="173"/>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163" Target="https://doi.org/10.1002/jqs.3223" TargetMode="External" /><Relationship Type="http://schemas.openxmlformats.org/officeDocument/2006/relationships/hyperlink" Id="rId165" Target="https://doi.org/10.1007/3-211-38327-6_3" TargetMode="External" /><Relationship Type="http://schemas.openxmlformats.org/officeDocument/2006/relationships/hyperlink" Id="rId169" Target="https://doi.org/10.1007/s41982-025-00298-3" TargetMode="External" /><Relationship Type="http://schemas.openxmlformats.org/officeDocument/2006/relationships/hyperlink" Id="rId160" Target="https://doi.org/10.1016/j.jhevol.2011.06.001" TargetMode="External" /><Relationship Type="http://schemas.openxmlformats.org/officeDocument/2006/relationships/hyperlink" Id="rId167" Target="https://doi.org/10.1038/nature03585"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3" Target="https://doi.org/10.1002/jqs.3223" TargetMode="External" /><Relationship Type="http://schemas.openxmlformats.org/officeDocument/2006/relationships/hyperlink" Id="rId165" Target="https://doi.org/10.1007/3-211-38327-6_3" TargetMode="External" /><Relationship Type="http://schemas.openxmlformats.org/officeDocument/2006/relationships/hyperlink" Id="rId169" Target="https://doi.org/10.1007/s41982-025-00298-3" TargetMode="External" /><Relationship Type="http://schemas.openxmlformats.org/officeDocument/2006/relationships/hyperlink" Id="rId160" Target="https://doi.org/10.1016/j.jhevol.2011.06.001" TargetMode="External" /><Relationship Type="http://schemas.openxmlformats.org/officeDocument/2006/relationships/hyperlink" Id="rId167" Target="https://doi.org/10.1038/nature03585"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2026-08-06T09:05:40Z</dcterms:created>
  <dcterms:modified xsi:type="dcterms:W3CDTF">2026-08-06T09:05:40Z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