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282.png" ContentType="image/png"/>
  <Override PartName="/word/media/rId289.png" ContentType="image/png"/>
  <Override PartName="/word/media/rId120.png" ContentType="image/png"/>
  <Override PartName="/word/media/rId38.png" ContentType="image/png"/>
  <Override PartName="/word/media/rId30.png" ContentType="image/png"/>
  <Override PartName="/word/media/rId105.png" ContentType="image/png"/>
  <Override PartName="/word/media/rId325.png" ContentType="image/png"/>
  <Override PartName="/word/media/rId354.png" ContentType="image/png"/>
  <Override PartName="/word/media/rId342.png" ContentType="image/png"/>
  <Override PartName="/word/media/rId334.png" ContentType="image/png"/>
  <Override PartName="/word/media/rId92.png" ContentType="image/png"/>
  <Override PartName="/word/media/rId137.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4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143.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146.png" ContentType="image/png"/>
  <Override PartName="/word/media/rId254.png" ContentType="image/png"/>
  <Override PartName="/word/media/rId257.png" ContentType="image/png"/>
  <Override PartName="/word/media/rId260.png" ContentType="image/png"/>
  <Override PartName="/word/media/rId263.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22"/>
    <w:bookmarkEnd w:id="23"/>
    <w:bookmarkStart w:id="36" w:name="sec-s0"/>
    <w:p>
      <w:pPr>
        <w:pStyle w:val="Heading1"/>
      </w:pPr>
      <w:r>
        <w:t xml:space="preserve">S0. Site rejection</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17"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9</w:t>
        </w:r>
      </w:hyperlink>
      <w:r>
        <w:t xml:space="preserve">.</w:t>
      </w:r>
    </w:p>
    <w:bookmarkStart w:id="59" w:name="sec-s5-1"/>
    <w:p>
      <w:pPr>
        <w:pStyle w:val="Heading2"/>
      </w:pPr>
      <w:r>
        <w:t xml:space="preserve">S5.1 Algorithmic Group Detection via Louvain Community Partitioning</w:t>
      </w:r>
    </w:p>
    <w:bookmarkStart w:id="58"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bookmarkEnd w:id="58"/>
    <w:bookmarkEnd w:id="59"/>
    <w:bookmarkStart w:id="62" w:name="sec-s5-2"/>
    <w:p>
      <w:pPr>
        <w:pStyle w:val="Heading2"/>
      </w:pPr>
      <w:r>
        <w:t xml:space="preserve">S5.2 Algorithmic Group Detection via Infomap Community Partitioning</w:t>
      </w:r>
    </w:p>
    <w:bookmarkStart w:id="61" w:name="rationale-3"/>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2"/>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0"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11: Adjusted Rand Index (ARI) between Infomap-derived communities and Louvain-derived communities, by phase and threshold. ARI = 1.0 indicates identical partitions; ARI ≈ 0 indicates agreement no better than chance.</w:t>
            </w:r>
          </w:p>
          <w:bookmarkEnd w:id="60"/>
        </w:tc>
      </w:tr>
    </w:tbl>
    <w:bookmarkEnd w:id="61"/>
    <w:bookmarkEnd w:id="62"/>
    <w:bookmarkStart w:id="65" w:name="sec-s5-3"/>
    <w:p>
      <w:pPr>
        <w:pStyle w:val="Heading2"/>
      </w:pPr>
      <w:r>
        <w:t xml:space="preserve">S5.3 Algorithmic Group Detection via Leiden Community Partitioning</w:t>
      </w:r>
    </w:p>
    <w:bookmarkStart w:id="64" w:name="rationale-4"/>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3"/>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3"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12: Adjusted Rand Index (ARI) between Leiden-derived communities and Louvain-derived communities, by phase and threshold. ARI = 1.0 indicates identical partitions; ARI ≈ 0 indicates agreement no better than chance.</w:t>
            </w:r>
          </w:p>
          <w:bookmarkEnd w:id="63"/>
        </w:tc>
      </w:tr>
    </w:tbl>
    <w:bookmarkEnd w:id="64"/>
    <w:bookmarkEnd w:id="65"/>
    <w:bookmarkStart w:id="68" w:name="sec-s5-4"/>
    <w:p>
      <w:pPr>
        <w:pStyle w:val="Heading2"/>
      </w:pPr>
      <w:r>
        <w:t xml:space="preserve">S5.4 Algorithmic Group Detection via Walktrap Community Partitioning</w:t>
      </w:r>
    </w:p>
    <w:bookmarkStart w:id="67" w:name="rationale-5"/>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6"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13: Adjusted Rand Index (ARI) between Walktrap-derived communities and Louvain-derived communities, by phase and threshold. ARI = 1.0 indicates identical partitions; ARI ≈ 0 indicates agreement no better than chance.</w:t>
            </w:r>
          </w:p>
          <w:bookmarkEnd w:id="66"/>
        </w:tc>
      </w:tr>
    </w:tbl>
    <w:bookmarkEnd w:id="67"/>
    <w:bookmarkEnd w:id="68"/>
    <w:bookmarkStart w:id="71" w:name="sec-s5-5"/>
    <w:p>
      <w:pPr>
        <w:pStyle w:val="Heading2"/>
      </w:pPr>
      <w:r>
        <w:t xml:space="preserve">S5.5 PerMANOVA Comparison</w:t>
      </w:r>
    </w:p>
    <w:bookmarkStart w:id="70" w:name="rationale-6"/>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69"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14: PerMANOVA comparison: manual (restricted/broad) grouping versus algorithmically derived groupings. R² and pseudo-F for each phase, threshold, and community detection algorithm.</w:t>
            </w:r>
          </w:p>
          <w:bookmarkEnd w:id="69"/>
        </w:tc>
      </w:tr>
    </w:tbl>
    <w:bookmarkEnd w:id="70"/>
    <w:bookmarkEnd w:id="71"/>
    <w:bookmarkStart w:id="74" w:name="sec-s5-6"/>
    <w:p>
      <w:pPr>
        <w:pStyle w:val="Heading2"/>
      </w:pPr>
      <w:r>
        <w:t xml:space="preserve">S5.6 Comprehensive Comparison</w:t>
      </w:r>
    </w:p>
    <w:p>
      <w:pPr>
        <w:pStyle w:val="FirstParagraph"/>
      </w:pPr>
      <w:r>
        <w:t xml:space="preserve">This section provides a comprehensive comparison across all four community detection algorithms. The table below summarizes the key findings for each algorithm across thresholds:</w:t>
      </w:r>
    </w:p>
    <w:tbl>
      <w:tblPr>
        <w:tblStyle w:val="Table"/>
        <w:tblW w:type="pct" w:w="5000"/>
        <w:tblLook w:firstRow="1" w:lastRow="0" w:firstColumn="0" w:lastColumn="0" w:noHBand="0" w:noVBand="0" w:val="0020"/>
        <w:jc w:val="start"/>
        <w:tblLayout w:type="fixed"/>
      </w:tblPr>
      <w:tblGrid>
        <w:gridCol w:w="1062"/>
        <w:gridCol w:w="1062"/>
        <w:gridCol w:w="1835"/>
        <w:gridCol w:w="1835"/>
        <w:gridCol w:w="2124"/>
      </w:tblGrid>
      <w:tr>
        <w:trPr>
          <w:tblHeader w:val="true"/>
        </w:trPr>
        <w:tc>
          <w:tcPr/>
          <w:p>
            <w:pPr>
              <w:pStyle w:val="Compact"/>
              <w:jc w:val="left"/>
            </w:pPr>
            <w:r>
              <w:t xml:space="preserve">Algorithm</w:t>
            </w:r>
          </w:p>
        </w:tc>
        <w:tc>
          <w:tcPr/>
          <w:p>
            <w:pPr>
              <w:pStyle w:val="Compact"/>
              <w:jc w:val="left"/>
            </w:pPr>
            <w:r>
              <w:t xml:space="preserve">Threshold</w:t>
            </w:r>
          </w:p>
        </w:tc>
        <w:tc>
          <w:tcPr/>
          <w:p>
            <w:pPr>
              <w:pStyle w:val="Compact"/>
              <w:jc w:val="left"/>
            </w:pPr>
            <w:r>
              <w:t xml:space="preserve">Aur-P1 Communities</w:t>
            </w:r>
          </w:p>
        </w:tc>
        <w:tc>
          <w:tcPr/>
          <w:p>
            <w:pPr>
              <w:pStyle w:val="Compact"/>
              <w:jc w:val="left"/>
            </w:pPr>
            <w:r>
              <w:t xml:space="preserve">Aur-P2 Communities</w:t>
            </w:r>
          </w:p>
        </w:tc>
        <w:tc>
          <w:tcPr/>
          <w:p>
            <w:pPr>
              <w:pStyle w:val="Compact"/>
              <w:jc w:val="left"/>
            </w:pPr>
            <w:r>
              <w:t xml:space="preserve">ARI (Algo vs Louvain)</w:t>
            </w:r>
          </w:p>
        </w:tc>
      </w:tr>
      <w:tr>
        <w:tc>
          <w:tcPr/>
          <w:p>
            <w:pPr>
              <w:pStyle w:val="Compact"/>
              <w:jc w:val="left"/>
            </w:pPr>
            <w:r>
              <w:t xml:space="preserve">Louvain</w:t>
            </w:r>
          </w:p>
        </w:tc>
        <w:tc>
          <w:tcPr/>
          <w:p>
            <w:pPr>
              <w:pStyle w:val="Compact"/>
              <w:jc w:val="left"/>
            </w:pPr>
            <w:r>
              <w:t xml:space="preserve">0.1</w:t>
            </w:r>
          </w:p>
        </w:tc>
        <w:tc>
          <w:tcPr/>
          <w:p>
            <w:pPr>
              <w:pStyle w:val="Compact"/>
              <w:jc w:val="left"/>
            </w:pPr>
            <w:r>
              <w:t xml:space="preserve">3</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Louvain</w:t>
            </w:r>
          </w:p>
        </w:tc>
        <w:tc>
          <w:tcPr/>
          <w:p>
            <w:pPr>
              <w:pStyle w:val="Compact"/>
              <w:jc w:val="left"/>
            </w:pPr>
            <w:r>
              <w:t xml:space="preserve">0.2</w:t>
            </w:r>
          </w:p>
        </w:tc>
        <w:tc>
          <w:tcPr/>
          <w:p>
            <w:pPr>
              <w:pStyle w:val="Compact"/>
              <w:jc w:val="left"/>
            </w:pPr>
            <w:r>
              <w:t xml:space="preserve">4</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Louvain</w:t>
            </w:r>
          </w:p>
        </w:tc>
        <w:tc>
          <w:tcPr/>
          <w:p>
            <w:pPr>
              <w:pStyle w:val="Compact"/>
              <w:jc w:val="left"/>
            </w:pPr>
            <w:r>
              <w:t xml:space="preserve">0.3</w:t>
            </w:r>
          </w:p>
        </w:tc>
        <w:tc>
          <w:tcPr/>
          <w:p>
            <w:pPr>
              <w:pStyle w:val="Compact"/>
              <w:jc w:val="left"/>
            </w:pPr>
            <w:r>
              <w:t xml:space="preserve">5</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Infomap</w:t>
            </w:r>
          </w:p>
        </w:tc>
        <w:tc>
          <w:tcPr/>
          <w:p>
            <w:pPr>
              <w:pStyle w:val="Compact"/>
              <w:jc w:val="left"/>
            </w:pPr>
            <w:r>
              <w:t xml:space="preserve">0.1</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Infomap</w:t>
            </w:r>
          </w:p>
        </w:tc>
        <w:tc>
          <w:tcPr/>
          <w:p>
            <w:pPr>
              <w:pStyle w:val="Compact"/>
              <w:jc w:val="left"/>
            </w:pPr>
            <w:r>
              <w:t xml:space="preserve">0.2</w:t>
            </w:r>
          </w:p>
        </w:tc>
        <w:tc>
          <w:tcPr/>
          <w:p>
            <w:pPr>
              <w:pStyle w:val="Compact"/>
              <w:jc w:val="left"/>
            </w:pPr>
            <w:r>
              <w:t xml:space="preserve">4</w:t>
            </w:r>
          </w:p>
        </w:tc>
        <w:tc>
          <w:tcPr/>
          <w:p>
            <w:pPr>
              <w:pStyle w:val="Compact"/>
              <w:jc w:val="left"/>
            </w:pPr>
            <w:r>
              <w:t xml:space="preserve">1</w:t>
            </w:r>
          </w:p>
        </w:tc>
        <w:tc>
          <w:tcPr/>
          <w:p>
            <w:pPr>
              <w:pStyle w:val="Compact"/>
              <w:jc w:val="left"/>
            </w:pPr>
            <w:r>
              <w:t xml:space="preserve">1.000</w:t>
            </w:r>
          </w:p>
        </w:tc>
      </w:tr>
      <w:tr>
        <w:tc>
          <w:tcPr/>
          <w:p>
            <w:pPr>
              <w:pStyle w:val="Compact"/>
              <w:jc w:val="left"/>
            </w:pPr>
            <w:r>
              <w:t xml:space="preserve">Infomap</w:t>
            </w:r>
          </w:p>
        </w:tc>
        <w:tc>
          <w:tcPr/>
          <w:p>
            <w:pPr>
              <w:pStyle w:val="Compact"/>
              <w:jc w:val="left"/>
            </w:pPr>
            <w:r>
              <w:t xml:space="preserve">0.3</w:t>
            </w:r>
          </w:p>
        </w:tc>
        <w:tc>
          <w:tcPr/>
          <w:p>
            <w:pPr>
              <w:pStyle w:val="Compact"/>
              <w:jc w:val="left"/>
            </w:pPr>
            <w:r>
              <w:t xml:space="preserve">4</w:t>
            </w:r>
          </w:p>
        </w:tc>
        <w:tc>
          <w:tcPr/>
          <w:p>
            <w:pPr>
              <w:pStyle w:val="Compact"/>
              <w:jc w:val="left"/>
            </w:pPr>
            <w:r>
              <w:t xml:space="preserve">3</w:t>
            </w:r>
          </w:p>
        </w:tc>
        <w:tc>
          <w:tcPr/>
          <w:p>
            <w:pPr>
              <w:pStyle w:val="Compact"/>
              <w:jc w:val="left"/>
            </w:pPr>
            <w:r>
              <w:t xml:space="preserve">0.764</w:t>
            </w:r>
          </w:p>
        </w:tc>
      </w:tr>
      <w:tr>
        <w:tc>
          <w:tcPr/>
          <w:p>
            <w:pPr>
              <w:pStyle w:val="Compact"/>
              <w:jc w:val="left"/>
            </w:pPr>
            <w:r>
              <w:t xml:space="preserve">Leiden</w:t>
            </w:r>
          </w:p>
        </w:tc>
        <w:tc>
          <w:tcPr/>
          <w:p>
            <w:pPr>
              <w:pStyle w:val="Compact"/>
              <w:jc w:val="left"/>
            </w:pPr>
            <w:r>
              <w:t xml:space="preserve">0.1</w:t>
            </w:r>
          </w:p>
        </w:tc>
        <w:tc>
          <w:tcPr/>
          <w:p>
            <w:pPr>
              <w:pStyle w:val="Compact"/>
              <w:jc w:val="left"/>
            </w:pPr>
            <w:r>
              <w:t xml:space="preserve">2</w:t>
            </w:r>
          </w:p>
        </w:tc>
        <w:tc>
          <w:tcPr/>
          <w:p>
            <w:pPr>
              <w:pStyle w:val="Compact"/>
              <w:jc w:val="left"/>
            </w:pPr>
            <w:r>
              <w:t xml:space="preserve">1</w:t>
            </w:r>
          </w:p>
        </w:tc>
        <w:tc>
          <w:tcPr/>
          <w:p>
            <w:pPr>
              <w:pStyle w:val="Compact"/>
              <w:jc w:val="left"/>
            </w:pPr>
            <w:r>
              <w:t xml:space="preserve">-0.051</w:t>
            </w:r>
          </w:p>
        </w:tc>
      </w:tr>
      <w:tr>
        <w:tc>
          <w:tcPr/>
          <w:p>
            <w:pPr>
              <w:pStyle w:val="Compact"/>
              <w:jc w:val="left"/>
            </w:pPr>
            <w:r>
              <w:t xml:space="preserve">Leiden</w:t>
            </w:r>
          </w:p>
        </w:tc>
        <w:tc>
          <w:tcPr/>
          <w:p>
            <w:pPr>
              <w:pStyle w:val="Compact"/>
              <w:jc w:val="left"/>
            </w:pPr>
            <w:r>
              <w:t xml:space="preserve">0.2</w:t>
            </w:r>
          </w:p>
        </w:tc>
        <w:tc>
          <w:tcPr/>
          <w:p>
            <w:pPr>
              <w:pStyle w:val="Compact"/>
              <w:jc w:val="left"/>
            </w:pPr>
            <w:r>
              <w:t xml:space="preserve">3</w:t>
            </w:r>
          </w:p>
        </w:tc>
        <w:tc>
          <w:tcPr/>
          <w:p>
            <w:pPr>
              <w:pStyle w:val="Compact"/>
              <w:jc w:val="left"/>
            </w:pPr>
            <w:r>
              <w:t xml:space="preserve">1</w:t>
            </w:r>
          </w:p>
        </w:tc>
        <w:tc>
          <w:tcPr/>
          <w:p>
            <w:pPr>
              <w:pStyle w:val="Compact"/>
              <w:jc w:val="left"/>
            </w:pPr>
            <w:r>
              <w:t xml:space="preserve">0.257</w:t>
            </w:r>
          </w:p>
        </w:tc>
      </w:tr>
      <w:tr>
        <w:tc>
          <w:tcPr/>
          <w:p>
            <w:pPr>
              <w:pStyle w:val="Compact"/>
              <w:jc w:val="left"/>
            </w:pPr>
            <w:r>
              <w:t xml:space="preserve">Leiden</w:t>
            </w:r>
          </w:p>
        </w:tc>
        <w:tc>
          <w:tcPr/>
          <w:p>
            <w:pPr>
              <w:pStyle w:val="Compact"/>
              <w:jc w:val="left"/>
            </w:pPr>
            <w:r>
              <w:t xml:space="preserve">0.3</w:t>
            </w:r>
          </w:p>
        </w:tc>
        <w:tc>
          <w:tcPr/>
          <w:p>
            <w:pPr>
              <w:pStyle w:val="Compact"/>
              <w:jc w:val="left"/>
            </w:pPr>
            <w:r>
              <w:t xml:space="preserve">3</w:t>
            </w:r>
          </w:p>
        </w:tc>
        <w:tc>
          <w:tcPr/>
          <w:p>
            <w:pPr>
              <w:pStyle w:val="Compact"/>
              <w:jc w:val="left"/>
            </w:pPr>
            <w:r>
              <w:t xml:space="preserve">3</w:t>
            </w:r>
          </w:p>
        </w:tc>
        <w:tc>
          <w:tcPr/>
          <w:p>
            <w:pPr>
              <w:pStyle w:val="Compact"/>
              <w:jc w:val="left"/>
            </w:pPr>
            <w:r>
              <w:t xml:space="preserve">0.167</w:t>
            </w:r>
          </w:p>
        </w:tc>
      </w:tr>
      <w:tr>
        <w:tc>
          <w:tcPr/>
          <w:p>
            <w:pPr>
              <w:pStyle w:val="Compact"/>
              <w:jc w:val="left"/>
            </w:pPr>
            <w:r>
              <w:t xml:space="preserve">Walktrap</w:t>
            </w:r>
          </w:p>
        </w:tc>
        <w:tc>
          <w:tcPr/>
          <w:p>
            <w:pPr>
              <w:pStyle w:val="Compact"/>
              <w:jc w:val="left"/>
            </w:pPr>
            <w:r>
              <w:t xml:space="preserve">0.1</w:t>
            </w:r>
          </w:p>
        </w:tc>
        <w:tc>
          <w:tcPr/>
          <w:p>
            <w:pPr>
              <w:pStyle w:val="Compact"/>
              <w:jc w:val="left"/>
            </w:pPr>
            <w:r>
              <w:t xml:space="preserve">4</w:t>
            </w:r>
          </w:p>
        </w:tc>
        <w:tc>
          <w:tcPr/>
          <w:p>
            <w:pPr>
              <w:pStyle w:val="Compact"/>
              <w:jc w:val="left"/>
            </w:pPr>
            <w:r>
              <w:t xml:space="preserve">2</w:t>
            </w:r>
          </w:p>
        </w:tc>
        <w:tc>
          <w:tcPr/>
          <w:p>
            <w:pPr>
              <w:pStyle w:val="Compact"/>
              <w:jc w:val="left"/>
            </w:pPr>
            <w:r>
              <w:t xml:space="preserve">0.410</w:t>
            </w:r>
          </w:p>
        </w:tc>
      </w:tr>
      <w:tr>
        <w:tc>
          <w:tcPr/>
          <w:p>
            <w:pPr>
              <w:pStyle w:val="Compact"/>
              <w:jc w:val="left"/>
            </w:pPr>
            <w:r>
              <w:t xml:space="preserve">Walktrap</w:t>
            </w:r>
          </w:p>
        </w:tc>
        <w:tc>
          <w:tcPr/>
          <w:p>
            <w:pPr>
              <w:pStyle w:val="Compact"/>
              <w:jc w:val="left"/>
            </w:pPr>
            <w:r>
              <w:t xml:space="preserve">0.2</w:t>
            </w:r>
          </w:p>
        </w:tc>
        <w:tc>
          <w:tcPr/>
          <w:p>
            <w:pPr>
              <w:pStyle w:val="Compact"/>
              <w:jc w:val="left"/>
            </w:pPr>
            <w:r>
              <w:t xml:space="preserve">4</w:t>
            </w:r>
          </w:p>
        </w:tc>
        <w:tc>
          <w:tcPr/>
          <w:p>
            <w:pPr>
              <w:pStyle w:val="Compact"/>
              <w:jc w:val="left"/>
            </w:pPr>
            <w:r>
              <w:t xml:space="preserve">3</w:t>
            </w:r>
          </w:p>
        </w:tc>
        <w:tc>
          <w:tcPr/>
          <w:p>
            <w:pPr>
              <w:pStyle w:val="Compact"/>
              <w:jc w:val="left"/>
            </w:pPr>
            <w:r>
              <w:t xml:space="preserve">1.000</w:t>
            </w:r>
          </w:p>
        </w:tc>
      </w:tr>
      <w:tr>
        <w:tc>
          <w:tcPr/>
          <w:p>
            <w:pPr>
              <w:pStyle w:val="Compact"/>
              <w:jc w:val="left"/>
            </w:pPr>
            <w:r>
              <w:t xml:space="preserve">Walktrap</w:t>
            </w:r>
          </w:p>
        </w:tc>
        <w:tc>
          <w:tcPr/>
          <w:p>
            <w:pPr>
              <w:pStyle w:val="Compact"/>
              <w:jc w:val="left"/>
            </w:pPr>
            <w:r>
              <w:t xml:space="preserve">0.3</w:t>
            </w:r>
          </w:p>
        </w:tc>
        <w:tc>
          <w:tcPr/>
          <w:p>
            <w:pPr>
              <w:pStyle w:val="Compact"/>
              <w:jc w:val="left"/>
            </w:pPr>
            <w:r>
              <w:t xml:space="preserve">4</w:t>
            </w:r>
          </w:p>
        </w:tc>
        <w:tc>
          <w:tcPr/>
          <w:p>
            <w:pPr>
              <w:pStyle w:val="Compact"/>
              <w:jc w:val="left"/>
            </w:pPr>
            <w:r>
              <w:t xml:space="preserve">4</w:t>
            </w:r>
          </w:p>
        </w:tc>
        <w:tc>
          <w:tcPr/>
          <w:p>
            <w:pPr>
              <w:pStyle w:val="Compact"/>
              <w:jc w:val="left"/>
            </w:pPr>
            <w:r>
              <w:t xml:space="preserve">0.764</w:t>
            </w:r>
          </w:p>
        </w:tc>
      </w:tr>
    </w:tbl>
    <w:bookmarkStart w:id="72"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72"/>
    <w:bookmarkStart w:id="73"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5"/>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5"/>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5"/>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5"/>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73"/>
    <w:bookmarkEnd w:id="74"/>
    <w:bookmarkStart w:id="79" w:name="sec-s5-7"/>
    <w:p>
      <w:pPr>
        <w:pStyle w:val="Heading2"/>
      </w:pPr>
      <w:r>
        <w:t xml:space="preserve">S5.1 Interpretation</w:t>
      </w:r>
    </w:p>
    <w:bookmarkStart w:id="7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75"/>
    <w:bookmarkStart w:id="7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76"/>
    <w:bookmarkStart w:id="7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14</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77"/>
    <w:bookmarkStart w:id="7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9</w:t>
        </w:r>
      </w:hyperlink>
      <w:r>
        <w:t xml:space="preserve">.</w:t>
      </w:r>
    </w:p>
    <w:bookmarkEnd w:id="78"/>
    <w:bookmarkEnd w:id="79"/>
    <w:bookmarkStart w:id="80" w:name="sec-s5-8"/>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6"/>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6"/>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80"/>
    <w:bookmarkStart w:id="82" w:name="sec-s5-9"/>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8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15: Observed modularity and null-model p-values for each Aurignacian phase at three Jaccard similarity thresholds.</w:t>
            </w:r>
          </w:p>
          <w:bookmarkEnd w:id="8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82"/>
    <w:bookmarkStart w:id="84" w:name="sec-s5-10"/>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83"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16: Spearman correlations between node degree and site sign richness (number of distinct sign types) within each Aurignacian phase, at the baseline threshold of 0.2.</w:t>
            </w:r>
          </w:p>
          <w:bookmarkEnd w:id="83"/>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84"/>
    <w:bookmarkStart w:id="91" w:name="sec-s5-11"/>
    <w:p>
      <w:pPr>
        <w:pStyle w:val="Heading2"/>
      </w:pPr>
      <w:r>
        <w:t xml:space="preserve">S5.5 Phase-Boundary Sensitivity</w:t>
      </w:r>
    </w:p>
    <w:bookmarkStart w:id="87" w:name="rationale-7"/>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85"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17: Number of objects and sites within ±500 and ±1000 calibrated years of the single periodisation boundary at 37799 BP separating Aur-P1 from Aur-P2.</w:t>
            </w:r>
          </w:p>
          <w:bookmarkEnd w:id="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6"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18: Network statistics at the baseline threshold of 0.2 under shifts of the single Aur-P1/Aur-P2 boundary. Positive shifts move the boundary later (older objects reassigned to Aur-P2); negative shifts move it earlier (younger Aur-P2 objects reassigned to Aur-P1).</w:t>
            </w:r>
          </w:p>
          <w:bookmarkEnd w:id="86"/>
        </w:tc>
      </w:tr>
    </w:tbl>
    <w:bookmarkEnd w:id="87"/>
    <w:bookmarkStart w:id="88"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88"/>
    <w:bookmarkStart w:id="89"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89"/>
    <w:bookmarkStart w:id="90"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0"/>
    <w:bookmarkEnd w:id="91"/>
    <w:bookmarkStart w:id="96" w:name="sec-s5-12"/>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95" w:name="fig-threshold-sweep"/>
          <w:p>
            <w:pPr>
              <w:pStyle w:val="Compact"/>
              <w:jc w:val="center"/>
            </w:pPr>
            <w:r>
              <w:drawing>
                <wp:inline>
                  <wp:extent cx="5943600" cy="2971800"/>
                  <wp:effectExtent b="0" l="0" r="0" t="0"/>
                  <wp:docPr descr="" title="" id="93" name="Picture"/>
                  <a:graphic>
                    <a:graphicData uri="http://schemas.openxmlformats.org/drawingml/2006/picture">
                      <pic:pic>
                        <pic:nvPicPr>
                          <pic:cNvPr descr="S1-supplement-sensitivity_files/figure-docx/fig-threshold-sweep-1.png" id="94" name="Picture"/>
                          <pic:cNvPicPr>
                            <a:picLocks noChangeArrowheads="1" noChangeAspect="1"/>
                          </pic:cNvPicPr>
                        </pic:nvPicPr>
                        <pic:blipFill>
                          <a:blip r:embed="rId9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95"/>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96"/>
    <w:bookmarkStart w:id="98" w:name="sec-s5-13"/>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97"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19: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97"/>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98"/>
    <w:bookmarkStart w:id="100" w:name="sec-s5-14"/>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99"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20: Mantel test p-values before and after Benjamini–Hochberg correction for multiple testing across 2 phases × 2 distance measures (4 tests total). Results with adjusted p &lt; 0.05 are highlighted.</w:t>
            </w:r>
          </w:p>
          <w:bookmarkEnd w:id="99"/>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00"/>
    <w:bookmarkStart w:id="102" w:name="sec-s5-15"/>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0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21: Network metrics normalised by size-matched Erdos-Renyi expectation. Ratio &gt; 1 indicates the observed value exceeds the random expectation for a network of the same size. ER mean and SD are based on 100 random graphs per phase.</w:t>
            </w:r>
          </w:p>
          <w:bookmarkEnd w:id="10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02"/>
    <w:bookmarkStart w:id="103" w:name="sec-s5-16"/>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03"/>
    <w:bookmarkStart w:id="111" w:name="sec-s5-17"/>
    <w:p>
      <w:pPr>
        <w:pStyle w:val="Heading2"/>
      </w:pPr>
      <w:r>
        <w:t xml:space="preserve">S5.11 Mantel Correlogram and Bootstrap Confidence Intervals on the Mantel R</w:t>
      </w:r>
    </w:p>
    <w:bookmarkStart w:id="104" w:name="rationale-8"/>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8"/>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8"/>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104"/>
    <w:bookmarkStart w:id="109"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108" w:name="fig-mantel-correlogram"/>
          <w:p>
            <w:pPr>
              <w:pStyle w:val="Compact"/>
              <w:jc w:val="center"/>
            </w:pPr>
            <w:r>
              <w:drawing>
                <wp:inline>
                  <wp:extent cx="5943600" cy="3714750"/>
                  <wp:effectExtent b="0" l="0" r="0" t="0"/>
                  <wp:docPr descr="" title="" id="106" name="Picture"/>
                  <a:graphic>
                    <a:graphicData uri="http://schemas.openxmlformats.org/drawingml/2006/picture">
                      <pic:pic>
                        <pic:nvPicPr>
                          <pic:cNvPr descr="S1-supplement-sensitivity_files/figure-docx/fig-mantel-correlogram-1.png" id="107" name="Picture"/>
                          <pic:cNvPicPr>
                            <a:picLocks noChangeArrowheads="1" noChangeAspect="1"/>
                          </pic:cNvPicPr>
                        </pic:nvPicPr>
                        <pic:blipFill>
                          <a:blip r:embed="rId10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108"/>
        </w:tc>
      </w:tr>
    </w:tbl>
    <w:bookmarkEnd w:id="109"/>
    <w:bookmarkStart w:id="11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110"/>
    <w:bookmarkEnd w:id="111"/>
    <w:bookmarkStart w:id="116" w:name="sec-s5-18"/>
    <w:p>
      <w:pPr>
        <w:pStyle w:val="Heading2"/>
      </w:pPr>
      <w:r>
        <w:t xml:space="preserve">S5.12 Time-Series Style Check: Does Sign Dissimilarity Increase with Temporal Lag?</w:t>
      </w:r>
    </w:p>
    <w:bookmarkStart w:id="112" w:name="rationale-9"/>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9"/>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9"/>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9"/>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12"/>
    <w:bookmarkStart w:id="114"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13"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22: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13"/>
        </w:tc>
      </w:tr>
    </w:tbl>
    <w:bookmarkEnd w:id="114"/>
    <w:bookmarkStart w:id="115"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22</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15"/>
    <w:bookmarkEnd w:id="116"/>
    <w:bookmarkEnd w:id="117"/>
    <w:bookmarkStart w:id="126" w:name="sec-s5-13"/>
    <w:p>
      <w:pPr>
        <w:pStyle w:val="Heading1"/>
      </w:pPr>
      <w:r>
        <w:t xml:space="preserve">S5.13 Objective Regional Grouping Exploration: Geography-First, Then Ask Do Signs Differ</w:t>
      </w:r>
    </w:p>
    <w:bookmarkStart w:id="124" w:name="rationale-10"/>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 the same geodesic correction used in S3 and S5.11 —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18"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23: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1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9"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24: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19"/>
        </w:tc>
      </w:tr>
    </w:tbl>
    <w:tbl>
      <w:tblPr>
        <w:tblStyle w:val="Table"/>
        <w:tblW w:type="pct" w:w="5000"/>
        <w:tblLook w:firstRow="0" w:lastRow="0" w:firstColumn="0" w:lastColumn="0" w:noHBand="0" w:noVBand="0" w:val="0000"/>
        <w:jc w:val="start"/>
        <w:tblLayout w:type="fixed"/>
      </w:tblPr>
      <w:tblGrid>
        <w:gridCol w:w="7920"/>
      </w:tblGrid>
      <w:tr>
        <w:tc>
          <w:tcPr/>
          <w:bookmarkStart w:id="123" w:name="fig-s513-region-map"/>
          <w:p>
            <w:pPr>
              <w:pStyle w:val="Compact"/>
              <w:jc w:val="center"/>
            </w:pPr>
            <w:r>
              <w:drawing>
                <wp:inline>
                  <wp:extent cx="5943600" cy="4457699"/>
                  <wp:effectExtent b="0" l="0" r="0" t="0"/>
                  <wp:docPr descr="" title="" id="121" name="Picture"/>
                  <a:graphic>
                    <a:graphicData uri="http://schemas.openxmlformats.org/drawingml/2006/picture">
                      <pic:pic>
                        <pic:nvPicPr>
                          <pic:cNvPr descr="../figures/s513-region-map.png" id="122" name="Picture"/>
                          <pic:cNvPicPr>
                            <a:picLocks noChangeArrowheads="1" noChangeAspect="1"/>
                          </pic:cNvPicPr>
                        </pic:nvPicPr>
                        <pic:blipFill>
                          <a:blip r:embed="rId12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23"/>
        </w:tc>
      </w:tr>
    </w:tbl>
    <w:bookmarkEnd w:id="124"/>
    <w:bookmarkStart w:id="125" w:name="interpretation-2"/>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S9.7</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25"/>
    <w:bookmarkEnd w:id="126"/>
    <w:bookmarkStart w:id="276" w:name="sec-s6"/>
    <w:p>
      <w:pPr>
        <w:pStyle w:val="Heading1"/>
      </w:pPr>
      <w:r>
        <w:t xml:space="preserve">S6. Robustness of the Two-Group Structure: Bootstrap Consensus and Stochastic Block Models</w:t>
      </w:r>
    </w:p>
    <w:bookmarkStart w:id="127"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27"/>
    <w:bookmarkStart w:id="136" w:name="sec-s6-2"/>
    <w:p>
      <w:pPr>
        <w:pStyle w:val="Heading2"/>
      </w:pPr>
      <w:r>
        <w:t xml:space="preserve">S6.2 Bootstrap Consensus Analysis</w:t>
      </w:r>
    </w:p>
    <w:bookmarkStart w:id="134" w:name="rationale-11"/>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28"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25: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9"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26: Per-site bootstrap consistency: proportion of 1000 resamples in which each site is assigned to its modal (most frequent) block. Consistency near 1 indicates robust assignment; values near 0.5 indicate sites whose group membership flips across resamples.</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consensus"/>
          <w:p>
            <w:pPr>
              <w:pStyle w:val="Compact"/>
              <w:jc w:val="center"/>
            </w:pPr>
            <w:r>
              <w:drawing>
                <wp:inline>
                  <wp:extent cx="5943600" cy="6604000"/>
                  <wp:effectExtent b="0" l="0" r="0" t="0"/>
                  <wp:docPr descr="" title="" id="131" name="Picture"/>
                  <a:graphic>
                    <a:graphicData uri="http://schemas.openxmlformats.org/drawingml/2006/picture">
                      <pic:pic>
                        <pic:nvPicPr>
                          <pic:cNvPr descr="../figures/bootstrap-consensus-plot.png" id="132" name="Picture"/>
                          <pic:cNvPicPr>
                            <a:picLocks noChangeArrowheads="1" noChangeAspect="1"/>
                          </pic:cNvPicPr>
                        </pic:nvPicPr>
                        <pic:blipFill>
                          <a:blip r:embed="rId130"/>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33"/>
        </w:tc>
      </w:tr>
    </w:tbl>
    <w:bookmarkEnd w:id="134"/>
    <w:bookmarkStart w:id="135" w:name="interpretation-3"/>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26</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26</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26</w:t>
        </w:r>
      </w:hyperlink>
      <w:r>
        <w:t xml:space="preserve">.</w:t>
      </w:r>
    </w:p>
    <w:bookmarkEnd w:id="135"/>
    <w:bookmarkEnd w:id="136"/>
    <w:bookmarkStart w:id="270" w:name="sec-s6-3"/>
    <w:p>
      <w:pPr>
        <w:pStyle w:val="Heading2"/>
      </w:pPr>
      <w:r>
        <w:t xml:space="preserve">S6.3 Stochastic Block Models</w:t>
      </w:r>
    </w:p>
    <w:bookmarkStart w:id="268" w:name="rationale-12"/>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We also attempted a</w:t>
      </w:r>
      <w:r>
        <w:t xml:space="preserve"> </w:t>
      </w:r>
      <w:r>
        <w:rPr>
          <w:bCs/>
          <w:b/>
        </w:rPr>
        <w:t xml:space="preserve">negative binomial SBM</w:t>
      </w:r>
      <w:r>
        <w:t xml:space="preserve"> </w:t>
      </w:r>
      <w:r>
        <w:t xml:space="preserve">(which would accommodate overdispersion in shared-sign counts); the</w:t>
      </w:r>
      <w:r>
        <w:t xml:space="preserve"> </w:t>
      </w:r>
      <w:r>
        <w:rPr>
          <w:rStyle w:val="VerbatimChar"/>
        </w:rPr>
        <w:t xml:space="preserve">blockmodels</w:t>
      </w:r>
      <w:r>
        <w:t xml:space="preserve"> </w:t>
      </w:r>
      <w:r>
        <w:t xml:space="preserve">package does not currently implement a negative-binomial emission family, so we report Poisson as the count-based alternative and note this as a limitation.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2.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3.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4.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5.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6.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7.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8.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9.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0.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11.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12.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13.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4.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5.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6.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17.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18.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19.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0.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21.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22.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23.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4.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5.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6.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27.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9" name="Picture"/>
            <a:graphic>
              <a:graphicData uri="http://schemas.openxmlformats.org/drawingml/2006/picture">
                <pic:pic>
                  <pic:nvPicPr>
                    <pic:cNvPr descr="S1-supplement-sensitivity_files/figure-docx/s6-sbm-compute-28.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2" name="Picture"/>
            <a:graphic>
              <a:graphicData uri="http://schemas.openxmlformats.org/drawingml/2006/picture">
                <pic:pic>
                  <pic:nvPicPr>
                    <pic:cNvPr descr="S1-supplement-sensitivity_files/figure-docx/s6-sbm-compute-29.png" id="223" name="Picture"/>
                    <pic:cNvPicPr>
                      <a:picLocks noChangeArrowheads="1" noChangeAspect="1"/>
                    </pic:cNvPicPr>
                  </pic:nvPicPr>
                  <pic:blipFill>
                    <a:blip r:embed="rId2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5" name="Picture"/>
            <a:graphic>
              <a:graphicData uri="http://schemas.openxmlformats.org/drawingml/2006/picture">
                <pic:pic>
                  <pic:nvPicPr>
                    <pic:cNvPr descr="S1-supplement-sensitivity_files/figure-docx/s6-sbm-compute-30.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8" name="Picture"/>
            <a:graphic>
              <a:graphicData uri="http://schemas.openxmlformats.org/drawingml/2006/picture">
                <pic:pic>
                  <pic:nvPicPr>
                    <pic:cNvPr descr="S1-supplement-sensitivity_files/figure-docx/s6-sbm-compute-3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1" name="Picture"/>
            <a:graphic>
              <a:graphicData uri="http://schemas.openxmlformats.org/drawingml/2006/picture">
                <pic:pic>
                  <pic:nvPicPr>
                    <pic:cNvPr descr="S1-supplement-sensitivity_files/figure-docx/s6-sbm-compute-32.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4" name="Picture"/>
            <a:graphic>
              <a:graphicData uri="http://schemas.openxmlformats.org/drawingml/2006/picture">
                <pic:pic>
                  <pic:nvPicPr>
                    <pic:cNvPr descr="S1-supplement-sensitivity_files/figure-docx/s6-sbm-compute-33.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7" name="Picture"/>
            <a:graphic>
              <a:graphicData uri="http://schemas.openxmlformats.org/drawingml/2006/picture">
                <pic:pic>
                  <pic:nvPicPr>
                    <pic:cNvPr descr="S1-supplement-sensitivity_files/figure-docx/s6-sbm-compute-34.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0" name="Picture"/>
            <a:graphic>
              <a:graphicData uri="http://schemas.openxmlformats.org/drawingml/2006/picture">
                <pic:pic>
                  <pic:nvPicPr>
                    <pic:cNvPr descr="S1-supplement-sensitivity_files/figure-docx/s6-sbm-compute-35.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3" name="Picture"/>
            <a:graphic>
              <a:graphicData uri="http://schemas.openxmlformats.org/drawingml/2006/picture">
                <pic:pic>
                  <pic:nvPicPr>
                    <pic:cNvPr descr="S1-supplement-sensitivity_files/figure-docx/s6-sbm-compute-36.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6" name="Picture"/>
            <a:graphic>
              <a:graphicData uri="http://schemas.openxmlformats.org/drawingml/2006/picture">
                <pic:pic>
                  <pic:nvPicPr>
                    <pic:cNvPr descr="S1-supplement-sensitivity_files/figure-docx/s6-sbm-compute-37.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9" name="Picture"/>
            <a:graphic>
              <a:graphicData uri="http://schemas.openxmlformats.org/drawingml/2006/picture">
                <pic:pic>
                  <pic:nvPicPr>
                    <pic:cNvPr descr="S1-supplement-sensitivity_files/figure-docx/s6-sbm-compute-38.png" id="250" name="Picture"/>
                    <pic:cNvPicPr>
                      <a:picLocks noChangeArrowheads="1" noChangeAspect="1"/>
                    </pic:cNvPicPr>
                  </pic:nvPicPr>
                  <pic:blipFill>
                    <a:blip r:embed="rId2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2" name="Picture"/>
            <a:graphic>
              <a:graphicData uri="http://schemas.openxmlformats.org/drawingml/2006/picture">
                <pic:pic>
                  <pic:nvPicPr>
                    <pic:cNvPr descr="S1-supplement-sensitivity_files/figure-docx/s6-sbm-compute-39.png" id="253" name="Picture"/>
                    <pic:cNvPicPr>
                      <a:picLocks noChangeArrowheads="1" noChangeAspect="1"/>
                    </pic:cNvPicPr>
                  </pic:nvPicPr>
                  <pic:blipFill>
                    <a:blip r:embed="rId2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5" name="Picture"/>
            <a:graphic>
              <a:graphicData uri="http://schemas.openxmlformats.org/drawingml/2006/picture">
                <pic:pic>
                  <pic:nvPicPr>
                    <pic:cNvPr descr="S1-supplement-sensitivity_files/figure-docx/s6-sbm-compute-40.png" id="256" name="Picture"/>
                    <pic:cNvPicPr>
                      <a:picLocks noChangeArrowheads="1" noChangeAspect="1"/>
                    </pic:cNvPicPr>
                  </pic:nvPicPr>
                  <pic:blipFill>
                    <a:blip r:embed="rId2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8" name="Picture"/>
            <a:graphic>
              <a:graphicData uri="http://schemas.openxmlformats.org/drawingml/2006/picture">
                <pic:pic>
                  <pic:nvPicPr>
                    <pic:cNvPr descr="S1-supplement-sensitivity_files/figure-docx/s6-sbm-compute-41.png"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1" name="Picture"/>
            <a:graphic>
              <a:graphicData uri="http://schemas.openxmlformats.org/drawingml/2006/picture">
                <pic:pic>
                  <pic:nvPicPr>
                    <pic:cNvPr descr="S1-supplement-sensitivity_files/figure-docx/s6-sbm-compute-42.png" id="262" name="Picture"/>
                    <pic:cNvPicPr>
                      <a:picLocks noChangeArrowheads="1" noChangeAspect="1"/>
                    </pic:cNvPicPr>
                  </pic:nvPicPr>
                  <pic:blipFill>
                    <a:blip r:embed="rId2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4" name="Picture"/>
            <a:graphic>
              <a:graphicData uri="http://schemas.openxmlformats.org/drawingml/2006/picture">
                <pic:pic>
                  <pic:nvPicPr>
                    <pic:cNvPr descr="S1-supplement-sensitivity_files/figure-docx/s6-sbm-compute-43.png" id="265" name="Picture"/>
                    <pic:cNvPicPr>
                      <a:picLocks noChangeArrowheads="1" noChangeAspect="1"/>
                    </pic:cNvPicPr>
                  </pic:nvPicPr>
                  <pic:blipFill>
                    <a:blip r:embed="rId263"/>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66"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27: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2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7"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28: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267"/>
        </w:tc>
      </w:tr>
    </w:tbl>
    <w:bookmarkEnd w:id="268"/>
    <w:bookmarkStart w:id="269" w:name="interpretation-4"/>
    <w:p>
      <w:pPr>
        <w:pStyle w:val="Heading3"/>
      </w:pPr>
      <w:r>
        <w:t xml:space="preserve">Interpretation</w:t>
      </w:r>
    </w:p>
    <w:p>
      <w:pPr>
        <w:pStyle w:val="FirstParagraph"/>
      </w:pPr>
      <w:r>
        <w:t xml:space="preserve">The ICL model-selection results (</w:t>
      </w:r>
      <w:hyperlink w:anchor="tbl-sbm-icl">
        <w:r>
          <w:rPr>
            <w:rStyle w:val="Hyperlink"/>
          </w:rPr>
          <w:t xml:space="preserve">Table 27</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28</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269"/>
    <w:bookmarkEnd w:id="270"/>
    <w:bookmarkStart w:id="274" w:name="sec-s6-4"/>
    <w:p>
      <w:pPr>
        <w:pStyle w:val="Heading2"/>
      </w:pPr>
      <w:r>
        <w:t xml:space="preserve">S6.4 Cross-Validation of Group Assignments (ARI)</w:t>
      </w:r>
    </w:p>
    <w:bookmarkStart w:id="272" w:name="rationale-13"/>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(S6.2), and the SBM modal assignments (S6.3) under Bernoulli and Poisson emission models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271"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29: Adjusted Rand Index between the main-text manual restricted/broad assignment, the bootstrap modal blocks (S6.2), and the SBM modal assignments (S6.3), by phase.</w:t>
            </w:r>
          </w:p>
          <w:bookmarkEnd w:id="271"/>
        </w:tc>
      </w:tr>
    </w:tbl>
    <w:bookmarkEnd w:id="272"/>
    <w:bookmarkStart w:id="273" w:name="interpretation-5"/>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29</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29</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9</w:t>
        </w:r>
      </w:hyperlink>
      <w:r>
        <w:t xml:space="preserve">.</w:t>
      </w:r>
    </w:p>
    <w:bookmarkEnd w:id="273"/>
    <w:bookmarkEnd w:id="274"/>
    <w:bookmarkStart w:id="275"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6</w:t>
        </w:r>
      </w:hyperlink>
      <w:r>
        <w:t xml:space="preserve">,</w:t>
      </w:r>
      <w:r>
        <w:t xml:space="preserve"> </w:t>
      </w:r>
      <w:hyperlink w:anchor="tbl-bootstrap-summary">
        <w:r>
          <w:rPr>
            <w:rStyle w:val="Hyperlink"/>
          </w:rPr>
          <w:t xml:space="preserve">Table 25</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28</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27</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29</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9</w:t>
        </w:r>
      </w:hyperlink>
      <w:r>
        <w:t xml:space="preserve">, which validates the grouping on withheld data rather than on the data used to define it.</w:t>
      </w:r>
    </w:p>
    <w:bookmarkEnd w:id="275"/>
    <w:bookmarkEnd w:id="276"/>
    <w:bookmarkStart w:id="280" w:name="sec-s6-6"/>
    <w:p>
      <w:pPr>
        <w:pStyle w:val="Heading1"/>
      </w:pPr>
      <w:r>
        <w:t xml:space="preserve">S6.6 Circularity-Breaking Validation of the Restricted/Broad Group Difference</w:t>
      </w:r>
    </w:p>
    <w:bookmarkStart w:id="279" w:name="rationale-14"/>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77"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30: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77"/>
        </w:tc>
      </w:tr>
    </w:tbl>
    <w:bookmarkStart w:id="278" w:name="interpretation-6"/>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[14,15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78"/>
    <w:bookmarkEnd w:id="279"/>
    <w:bookmarkEnd w:id="280"/>
    <w:bookmarkStart w:id="297" w:name="sec-s6-7"/>
    <w:p>
      <w:pPr>
        <w:pStyle w:val="Heading1"/>
      </w:pPr>
      <w:r>
        <w:t xml:space="preserve">S6.7 Characterization of Detected Communities</w:t>
      </w:r>
    </w:p>
    <w:p>
      <w:pPr>
        <w:pStyle w:val="FirstParagraph"/>
      </w:pPr>
      <w:r>
        <w:t xml:space="preserve">The PerMANOVA results in S5.5 and bootstrap consensus in S6.1–S6.3 show that the algorithmically detected communities are statistically significant and internally coherent. This section provides a detailed characterization of those communities: their site membership, geographic distribution, and sign-type composition.</w:t>
      </w:r>
    </w:p>
    <w:bookmarkStart w:id="286" w:name="sec-s6-7-1"/>
    <w:p>
      <w:pPr>
        <w:pStyle w:val="Heading2"/>
      </w:pPr>
      <w:r>
        <w:t xml:space="preserve">S6.7.1 Community Membership by Algorithm and Phase</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A reviewer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81"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31: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81"/>
        </w:tc>
      </w:tr>
    </w:tbl>
    <w:tbl>
      <w:tblPr>
        <w:tblStyle w:val="Table"/>
        <w:tblW w:type="pct" w:w="5000"/>
        <w:tblLook w:firstRow="0" w:lastRow="0" w:firstColumn="0" w:lastColumn="0" w:noHBand="0" w:noVBand="0" w:val="0000"/>
        <w:jc w:val="start"/>
        <w:tblLayout w:type="fixed"/>
      </w:tblPr>
      <w:tblGrid>
        <w:gridCol w:w="7920"/>
      </w:tblGrid>
      <w:tr>
        <w:tc>
          <w:tcPr/>
          <w:bookmarkStart w:id="285" w:name="fig-comembership-heatmap"/>
          <w:p>
            <w:pPr>
              <w:pStyle w:val="Compact"/>
              <w:jc w:val="center"/>
            </w:pPr>
            <w:r>
              <w:drawing>
                <wp:inline>
                  <wp:extent cx="5943600" cy="5943600"/>
                  <wp:effectExtent b="0" l="0" r="0" t="0"/>
                  <wp:docPr descr="" title="" id="283" name="Picture"/>
                  <a:graphic>
                    <a:graphicData uri="http://schemas.openxmlformats.org/drawingml/2006/picture">
                      <pic:pic>
                        <pic:nvPicPr>
                          <pic:cNvPr descr="../figures/comembership-heatmap.png" id="284" name="Picture"/>
                          <pic:cNvPicPr>
                            <a:picLocks noChangeArrowheads="1" noChangeAspect="1"/>
                          </pic:cNvPicPr>
                        </pic:nvPicPr>
                        <pic:blipFill>
                          <a:blip r:embed="rId282"/>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85"/>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6</w:t>
        </w:r>
      </w:hyperlink>
      <w:r>
        <w:t xml:space="preserve"> </w:t>
      </w:r>
      <w:r>
        <w:t xml:space="preserve">quantify which of these co-memberships survive resampling.</w:t>
      </w:r>
    </w:p>
    <w:bookmarkEnd w:id="286"/>
    <w:bookmarkStart w:id="288" w:name="sec-s6-7-2"/>
    <w:p>
      <w:pPr>
        <w:pStyle w:val="Heading2"/>
      </w:pPr>
      <w:r>
        <w:t xml:space="preserve">S6.7.2 Community Composition and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87"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32: Sign-type composition of Louvain communities at threshold 0.2. Values show the proportion of sites within each community that have at least one object bearing the sign type. Only sign types present in ≥10% of sites in at least one community are shown.</w:t>
            </w:r>
          </w:p>
          <w:bookmarkEnd w:id="287"/>
        </w:tc>
      </w:tr>
    </w:tbl>
    <w:bookmarkEnd w:id="288"/>
    <w:bookmarkStart w:id="293" w:name="sec-s6-7-3"/>
    <w:p>
      <w:pPr>
        <w:pStyle w:val="Heading2"/>
      </w:pPr>
      <w:r>
        <w:t xml:space="preserve">S6.7.3 Geographic Distribution of Communities</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92" w:name="fig-community-maps"/>
          <w:p>
            <w:pPr>
              <w:pStyle w:val="Compact"/>
              <w:jc w:val="center"/>
            </w:pPr>
            <w:r>
              <w:drawing>
                <wp:inline>
                  <wp:extent cx="5943600" cy="4622800"/>
                  <wp:effectExtent b="0" l="0" r="0" t="0"/>
                  <wp:docPr descr="" title="" id="290" name="Picture"/>
                  <a:graphic>
                    <a:graphicData uri="http://schemas.openxmlformats.org/drawingml/2006/picture">
                      <pic:pic>
                        <pic:nvPicPr>
                          <pic:cNvPr descr="../figures/community-maps.png" id="291" name="Picture"/>
                          <pic:cNvPicPr>
                            <a:picLocks noChangeArrowheads="1" noChangeAspect="1"/>
                          </pic:cNvPicPr>
                        </pic:nvPicPr>
                        <pic:blipFill>
                          <a:blip r:embed="rId289"/>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92"/>
        </w:tc>
      </w:tr>
    </w:tbl>
    <w:bookmarkEnd w:id="293"/>
    <w:bookmarkStart w:id="295" w:name="sec-s6-7-4"/>
    <w:p>
      <w:pPr>
        <w:pStyle w:val="Heading2"/>
      </w:pPr>
      <w:r>
        <w:t xml:space="preserve">S6.7.4 Cross-Algorithm Community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9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33: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94"/>
        </w:tc>
      </w:tr>
    </w:tbl>
    <w:bookmarkEnd w:id="295"/>
    <w:bookmarkStart w:id="296" w:name="sec-s6-7-5"/>
    <w:p>
      <w:pPr>
        <w:pStyle w:val="Heading2"/>
      </w:pPr>
      <w:r>
        <w:t xml:space="preserve">S6.7.5 Interpretation</w:t>
      </w:r>
    </w:p>
    <w:p>
      <w:pPr>
        <w:pStyle w:val="FirstParagraph"/>
      </w:pPr>
      <w:r>
        <w:rPr>
          <w:bCs/>
          <w:b/>
        </w:rPr>
        <w:t xml:space="preserve">Community structure in Aur-P1.</w:t>
      </w:r>
      <w:r>
        <w:t xml:space="preserve"> </w:t>
      </w:r>
      <w:r>
        <w:t xml:space="preserve">The Louvain algorithm identifies 4 communities in Aur-P1 (Table S6.7.1).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 The geographic map (</w:t>
      </w:r>
      <w:hyperlink w:anchor="fig-community-maps">
        <w:r>
          <w:rPr>
            <w:rStyle w:val="Hyperlink"/>
          </w:rPr>
          <w:t xml:space="preserve">Figure 8</w:t>
        </w:r>
      </w:hyperlink>
      <w:r>
        <w:t xml:space="preserve">, Aur-P1 facet) shows that Community 2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(Table S6.7.1). With only 9 sites total, the communities are small (1–3 sites each), and the PerMANOVA significance (S5.5) likely reflects strong pairwise similarities among a few sites rather than robust multi-site clusters. The geographic map (</w:t>
      </w:r>
      <w:hyperlink w:anchor="fig-community-maps">
        <w:r>
          <w:rPr>
            <w:rStyle w:val="Hyperlink"/>
          </w:rPr>
          <w:t xml:space="preserve">Figure 8</w:t>
        </w:r>
      </w:hyperlink>
      <w:r>
        <w:t xml:space="preserve">, Aur-P2 facet) shows limited spatial coherence, consistent with the non-significant null-benchmarked modularity (S5.3).</w:t>
      </w:r>
    </w:p>
    <w:p>
      <w:pPr>
        <w:pStyle w:val="BodyText"/>
      </w:pPr>
      <w:r>
        <w:rPr>
          <w:bCs/>
          <w:b/>
        </w:rPr>
        <w:t xml:space="preserve">Cross-algorithm consistency.</w:t>
      </w:r>
      <w:r>
        <w:t xml:space="preserve"> </w:t>
      </w:r>
      <w:r>
        <w:t xml:space="preserve">Table S6.7.4 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r>
        <w:t xml:space="preserve">Table S6.7.2 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96"/>
    <w:bookmarkEnd w:id="297"/>
    <w:bookmarkStart w:id="315" w:name="sec-s7"/>
    <w:p>
      <w:pPr>
        <w:pStyle w:val="Heading1"/>
      </w:pPr>
      <w:r>
        <w:t xml:space="preserve">S7. Object-Type Sensitivity: Figurine Exclusion</w:t>
      </w:r>
    </w:p>
    <w:bookmarkStart w:id="298"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98"/>
    <w:bookmarkStart w:id="300"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99"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34: Distribution of figurine objects across phases and sites. Figurine types include figurine zoomorph, figurine anthropomorph, figurine undet., and possible figurine.</w:t>
            </w:r>
          </w:p>
          <w:bookmarkEnd w:id="299"/>
        </w:tc>
      </w:tr>
    </w:tbl>
    <w:p>
      <w:pPr>
        <w:pStyle w:val="BodyText"/>
      </w:pPr>
      <w:hyperlink w:anchor="tbl-figurine-count">
        <w:r>
          <w:rPr>
            <w:rStyle w:val="Hyperlink"/>
          </w:rPr>
          <w:t xml:space="preserve">Table 34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300"/>
    <w:bookmarkStart w:id="305" w:name="s7.3-analysis-1-exclude-all-figurines"/>
    <w:p>
      <w:pPr>
        <w:pStyle w:val="Heading2"/>
      </w:pPr>
      <w:r>
        <w:t xml:space="preserve">S7.3 Analysis 1: Exclude All Figurines</w:t>
      </w:r>
    </w:p>
    <w:bookmarkStart w:id="303"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01"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35: Network statistics before and after excluding all figurine objects (figurine zoomorph, figurine anthropomorph, figurine undet., and possible figurine). Threshold = 0.2, Jaccard similarity.</w:t>
            </w:r>
          </w:p>
          <w:bookmarkEnd w:id="3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02"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36: Number of sites per phase before and after figurine exclusion. Sites are lost when all objects at that site are figurines.</w:t>
            </w:r>
          </w:p>
          <w:bookmarkEnd w:id="302"/>
        </w:tc>
      </w:tr>
    </w:tbl>
    <w:bookmarkEnd w:id="303"/>
    <w:bookmarkStart w:id="304" w:name="interpretation-7"/>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304"/>
    <w:bookmarkEnd w:id="305"/>
    <w:bookmarkStart w:id="310" w:name="X7549e60451b9f7bbee640100d361a0cf771ac62"/>
    <w:p>
      <w:pPr>
        <w:pStyle w:val="Heading2"/>
      </w:pPr>
      <w:r>
        <w:t xml:space="preserve">S7.4 Analysis 2: Exclude Vogelherd Figurines Only</w:t>
      </w:r>
    </w:p>
    <w:bookmarkStart w:id="308"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306"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37: Network statistics before and after excluding figurines from Vogelherd only. All other figurines (Hohle Fels, Geissenklösterle, Hohlenstein-Stadel, La Ferrassie) are retained. Threshold = 0.2, Jaccard similarity.</w:t>
            </w:r>
          </w:p>
          <w:bookmarkEnd w:id="30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07"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38: Vogelherd object counts before and after removing figurines. Non-figurine objects at Vogelherd (tools, plaquettes, etc.) are retained.</w:t>
            </w:r>
          </w:p>
          <w:bookmarkEnd w:id="307"/>
        </w:tc>
      </w:tr>
    </w:tbl>
    <w:bookmarkEnd w:id="308"/>
    <w:bookmarkStart w:id="309" w:name="interpretation-8"/>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309"/>
    <w:bookmarkEnd w:id="310"/>
    <w:bookmarkStart w:id="312"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311"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39: Side-by-side comparison of network statistics across all conditions: baseline (all objects), exclude all figurines, and exclude Vogelherd figurines only. The rightmost columns show the percentage change in mean degree from baseline.</w:t>
            </w:r>
          </w:p>
          <w:bookmarkEnd w:id="311"/>
        </w:tc>
      </w:tr>
    </w:tbl>
    <w:bookmarkEnd w:id="312"/>
    <w:bookmarkStart w:id="314"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313"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40: Mean degree by figurine-exclusion condition, with percentage change from baseline. Reproduced directly from the joint comparison in</w:t>
            </w:r>
            <w:r>
              <w:t xml:space="preserve"> </w:t>
            </w:r>
            <w:hyperlink w:anchor="tbl-objtype-joint">
              <w:r>
                <w:rPr>
                  <w:rStyle w:val="Hyperlink"/>
                </w:rPr>
                <w:t xml:space="preserve">Table 39</w:t>
              </w:r>
            </w:hyperlink>
            <w:r>
              <w:t xml:space="preserve">.</w:t>
            </w:r>
          </w:p>
          <w:bookmarkEnd w:id="313"/>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314"/>
    <w:bookmarkEnd w:id="315"/>
    <w:bookmarkStart w:id="323" w:name="sec-s8"/>
    <w:p>
      <w:pPr>
        <w:pStyle w:val="Heading1"/>
      </w:pPr>
      <w:r>
        <w:t xml:space="preserve">S8. Site Reclassification Sensitivity Analysis</w:t>
      </w:r>
    </w:p>
    <w:bookmarkStart w:id="316"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11"/>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11"/>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11"/>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11"/>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316"/>
    <w:bookmarkStart w:id="319"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317"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41: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317"/>
        </w:tc>
      </w:tr>
    </w:tbl>
    <w:bookmarkStart w:id="318"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318"/>
    <w:bookmarkEnd w:id="319"/>
    <w:bookmarkStart w:id="321"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20"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42: Mean degree by phase under each reassignment condition. The Aur-P1 &gt; Aur-P2 ordering is preserved under every condition.</w:t>
            </w:r>
          </w:p>
          <w:bookmarkEnd w:id="320"/>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321"/>
    <w:bookmarkStart w:id="322"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322"/>
    <w:bookmarkEnd w:id="323"/>
    <w:bookmarkStart w:id="421"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12"/>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331" w:name="sec-s9-1"/>
    <w:p>
      <w:pPr>
        <w:pStyle w:val="Heading2"/>
      </w:pPr>
      <w:r>
        <w:t xml:space="preserve">S9.1 Object-count distribution and feasible common counts</w:t>
      </w:r>
    </w:p>
    <w:bookmarkStart w:id="329" w:name="rationale-15"/>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324"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43: Per-site object counts by phase and manual restricted(1)/broad(2) group.</w:t>
            </w:r>
          </w:p>
          <w:bookmarkEnd w:id="324"/>
        </w:tc>
      </w:tr>
    </w:tbl>
    <w:tbl>
      <w:tblPr>
        <w:tblStyle w:val="Table"/>
        <w:tblW w:type="pct" w:w="5000"/>
        <w:tblLook w:firstRow="0" w:lastRow="0" w:firstColumn="0" w:lastColumn="0" w:noHBand="0" w:noVBand="0" w:val="0000"/>
        <w:jc w:val="start"/>
        <w:tblLayout w:type="fixed"/>
      </w:tblPr>
      <w:tblGrid>
        <w:gridCol w:w="7920"/>
      </w:tblGrid>
      <w:tr>
        <w:tc>
          <w:tcPr/>
          <w:bookmarkStart w:id="328" w:name="fig-s9-objhist"/>
          <w:p>
            <w:pPr>
              <w:pStyle w:val="Compact"/>
              <w:jc w:val="center"/>
            </w:pPr>
            <w:r>
              <w:drawing>
                <wp:inline>
                  <wp:extent cx="5943600" cy="2971800"/>
                  <wp:effectExtent b="0" l="0" r="0" t="0"/>
                  <wp:docPr descr="" title="" id="326" name="Picture"/>
                  <a:graphic>
                    <a:graphicData uri="http://schemas.openxmlformats.org/drawingml/2006/picture">
                      <pic:pic>
                        <pic:nvPicPr>
                          <pic:cNvPr descr="S1-supplement-sensitivity_files/figure-docx/fig-s9-objhist-1.png" id="327" name="Picture"/>
                          <pic:cNvPicPr>
                            <a:picLocks noChangeArrowheads="1" noChangeAspect="1"/>
                          </pic:cNvPicPr>
                        </pic:nvPicPr>
                        <pic:blipFill>
                          <a:blip r:embed="rId32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object counts per site by phase. Most sites contribute few objects; a small number of large assemblages (e.g. Vogelherd) dominate the upper tail.</w:t>
            </w:r>
          </w:p>
          <w:bookmarkEnd w:id="328"/>
        </w:tc>
      </w:tr>
    </w:tbl>
    <w:bookmarkEnd w:id="329"/>
    <w:bookmarkStart w:id="330"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330"/>
    <w:bookmarkEnd w:id="331"/>
    <w:bookmarkStart w:id="340" w:name="sec-s9-2"/>
    <w:p>
      <w:pPr>
        <w:pStyle w:val="Heading2"/>
      </w:pPr>
      <w:r>
        <w:t xml:space="preserve">S9.2 Object-level downsampling sensitivity</w:t>
      </w:r>
    </w:p>
    <w:bookmarkStart w:id="338" w:name="rationale-16"/>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332"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44: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33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33"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45: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333"/>
        </w:tc>
      </w:tr>
    </w:tbl>
    <w:tbl>
      <w:tblPr>
        <w:tblStyle w:val="Table"/>
        <w:tblW w:type="pct" w:w="5000"/>
        <w:tblLook w:firstRow="0" w:lastRow="0" w:firstColumn="0" w:lastColumn="0" w:noHBand="0" w:noVBand="0" w:val="0000"/>
        <w:jc w:val="start"/>
        <w:tblLayout w:type="fixed"/>
      </w:tblPr>
      <w:tblGrid>
        <w:gridCol w:w="7920"/>
      </w:tblGrid>
      <w:tr>
        <w:tc>
          <w:tcPr/>
          <w:bookmarkStart w:id="337" w:name="fig-s9-retention"/>
          <w:p>
            <w:pPr>
              <w:pStyle w:val="Compact"/>
              <w:jc w:val="center"/>
            </w:pPr>
            <w:r>
              <w:drawing>
                <wp:inline>
                  <wp:extent cx="5943600" cy="5943600"/>
                  <wp:effectExtent b="0" l="0" r="0" t="0"/>
                  <wp:docPr descr="" title="" id="335" name="Picture"/>
                  <a:graphic>
                    <a:graphicData uri="http://schemas.openxmlformats.org/drawingml/2006/picture">
                      <pic:pic>
                        <pic:nvPicPr>
                          <pic:cNvPr descr="S1-supplement-sensitivity_files/figure-docx/fig-s9-retention-1.png" id="336" name="Picture"/>
                          <pic:cNvPicPr>
                            <a:picLocks noChangeArrowheads="1" noChangeAspect="1"/>
                          </pic:cNvPicPr>
                        </pic:nvPicPr>
                        <pic:blipFill>
                          <a:blip r:embed="rId33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337"/>
        </w:tc>
      </w:tr>
    </w:tbl>
    <w:bookmarkEnd w:id="338"/>
    <w:bookmarkStart w:id="339"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339"/>
    <w:bookmarkEnd w:id="340"/>
    <w:bookmarkStart w:id="348" w:name="sec-s9-3"/>
    <w:p>
      <w:pPr>
        <w:pStyle w:val="Heading2"/>
      </w:pPr>
      <w:r>
        <w:t xml:space="preserve">S9.3 Coverage-based rarefaction</w:t>
      </w:r>
    </w:p>
    <w:bookmarkStart w:id="346" w:name="rationale-17"/>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341"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46: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341"/>
        </w:tc>
      </w:tr>
    </w:tbl>
    <w:tbl>
      <w:tblPr>
        <w:tblStyle w:val="Table"/>
        <w:tblW w:type="pct" w:w="5000"/>
        <w:tblLook w:firstRow="0" w:lastRow="0" w:firstColumn="0" w:lastColumn="0" w:noHBand="0" w:noVBand="0" w:val="0000"/>
        <w:jc w:val="start"/>
        <w:tblLayout w:type="fixed"/>
      </w:tblPr>
      <w:tblGrid>
        <w:gridCol w:w="7920"/>
      </w:tblGrid>
      <w:tr>
        <w:tc>
          <w:tcPr/>
          <w:bookmarkStart w:id="345" w:name="fig-s9-rarefaction"/>
          <w:p>
            <w:pPr>
              <w:pStyle w:val="Compact"/>
              <w:jc w:val="center"/>
            </w:pPr>
            <w:r>
              <w:drawing>
                <wp:inline>
                  <wp:extent cx="5943600" cy="3396342"/>
                  <wp:effectExtent b="0" l="0" r="0" t="0"/>
                  <wp:docPr descr="" title="" id="343" name="Picture"/>
                  <a:graphic>
                    <a:graphicData uri="http://schemas.openxmlformats.org/drawingml/2006/picture">
                      <pic:pic>
                        <pic:nvPicPr>
                          <pic:cNvPr descr="S1-supplement-sensitivity_files/figure-docx/fig-s9-rarefaction-1.png" id="344" name="Picture"/>
                          <pic:cNvPicPr>
                            <a:picLocks noChangeArrowheads="1" noChangeAspect="1"/>
                          </pic:cNvPicPr>
                        </pic:nvPicPr>
                        <pic:blipFill>
                          <a:blip r:embed="rId342"/>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Sign-type richness estimated at target coverage = 0.9 with 95% confidence intervals, by manual group, for sites that reach that coverage. Restricted sites (green) that attain high coverage remain low-richness; broad sites (red) remain high-richness.</w:t>
            </w:r>
          </w:p>
          <w:bookmarkEnd w:id="345"/>
        </w:tc>
      </w:tr>
    </w:tbl>
    <w:bookmarkEnd w:id="346"/>
    <w:bookmarkStart w:id="347"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347"/>
    <w:bookmarkEnd w:id="348"/>
    <w:bookmarkStart w:id="352" w:name="sec-s9-4"/>
    <w:p>
      <w:pPr>
        <w:pStyle w:val="Heading2"/>
      </w:pPr>
      <w:r>
        <w:t xml:space="preserve">S9.4 Negative-binomial regression with object-count covariate</w:t>
      </w:r>
    </w:p>
    <w:bookmarkStart w:id="350" w:name="rationale-18"/>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349"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47: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349"/>
        </w:tc>
      </w:tr>
    </w:tbl>
    <w:bookmarkEnd w:id="350"/>
    <w:bookmarkStart w:id="351"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351"/>
    <w:bookmarkEnd w:id="352"/>
    <w:bookmarkStart w:id="360" w:name="sec-s9-5"/>
    <w:p>
      <w:pPr>
        <w:pStyle w:val="Heading2"/>
      </w:pPr>
      <w:r>
        <w:t xml:space="preserve">S9.5 Equal-effort pool comparison (iNEXT)</w:t>
      </w:r>
    </w:p>
    <w:bookmarkStart w:id="358" w:name="rationale-19"/>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353"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48: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353"/>
        </w:tc>
      </w:tr>
    </w:tbl>
    <w:tbl>
      <w:tblPr>
        <w:tblStyle w:val="Table"/>
        <w:tblW w:type="pct" w:w="5000"/>
        <w:tblLook w:firstRow="0" w:lastRow="0" w:firstColumn="0" w:lastColumn="0" w:noHBand="0" w:noVBand="0" w:val="0000"/>
        <w:jc w:val="start"/>
        <w:tblLayout w:type="fixed"/>
      </w:tblPr>
      <w:tblGrid>
        <w:gridCol w:w="7920"/>
      </w:tblGrid>
      <w:tr>
        <w:tc>
          <w:tcPr/>
          <w:bookmarkStart w:id="357" w:name="fig-s9-pool-inext"/>
          <w:p>
            <w:pPr>
              <w:pStyle w:val="Compact"/>
              <w:jc w:val="center"/>
            </w:pPr>
            <w:r>
              <w:drawing>
                <wp:inline>
                  <wp:extent cx="5943600" cy="3566160"/>
                  <wp:effectExtent b="0" l="0" r="0" t="0"/>
                  <wp:docPr descr="" title="" id="355" name="Picture"/>
                  <a:graphic>
                    <a:graphicData uri="http://schemas.openxmlformats.org/drawingml/2006/picture">
                      <pic:pic>
                        <pic:nvPicPr>
                          <pic:cNvPr descr="S1-supplement-sensitivity_files/figure-docx/fig-s9-pool-inext-1.png" id="356" name="Picture"/>
                          <pic:cNvPicPr>
                            <a:picLocks noChangeArrowheads="1" noChangeAspect="1"/>
                          </pic:cNvPicPr>
                        </pic:nvPicPr>
                        <pic:blipFill>
                          <a:blip r:embed="rId354"/>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357"/>
        </w:tc>
      </w:tr>
    </w:tbl>
    <w:bookmarkEnd w:id="358"/>
    <w:bookmarkStart w:id="359"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359"/>
    <w:bookmarkEnd w:id="360"/>
    <w:bookmarkStart w:id="361"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361"/>
    <w:bookmarkStart w:id="365" w:name="sec-s9-7"/>
    <w:p>
      <w:pPr>
        <w:pStyle w:val="Heading2"/>
      </w:pPr>
      <w:r>
        <w:t xml:space="preserve">S9.7 Simpson-dissimilarity group test and richness-preserving nulls</w:t>
      </w:r>
    </w:p>
    <w:bookmarkStart w:id="363" w:name="rationale-20"/>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362"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362"/>
        </w:tc>
      </w:tr>
    </w:tbl>
    <w:bookmarkEnd w:id="363"/>
    <w:bookmarkStart w:id="364" w:name="interpretation-14"/>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364"/>
    <w:bookmarkEnd w:id="365"/>
    <w:bookmarkStart w:id="420" w:name="references-cited"/>
    <w:p>
      <w:pPr>
        <w:pStyle w:val="Heading2"/>
      </w:pPr>
      <w:r>
        <w:t xml:space="preserve">References cited</w:t>
      </w:r>
    </w:p>
    <w:bookmarkStart w:id="419" w:name="refs"/>
    <w:bookmarkStart w:id="367"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66">
        <w:r>
          <w:rPr>
            <w:rStyle w:val="Hyperlink"/>
          </w:rPr>
          <w:t xml:space="preserve">https://doi.org/10.1016/j.quascirev.2021.106995</w:t>
        </w:r>
      </w:hyperlink>
      <w:r>
        <w:t xml:space="preserve">.</w:t>
      </w:r>
    </w:p>
    <w:bookmarkEnd w:id="367"/>
    <w:bookmarkStart w:id="369"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68">
        <w:r>
          <w:rPr>
            <w:rStyle w:val="Hyperlink"/>
          </w:rPr>
          <w:t xml:space="preserve">https://doi.org/10.1007/s41982-017-0004-4</w:t>
        </w:r>
      </w:hyperlink>
      <w:r>
        <w:t xml:space="preserve">.</w:t>
      </w:r>
    </w:p>
    <w:bookmarkEnd w:id="369"/>
    <w:bookmarkStart w:id="371"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70">
        <w:r>
          <w:rPr>
            <w:rStyle w:val="Hyperlink"/>
          </w:rPr>
          <w:t xml:space="preserve">https://doi.org/10.1088/1742-5468/2008/10/P10008</w:t>
        </w:r>
      </w:hyperlink>
      <w:r>
        <w:t xml:space="preserve">.</w:t>
      </w:r>
    </w:p>
    <w:bookmarkEnd w:id="371"/>
    <w:bookmarkStart w:id="373"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372">
        <w:r>
          <w:rPr>
            <w:rStyle w:val="Hyperlink"/>
          </w:rPr>
          <w:t xml:space="preserve">https://doi.org/10.1103/PhysRevE.69.026113</w:t>
        </w:r>
      </w:hyperlink>
      <w:r>
        <w:t xml:space="preserve">.</w:t>
      </w:r>
    </w:p>
    <w:bookmarkEnd w:id="373"/>
    <w:bookmarkStart w:id="375"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74">
        <w:r>
          <w:rPr>
            <w:rStyle w:val="Hyperlink"/>
          </w:rPr>
          <w:t xml:space="preserve">https://doi.org/10.1016/j.socnet.2020.11.005</w:t>
        </w:r>
      </w:hyperlink>
      <w:r>
        <w:t xml:space="preserve">.</w:t>
      </w:r>
    </w:p>
    <w:bookmarkEnd w:id="375"/>
    <w:bookmarkStart w:id="377"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76">
        <w:r>
          <w:rPr>
            <w:rStyle w:val="Hyperlink"/>
          </w:rPr>
          <w:t xml:space="preserve">https://doi.org/10.1198/108571102320</w:t>
        </w:r>
      </w:hyperlink>
      <w:r>
        <w:t xml:space="preserve">.</w:t>
      </w:r>
    </w:p>
    <w:bookmarkEnd w:id="377"/>
    <w:bookmarkStart w:id="379"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378">
        <w:r>
          <w:rPr>
            <w:rStyle w:val="Hyperlink"/>
          </w:rPr>
          <w:t xml:space="preserve">https://doi.org/10.1007/s11258-006-9126-3</w:t>
        </w:r>
      </w:hyperlink>
      <w:r>
        <w:t xml:space="preserve">.</w:t>
      </w:r>
    </w:p>
    <w:bookmarkEnd w:id="379"/>
    <w:bookmarkStart w:id="381"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80">
        <w:r>
          <w:rPr>
            <w:rStyle w:val="Hyperlink"/>
          </w:rPr>
          <w:t xml:space="preserve">https://doi.org/10.18637/jss.v022.i07</w:t>
        </w:r>
      </w:hyperlink>
      <w:r>
        <w:t xml:space="preserve">.</w:t>
      </w:r>
    </w:p>
    <w:bookmarkEnd w:id="381"/>
    <w:bookmarkStart w:id="383"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82">
        <w:r>
          <w:rPr>
            <w:rStyle w:val="Hyperlink"/>
          </w:rPr>
          <w:t xml:space="preserve">https://doi.org/10.1023/A:1023949509487</w:t>
        </w:r>
      </w:hyperlink>
      <w:r>
        <w:t xml:space="preserve">.</w:t>
      </w:r>
    </w:p>
    <w:bookmarkEnd w:id="383"/>
    <w:bookmarkStart w:id="385"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84">
        <w:r>
          <w:rPr>
            <w:rStyle w:val="Hyperlink"/>
          </w:rPr>
          <w:t xml:space="preserve">https://doi.org/10.48550/arXiv.1602.07587</w:t>
        </w:r>
      </w:hyperlink>
      <w:r>
        <w:t xml:space="preserve">.</w:t>
      </w:r>
    </w:p>
    <w:bookmarkEnd w:id="385"/>
    <w:bookmarkStart w:id="387"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86">
        <w:r>
          <w:rPr>
            <w:rStyle w:val="Hyperlink"/>
          </w:rPr>
          <w:t xml:space="preserve">https://doi.org/10.1007/BF01908075</w:t>
        </w:r>
      </w:hyperlink>
      <w:r>
        <w:t xml:space="preserve">.</w:t>
      </w:r>
    </w:p>
    <w:bookmarkEnd w:id="387"/>
    <w:bookmarkStart w:id="389"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88">
        <w:r>
          <w:rPr>
            <w:rStyle w:val="Hyperlink"/>
          </w:rPr>
          <w:t xml:space="preserve">https://doi.org/10.1080/01621459.2022.2116331</w:t>
        </w:r>
      </w:hyperlink>
      <w:r>
        <w:t xml:space="preserve">.</w:t>
      </w:r>
    </w:p>
    <w:bookmarkEnd w:id="389"/>
    <w:bookmarkStart w:id="391"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90">
        <w:r>
          <w:rPr>
            <w:rStyle w:val="Hyperlink"/>
          </w:rPr>
          <w:t xml:space="preserve">https://doi.org/10.1093/biostatistics/kxac047</w:t>
        </w:r>
      </w:hyperlink>
      <w:r>
        <w:t xml:space="preserve">.</w:t>
      </w:r>
    </w:p>
    <w:bookmarkEnd w:id="391"/>
    <w:bookmarkStart w:id="393"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92">
        <w:r>
          <w:rPr>
            <w:rStyle w:val="Hyperlink"/>
          </w:rPr>
          <w:t xml:space="preserve">https://doi.org/10.2307/2529826</w:t>
        </w:r>
      </w:hyperlink>
      <w:r>
        <w:t xml:space="preserve">.</w:t>
      </w:r>
    </w:p>
    <w:bookmarkEnd w:id="393"/>
    <w:bookmarkStart w:id="395"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94">
        <w:r>
          <w:rPr>
            <w:rStyle w:val="Hyperlink"/>
          </w:rPr>
          <w:t xml:space="preserve">https://doi.org/10.1093/bioinformatics/btw438</w:t>
        </w:r>
      </w:hyperlink>
      <w:r>
        <w:t xml:space="preserve">.</w:t>
      </w:r>
    </w:p>
    <w:bookmarkEnd w:id="395"/>
    <w:bookmarkStart w:id="397"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96">
        <w:r>
          <w:rPr>
            <w:rStyle w:val="Hyperlink"/>
          </w:rPr>
          <w:t xml:space="preserve">https://doi.org/10.1073/pnas.2520385123</w:t>
        </w:r>
      </w:hyperlink>
      <w:r>
        <w:t xml:space="preserve">.</w:t>
      </w:r>
    </w:p>
    <w:bookmarkEnd w:id="397"/>
    <w:bookmarkStart w:id="399"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98">
        <w:r>
          <w:rPr>
            <w:rStyle w:val="Hyperlink"/>
          </w:rPr>
          <w:t xml:space="preserve">https://doi.org/10.30861/9781841718309</w:t>
        </w:r>
      </w:hyperlink>
      <w:r>
        <w:t xml:space="preserve">.</w:t>
      </w:r>
    </w:p>
    <w:bookmarkEnd w:id="399"/>
    <w:bookmarkStart w:id="401"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400">
        <w:r>
          <w:rPr>
            <w:rStyle w:val="Hyperlink"/>
          </w:rPr>
          <w:t xml:space="preserve">https://doi.org/10.1016/j.jhevol.2011.06.005</w:t>
        </w:r>
      </w:hyperlink>
      <w:r>
        <w:t xml:space="preserve">.</w:t>
      </w:r>
    </w:p>
    <w:bookmarkEnd w:id="401"/>
    <w:bookmarkStart w:id="403"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402">
        <w:r>
          <w:rPr>
            <w:rStyle w:val="Hyperlink"/>
          </w:rPr>
          <w:t xml:space="preserve">https://doi.org/10.1002/jqs.3236</w:t>
        </w:r>
      </w:hyperlink>
      <w:r>
        <w:t xml:space="preserve">.</w:t>
      </w:r>
    </w:p>
    <w:bookmarkEnd w:id="403"/>
    <w:bookmarkStart w:id="404"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404"/>
    <w:bookmarkStart w:id="406"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405">
        <w:r>
          <w:rPr>
            <w:rStyle w:val="Hyperlink"/>
          </w:rPr>
          <w:t xml:space="preserve">https://doi.org/10.1007/978-3-211-49294-9_4</w:t>
        </w:r>
      </w:hyperlink>
      <w:r>
        <w:t xml:space="preserve">.</w:t>
      </w:r>
    </w:p>
    <w:bookmarkEnd w:id="406"/>
    <w:bookmarkStart w:id="408"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407">
        <w:r>
          <w:rPr>
            <w:rStyle w:val="Hyperlink"/>
          </w:rPr>
          <w:t xml:space="preserve">https://doi.org/10.1038/nature03585</w:t>
        </w:r>
      </w:hyperlink>
      <w:r>
        <w:t xml:space="preserve">.</w:t>
      </w:r>
    </w:p>
    <w:bookmarkEnd w:id="408"/>
    <w:bookmarkStart w:id="410"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409">
        <w:r>
          <w:rPr>
            <w:rStyle w:val="Hyperlink"/>
          </w:rPr>
          <w:t xml:space="preserve">https://doi.org/10.1007/s41982-025-00246-x</w:t>
        </w:r>
      </w:hyperlink>
      <w:r>
        <w:t xml:space="preserve">.</w:t>
      </w:r>
    </w:p>
    <w:bookmarkEnd w:id="410"/>
    <w:bookmarkStart w:id="412"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411">
        <w:r>
          <w:rPr>
            <w:rStyle w:val="Hyperlink"/>
          </w:rPr>
          <w:t xml:space="preserve">https://doi.org/10.1890/11-1952.1</w:t>
        </w:r>
      </w:hyperlink>
      <w:r>
        <w:t xml:space="preserve">.</w:t>
      </w:r>
    </w:p>
    <w:bookmarkEnd w:id="412"/>
    <w:bookmarkStart w:id="414"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413">
        <w:r>
          <w:rPr>
            <w:rStyle w:val="Hyperlink"/>
          </w:rPr>
          <w:t xml:space="preserve">https://doi.org/10.1046/j.1461-0248.2001.00230.x</w:t>
        </w:r>
      </w:hyperlink>
      <w:r>
        <w:t xml:space="preserve">.</w:t>
      </w:r>
    </w:p>
    <w:bookmarkEnd w:id="414"/>
    <w:bookmarkStart w:id="416"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415">
        <w:r>
          <w:rPr>
            <w:rStyle w:val="Hyperlink"/>
          </w:rPr>
          <w:t xml:space="preserve">https://doi.org/10.1111/2041-210X.12613</w:t>
        </w:r>
      </w:hyperlink>
      <w:r>
        <w:t xml:space="preserve">.</w:t>
      </w:r>
    </w:p>
    <w:bookmarkEnd w:id="416"/>
    <w:bookmarkStart w:id="418"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417">
        <w:r>
          <w:rPr>
            <w:rStyle w:val="Hyperlink"/>
          </w:rPr>
          <w:t xml:space="preserve">https://doi.org/10.1007/978-0-387-21706-2</w:t>
        </w:r>
      </w:hyperlink>
      <w:r>
        <w:t xml:space="preserve">.</w:t>
      </w:r>
    </w:p>
    <w:bookmarkEnd w:id="418"/>
    <w:bookmarkEnd w:id="419"/>
    <w:bookmarkEnd w:id="420"/>
    <w:bookmarkEnd w:id="42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0" Target="media/rId130.png" /><Relationship Type="http://schemas.openxmlformats.org/officeDocument/2006/relationships/image" Id="rId282" Target="media/rId282.png" /><Relationship Type="http://schemas.openxmlformats.org/officeDocument/2006/relationships/image" Id="rId289" Target="media/rId289.png" /><Relationship Type="http://schemas.openxmlformats.org/officeDocument/2006/relationships/image" Id="rId120" Target="media/rId120.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105" Target="media/rId105.png" /><Relationship Type="http://schemas.openxmlformats.org/officeDocument/2006/relationships/image" Id="rId325" Target="media/rId325.png" /><Relationship Type="http://schemas.openxmlformats.org/officeDocument/2006/relationships/image" Id="rId354" Target="media/rId354.png" /><Relationship Type="http://schemas.openxmlformats.org/officeDocument/2006/relationships/image" Id="rId342" Target="media/rId342.png" /><Relationship Type="http://schemas.openxmlformats.org/officeDocument/2006/relationships/image" Id="rId334" Target="media/rId334.png" /><Relationship Type="http://schemas.openxmlformats.org/officeDocument/2006/relationships/image" Id="rId92" Target="media/rId92.png" /><Relationship Type="http://schemas.openxmlformats.org/officeDocument/2006/relationships/image" Id="rId137" Target="media/rId137.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40" Target="media/rId14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146" Target="media/rId146.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hyperlink" Id="rId402" Target="https://doi.org/10.1002/jqs.3236" TargetMode="External" /><Relationship Type="http://schemas.openxmlformats.org/officeDocument/2006/relationships/hyperlink" Id="rId417" Target="https://doi.org/10.1007/978-0-387-21706-2" TargetMode="External" /><Relationship Type="http://schemas.openxmlformats.org/officeDocument/2006/relationships/hyperlink" Id="rId405" Target="https://doi.org/10.1007/978-3-211-49294-9_4" TargetMode="External" /><Relationship Type="http://schemas.openxmlformats.org/officeDocument/2006/relationships/hyperlink" Id="rId386" Target="https://doi.org/10.1007/BF01908075" TargetMode="External" /><Relationship Type="http://schemas.openxmlformats.org/officeDocument/2006/relationships/hyperlink" Id="rId378" Target="https://doi.org/10.1007/s11258-006-9126-3" TargetMode="External" /><Relationship Type="http://schemas.openxmlformats.org/officeDocument/2006/relationships/hyperlink" Id="rId368" Target="https://doi.org/10.1007/s41982-017-0004-4" TargetMode="External" /><Relationship Type="http://schemas.openxmlformats.org/officeDocument/2006/relationships/hyperlink" Id="rId409" Target="https://doi.org/10.1007/s41982-025-00246-x" TargetMode="External" /><Relationship Type="http://schemas.openxmlformats.org/officeDocument/2006/relationships/hyperlink" Id="rId400" Target="https://doi.org/10.1016/j.jhevol.2011.06.005" TargetMode="External" /><Relationship Type="http://schemas.openxmlformats.org/officeDocument/2006/relationships/hyperlink" Id="rId366" Target="https://doi.org/10.1016/j.quascirev.2021.106995" TargetMode="External" /><Relationship Type="http://schemas.openxmlformats.org/officeDocument/2006/relationships/hyperlink" Id="rId374" Target="https://doi.org/10.1016/j.socnet.2020.11.005" TargetMode="External" /><Relationship Type="http://schemas.openxmlformats.org/officeDocument/2006/relationships/hyperlink" Id="rId382" Target="https://doi.org/10.1023/A:1023949509487" TargetMode="External" /><Relationship Type="http://schemas.openxmlformats.org/officeDocument/2006/relationships/hyperlink" Id="rId407" Target="https://doi.org/10.1038/nature03585" TargetMode="External" /><Relationship Type="http://schemas.openxmlformats.org/officeDocument/2006/relationships/hyperlink" Id="rId413" Target="https://doi.org/10.1046/j.1461-0248.2001.00230.x" TargetMode="External" /><Relationship Type="http://schemas.openxmlformats.org/officeDocument/2006/relationships/hyperlink" Id="rId396" Target="https://doi.org/10.1073/pnas.2520385123" TargetMode="External" /><Relationship Type="http://schemas.openxmlformats.org/officeDocument/2006/relationships/hyperlink" Id="rId388" Target="https://doi.org/10.1080/01621459.2022.2116331" TargetMode="External" /><Relationship Type="http://schemas.openxmlformats.org/officeDocument/2006/relationships/hyperlink" Id="rId370" Target="https://doi.org/10.1088/1742-5468/2008/10/P10008" TargetMode="External" /><Relationship Type="http://schemas.openxmlformats.org/officeDocument/2006/relationships/hyperlink" Id="rId394" Target="https://doi.org/10.1093/bioinformatics/btw438" TargetMode="External" /><Relationship Type="http://schemas.openxmlformats.org/officeDocument/2006/relationships/hyperlink" Id="rId390" Target="https://doi.org/10.1093/biostatistics/kxac047" TargetMode="External" /><Relationship Type="http://schemas.openxmlformats.org/officeDocument/2006/relationships/hyperlink" Id="rId372" Target="https://doi.org/10.1103/PhysRevE.69.026113" TargetMode="External" /><Relationship Type="http://schemas.openxmlformats.org/officeDocument/2006/relationships/hyperlink" Id="rId415" Target="https://doi.org/10.1111/2041-210X.12613" TargetMode="External" /><Relationship Type="http://schemas.openxmlformats.org/officeDocument/2006/relationships/hyperlink" Id="rId376" Target="https://doi.org/10.1198/108571102320" TargetMode="External" /><Relationship Type="http://schemas.openxmlformats.org/officeDocument/2006/relationships/hyperlink" Id="rId380" Target="https://doi.org/10.18637/jss.v022.i07" TargetMode="External" /><Relationship Type="http://schemas.openxmlformats.org/officeDocument/2006/relationships/hyperlink" Id="rId411" Target="https://doi.org/10.1890/11-1952.1" TargetMode="External" /><Relationship Type="http://schemas.openxmlformats.org/officeDocument/2006/relationships/hyperlink" Id="rId392" Target="https://doi.org/10.2307/2529826" TargetMode="External" /><Relationship Type="http://schemas.openxmlformats.org/officeDocument/2006/relationships/hyperlink" Id="rId398" Target="https://doi.org/10.30861/9781841718309" TargetMode="External" /><Relationship Type="http://schemas.openxmlformats.org/officeDocument/2006/relationships/hyperlink" Id="rId384"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402" Target="https://doi.org/10.1002/jqs.3236" TargetMode="External" /><Relationship Type="http://schemas.openxmlformats.org/officeDocument/2006/relationships/hyperlink" Id="rId417" Target="https://doi.org/10.1007/978-0-387-21706-2" TargetMode="External" /><Relationship Type="http://schemas.openxmlformats.org/officeDocument/2006/relationships/hyperlink" Id="rId405" Target="https://doi.org/10.1007/978-3-211-49294-9_4" TargetMode="External" /><Relationship Type="http://schemas.openxmlformats.org/officeDocument/2006/relationships/hyperlink" Id="rId386" Target="https://doi.org/10.1007/BF01908075" TargetMode="External" /><Relationship Type="http://schemas.openxmlformats.org/officeDocument/2006/relationships/hyperlink" Id="rId378" Target="https://doi.org/10.1007/s11258-006-9126-3" TargetMode="External" /><Relationship Type="http://schemas.openxmlformats.org/officeDocument/2006/relationships/hyperlink" Id="rId368" Target="https://doi.org/10.1007/s41982-017-0004-4" TargetMode="External" /><Relationship Type="http://schemas.openxmlformats.org/officeDocument/2006/relationships/hyperlink" Id="rId409" Target="https://doi.org/10.1007/s41982-025-00246-x" TargetMode="External" /><Relationship Type="http://schemas.openxmlformats.org/officeDocument/2006/relationships/hyperlink" Id="rId400" Target="https://doi.org/10.1016/j.jhevol.2011.06.005" TargetMode="External" /><Relationship Type="http://schemas.openxmlformats.org/officeDocument/2006/relationships/hyperlink" Id="rId366" Target="https://doi.org/10.1016/j.quascirev.2021.106995" TargetMode="External" /><Relationship Type="http://schemas.openxmlformats.org/officeDocument/2006/relationships/hyperlink" Id="rId374" Target="https://doi.org/10.1016/j.socnet.2020.11.005" TargetMode="External" /><Relationship Type="http://schemas.openxmlformats.org/officeDocument/2006/relationships/hyperlink" Id="rId382" Target="https://doi.org/10.1023/A:1023949509487" TargetMode="External" /><Relationship Type="http://schemas.openxmlformats.org/officeDocument/2006/relationships/hyperlink" Id="rId407" Target="https://doi.org/10.1038/nature03585" TargetMode="External" /><Relationship Type="http://schemas.openxmlformats.org/officeDocument/2006/relationships/hyperlink" Id="rId413" Target="https://doi.org/10.1046/j.1461-0248.2001.00230.x" TargetMode="External" /><Relationship Type="http://schemas.openxmlformats.org/officeDocument/2006/relationships/hyperlink" Id="rId396" Target="https://doi.org/10.1073/pnas.2520385123" TargetMode="External" /><Relationship Type="http://schemas.openxmlformats.org/officeDocument/2006/relationships/hyperlink" Id="rId388" Target="https://doi.org/10.1080/01621459.2022.2116331" TargetMode="External" /><Relationship Type="http://schemas.openxmlformats.org/officeDocument/2006/relationships/hyperlink" Id="rId370" Target="https://doi.org/10.1088/1742-5468/2008/10/P10008" TargetMode="External" /><Relationship Type="http://schemas.openxmlformats.org/officeDocument/2006/relationships/hyperlink" Id="rId394" Target="https://doi.org/10.1093/bioinformatics/btw438" TargetMode="External" /><Relationship Type="http://schemas.openxmlformats.org/officeDocument/2006/relationships/hyperlink" Id="rId390" Target="https://doi.org/10.1093/biostatistics/kxac047" TargetMode="External" /><Relationship Type="http://schemas.openxmlformats.org/officeDocument/2006/relationships/hyperlink" Id="rId372" Target="https://doi.org/10.1103/PhysRevE.69.026113" TargetMode="External" /><Relationship Type="http://schemas.openxmlformats.org/officeDocument/2006/relationships/hyperlink" Id="rId415" Target="https://doi.org/10.1111/2041-210X.12613" TargetMode="External" /><Relationship Type="http://schemas.openxmlformats.org/officeDocument/2006/relationships/hyperlink" Id="rId376" Target="https://doi.org/10.1198/108571102320" TargetMode="External" /><Relationship Type="http://schemas.openxmlformats.org/officeDocument/2006/relationships/hyperlink" Id="rId380" Target="https://doi.org/10.18637/jss.v022.i07" TargetMode="External" /><Relationship Type="http://schemas.openxmlformats.org/officeDocument/2006/relationships/hyperlink" Id="rId411" Target="https://doi.org/10.1890/11-1952.1" TargetMode="External" /><Relationship Type="http://schemas.openxmlformats.org/officeDocument/2006/relationships/hyperlink" Id="rId392" Target="https://doi.org/10.2307/2529826" TargetMode="External" /><Relationship Type="http://schemas.openxmlformats.org/officeDocument/2006/relationships/hyperlink" Id="rId398" Target="https://doi.org/10.30861/9781841718309" TargetMode="External" /><Relationship Type="http://schemas.openxmlformats.org/officeDocument/2006/relationships/hyperlink" Id="rId384"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2026-09-04T07:18:19Z</dcterms:created>
  <dcterms:modified xsi:type="dcterms:W3CDTF">2026-09-04T07:18:19Z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