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46.png" ContentType="image/png"/>
  <Override PartName="/word/media/rId38.png" ContentType="image/png"/>
  <Override PartName="/word/media/rId3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reveal</w:t>
      </w:r>
      <w:r>
        <w:t xml:space="preserve"> </w:t>
      </w:r>
      <w:r>
        <w:t xml:space="preserve">changes</w:t>
      </w:r>
      <w:r>
        <w:t xml:space="preserve"> </w:t>
      </w:r>
      <w:r>
        <w:t xml:space="preserve">in</w:t>
      </w:r>
      <w:r>
        <w:t xml:space="preserve"> </w:t>
      </w:r>
      <w:r>
        <w:t xml:space="preserve">social</w:t>
      </w:r>
      <w:r>
        <w:t xml:space="preserve"> </w:t>
      </w:r>
      <w:r>
        <w:t xml:space="preserve">structures</w:t>
      </w:r>
      <w:r>
        <w:t xml:space="preserve"> </w:t>
      </w:r>
      <w:r>
        <w:t xml:space="preserve">and</w:t>
      </w:r>
      <w:r>
        <w:t xml:space="preserve"> </w:t>
      </w:r>
      <w:r>
        <w:t xml:space="preserve">networks</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1,</w:t>
      </w:r>
      <w:r>
        <w:t xml:space="preserve"> </w:t>
      </w:r>
      <w:r>
        <w:t xml:space="preserve">2026</w:t>
      </w:r>
    </w:p>
    <w:p>
      <w:pPr>
        <w:pStyle w:val="AbstractTitle"/>
      </w:pPr>
      <w:r>
        <w:t xml:space="preserve">Abstract</w:t>
      </w:r>
    </w:p>
    <w:p>
      <w:pPr>
        <w:pStyle w:val="Abstract"/>
      </w:pPr>
      <w:r>
        <w:t xml:space="preserve">…</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Archaeological evidence from the Upper Paleolithic period indicates increasingly complex social organization across Europe</w:t>
      </w:r>
      <w:r>
        <w:rPr>
          <w:vertAlign w:val="superscript"/>
        </w:rPr>
        <w:t xml:space="preserve">1</w:t>
      </w:r>
      <w:r>
        <w:t xml:space="preserve">. Archaeologists have frequently used ancient art, the abundance of which is distinctive quality of the period, as a proxy for cultural difference in order to understand the shifting patterns of social organization and diversity of the Upper Paleolithic</w:t>
      </w:r>
      <w:r>
        <w:rPr>
          <w:vertAlign w:val="superscript"/>
        </w:rPr>
        <w:t xml:space="preserve">2–7</w:t>
      </w:r>
      <w:r>
        <w:t xml:space="preserve">. Considered to be the starting point of the Upper Paleolithic, the Aurignacian technocomplex (ca. 43 - 30 k BP) is often linked to the dispersal of</w:t>
      </w:r>
      <w:r>
        <w:t xml:space="preserve"> </w:t>
      </w:r>
      <w:r>
        <w:rPr>
          <w:iCs/>
          <w:i/>
        </w:rPr>
        <w:t xml:space="preserve">Homo sapiens</w:t>
      </w:r>
      <w:r>
        <w:t xml:space="preserve"> </w:t>
      </w:r>
      <w:r>
        <w:t xml:space="preserve">across Western Eurasia, and is characterized by lithic and osseus markers</w:t>
      </w:r>
      <w:r>
        <w:rPr>
          <w:vertAlign w:val="superscript"/>
        </w:rPr>
        <w:t xml:space="preserve">8,9</w:t>
      </w:r>
      <w:r>
        <w:t xml:space="preserve">, some of which are decorated with geometric signs</w:t>
      </w:r>
      <w:r>
        <w:rPr>
          <w:vertAlign w:val="superscript"/>
        </w:rPr>
        <w:t xml:space="preserve">10</w:t>
      </w:r>
      <w:r>
        <w:t xml:space="preserve">. We investigated human social organization dynamics implied by the distribution and variation of geometric sign types found on mobile objects in Europe across three phases of the Aurignacian period.</w:t>
      </w:r>
    </w:p>
    <w:bookmarkStart w:id="21" w:name="Xf768a4840c0c4758cb8d55e74de59d9af4fa9c3"/>
    <w:p>
      <w:pPr>
        <w:pStyle w:val="Heading2"/>
      </w:pPr>
      <w:r>
        <w:t xml:space="preserve">Cultural group identification in the Upper Paleolithic</w:t>
      </w:r>
    </w:p>
    <w:p>
      <w:pPr>
        <w:pStyle w:val="FirstParagraph"/>
      </w:pPr>
      <w:r>
        <w:t xml:space="preserve">Previous work has fruitfully explored social organization dynamics of the Upper Paleolithic using statistical analyses of objects to understand patterns of cultural groups. Multivariate analyses of beads from the Gravettian technocomplex suggests an east to west cline of nine cultural groups</w:t>
      </w:r>
      <w:r>
        <w:rPr>
          <w:vertAlign w:val="superscript"/>
        </w:rPr>
        <w:t xml:space="preserve">3</w:t>
      </w:r>
      <w:r>
        <w:t xml:space="preserve">. Seriation analysis, PCoA, and network analysis were used to identify groups from 134 discrete bead types recovered from both burial and occupation sites. To validate their claims of cultural groups,</w:t>
      </w:r>
      <w:r>
        <w:rPr>
          <w:vertAlign w:val="superscript"/>
        </w:rP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rPr>
          <w:vertAlign w:val="superscript"/>
        </w:rPr>
        <w:t xml:space="preserve">6</w:t>
      </w:r>
      <w:r>
        <w:t xml:space="preserve">. Drawing on ethnographic studies that show how body decoration and ornamentation indicate ethno-linguistic identity,</w:t>
      </w:r>
      <w:r>
        <w:rPr>
          <w:vertAlign w:val="superscript"/>
        </w:rP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w:t>
      </w:r>
    </w:p>
    <w:p>
      <w:pPr>
        <w:pStyle w:val="BodyText"/>
      </w:pPr>
      <w:r>
        <w:t xml:space="preserve">Cultural groups have also been identified from forty-two quadrilateral geometric signs from four cave sites in the Cantabrian region of Spain, likely associated with the Magdalenian period, spanning a distance of 30 kilometers</w:t>
      </w:r>
      <w:r>
        <w:rPr>
          <w:vertAlign w:val="superscript"/>
        </w:rPr>
        <w:t xml:space="preserve">4</w:t>
      </w:r>
      <w:r>
        <w:t xml:space="preserve">. Multivariate analysis of 45 morphological characteristics of the signs revealed two clusters. To interpret these clusters,</w:t>
      </w:r>
      <w:r>
        <w:rPr>
          <w:vertAlign w:val="superscript"/>
        </w:rPr>
        <w:t xml:space="preserve">4</w:t>
      </w:r>
      <w:r>
        <w:t xml:space="preserve"> </w:t>
      </w:r>
      <w:r>
        <w:t xml:space="preserve">drew on case studies of geometric signs as identity markers, including South African engraved ostrich shells from 60 k BP, maker’s marks on Gallo-Roman pottery, and 19th century French craft guild members’ personal marks. Using these case studies as analogies,</w:t>
      </w:r>
      <w:r>
        <w:rPr>
          <w:vertAlign w:val="superscript"/>
        </w:rP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cultural group dynamics in the Aurignacian period, providing a novel approach to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are reliable proxies for reconstructing past cultural diversity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 BP) is largely characterized by material culture indicators such as carinated scrapers, small-flake tools and split-based bone and ivory tools, as well as an ongoing evolutionary shift from Neanderthals to early modern humans</w:t>
      </w:r>
      <w:r>
        <w:rPr>
          <w:vertAlign w:val="superscript"/>
        </w:rPr>
        <w:t xml:space="preserve">11</w:t>
      </w:r>
      <w:r>
        <w:t xml:space="preserve">.</w:t>
      </w:r>
      <w:r>
        <w:rPr>
          <w:vertAlign w:val="superscript"/>
        </w:rPr>
        <w:t xml:space="preserve">12</w:t>
      </w:r>
      <w:r>
        <w:t xml:space="preserve"> </w:t>
      </w:r>
      <w:r>
        <w:t xml:space="preserve">divided the Aurignacian into two main phases, Aur-P1 (Proto/Early, 43–37 k BP), and Aur-P2 (Evolved/Late, 37-32 k BP), noting that the technological and chronological differences between the Proto and Early Aurignacian are difficult to distinguish</w:t>
      </w:r>
      <w:r>
        <w:rPr>
          <w:vertAlign w:val="superscript"/>
        </w:rPr>
        <w:t xml:space="preserve">13</w:t>
      </w:r>
      <w:r>
        <w:t xml:space="preserve">.</w:t>
      </w:r>
      <w:r>
        <w:rPr>
          <w:vertAlign w:val="superscript"/>
        </w:rPr>
        <w:t xml:space="preserve">14</w:t>
      </w:r>
      <w:r>
        <w:t xml:space="preserve"> </w:t>
      </w:r>
      <w:r>
        <w:t xml:space="preserve">used Bayesian modeling methods to estimate the timing of the transition between the Proto and Early Aurignacian, placing the Proto-Aurignacian at 41.5 - 39.9 k BP, and the early Aurignacian at 39.8 - 37.8 k BP. They found that the Proto-Aurignacian occurs during the Greenland Interstadials (GI) 9 and 10, periods of climatic amelioration, while the Early Aurignacian began with the Henrich Stadial, which is characterized by dry and arid conditions, and ends with GI 8. The chronological and technological distinctness of the Proto and Early Aurignacian has been questioned, with some analyses suggesting they may represent coexisting facies rather than successive phases</w:t>
      </w:r>
      <w:r>
        <w:rPr>
          <w:vertAlign w:val="superscript"/>
        </w:rPr>
        <w:t xml:space="preserve">15</w:t>
      </w:r>
      <w:r>
        <w:t xml:space="preserve">. Following the coarse two-phase subdivision of</w:t>
      </w:r>
      <w:r>
        <w:rPr>
          <w:vertAlign w:val="superscript"/>
        </w:rPr>
        <w:t xml:space="preserve">12</w:t>
      </w:r>
      <w:r>
        <w:t xml:space="preserve"> </w:t>
      </w:r>
      <w:r>
        <w:t xml:space="preserve">and</w:t>
      </w:r>
      <w:r>
        <w:rPr>
          <w:vertAlign w:val="superscript"/>
        </w:rPr>
        <w:t xml:space="preserve">13</w:t>
      </w:r>
      <w:r>
        <w:t xml:space="preserve">, and because the earliest Aurignacian material culture is subsumed within the Proto-Aurignacian</w:t>
      </w:r>
      <w:r>
        <w:rPr>
          <w:vertAlign w:val="superscript"/>
        </w:rPr>
        <w:t xml:space="preserve">16</w:t>
      </w:r>
      <w:r>
        <w:t xml:space="preserve">, we divide the Aurignacian into three phases based on material culture changes: the Proto-Aurignacian, Early Aurignacian, and Evolved/Late Aurignacian, as summarised in</w:t>
      </w:r>
      <w:r>
        <w:t xml:space="preserve"> </w:t>
      </w:r>
      <w:hyperlink w:anchor="tbl-aur-table">
        <w:r>
          <w:rPr>
            <w:rStyle w:val="Hyperlink"/>
          </w:rPr>
          <w:t xml:space="preserve">Table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1058"/>
              <w:gridCol w:w="720"/>
              <w:gridCol w:w="4150"/>
              <w:gridCol w:w="1990"/>
            </w:tblGrid>
            <w:tr>
              <w:trPr>
                <w:tblHeader w:val="true"/>
              </w:trPr>
              <w:tc>
                <w:tcPr/>
                <w:p>
                  <w:pPr>
                    <w:pStyle w:val="Compact"/>
                    <w:jc w:val="left"/>
                    <w:jc w:val="center"/>
                  </w:pPr>
                  <w:r>
                    <w:t xml:space="preserve">Time Period Name</w:t>
                  </w:r>
                </w:p>
              </w:tc>
              <w:tc>
                <w:tcPr/>
                <w:p>
                  <w:pPr>
                    <w:pStyle w:val="Compact"/>
                    <w:jc w:val="left"/>
                    <w:jc w:val="center"/>
                  </w:pPr>
                  <w:r>
                    <w:t xml:space="preserve">Dates (k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Protoaurignacian</w:t>
                  </w:r>
                </w:p>
              </w:tc>
              <w:tc>
                <w:tcPr/>
                <w:p>
                  <w:pPr>
                    <w:pStyle w:val="Compact"/>
                    <w:jc w:val="left"/>
                    <w:jc w:val="center"/>
                  </w:pPr>
                  <w:r>
                    <w:t xml:space="preserve">43 - 39.8</w:t>
                  </w:r>
                </w:p>
              </w:tc>
              <w:tc>
                <w:tcPr/>
                <w:p>
                  <w:pPr>
                    <w:pStyle w:val="Compact"/>
                    <w:jc w:val="left"/>
                    <w:jc w:val="center"/>
                  </w:pPr>
                  <w:r>
                    <w:t xml:space="preserve">Large, straight bladelets from prismatic and pyramidal cores; continuous blade-bladelet reduction</w:t>
                  </w:r>
                </w:p>
              </w:tc>
              <w:tc>
                <w:tcPr/>
                <w:p>
                  <w:pPr>
                    <w:pStyle w:val="Compact"/>
                    <w:jc w:val="left"/>
                    <w:jc w:val="center"/>
                  </w:pPr>
                  <w:r>
                    <w:t xml:space="preserve">Spans Greenland Stadial 12 to GI 10 and 9</w:t>
                  </w:r>
                </w:p>
              </w:tc>
            </w:tr>
            <w:tr>
              <w:tc>
                <w:tcPr/>
                <w:p>
                  <w:pPr>
                    <w:pStyle w:val="Compact"/>
                    <w:jc w:val="left"/>
                    <w:jc w:val="center"/>
                  </w:pPr>
                  <w:r>
                    <w:t xml:space="preserve">Early Aurignacian</w:t>
                  </w:r>
                </w:p>
              </w:tc>
              <w:tc>
                <w:tcPr/>
                <w:p>
                  <w:pPr>
                    <w:pStyle w:val="Compact"/>
                    <w:jc w:val="left"/>
                    <w:jc w:val="center"/>
                  </w:pPr>
                  <w:r>
                    <w:t xml:space="preserve">39.8 - 37.8</w:t>
                  </w:r>
                </w:p>
              </w:tc>
              <w:tc>
                <w:tcPr/>
                <w:p>
                  <w:pPr>
                    <w:pStyle w:val="Compact"/>
                    <w:jc w:val="left"/>
                    <w:jc w:val="center"/>
                  </w:pPr>
                  <w:r>
                    <w:t xml:space="preserve">Twisted bladelets produced from carinated cores</w:t>
                  </w:r>
                </w:p>
              </w:tc>
              <w:tc>
                <w:tcPr/>
                <w:p>
                  <w:pPr>
                    <w:pStyle w:val="Compact"/>
                    <w:jc w:val="left"/>
                    <w:jc w:val="center"/>
                  </w:pPr>
                  <w:r>
                    <w:t xml:space="preserve">Begins with Heinrich Stadial 4, ends with GI 8</w:t>
                  </w:r>
                </w:p>
              </w:tc>
            </w:tr>
            <w:tr>
              <w:tc>
                <w:tcPr/>
                <w:p>
                  <w:pPr>
                    <w:pStyle w:val="Compact"/>
                    <w:jc w:val="left"/>
                    <w:jc w:val="center"/>
                  </w:pPr>
                  <w:r>
                    <w:t xml:space="preserve">Evolved/Late Aurignacian</w:t>
                  </w:r>
                </w:p>
              </w:tc>
              <w:tc>
                <w:tcPr/>
                <w:p>
                  <w:pPr>
                    <w:pStyle w:val="Compact"/>
                    <w:jc w:val="left"/>
                    <w:jc w:val="center"/>
                  </w:pPr>
                  <w:r>
                    <w:t xml:space="preserve">37.8 - 32</w:t>
                  </w:r>
                </w:p>
              </w:tc>
              <w:tc>
                <w:tcPr/>
                <w:p>
                  <w:pPr>
                    <w:pStyle w:val="Compact"/>
                    <w:jc w:val="left"/>
                    <w:jc w:val="center"/>
                  </w:pPr>
                  <w:r>
                    <w:t xml:space="preserve">Backed microblades, more varied tool kits, beginnings of Gravettian influence</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rPr>
                <w:vertAlign w:val="superscript"/>
              </w:rPr>
              <w:t xml:space="preserve">11,12,14,17</w:t>
            </w:r>
          </w:p>
          <w:bookmarkEnd w:id="22"/>
        </w:tc>
      </w:tr>
    </w:tbl>
    <w:p>
      <w:pPr>
        <w:pStyle w:val="BodyText"/>
      </w:pPr>
      <w:r>
        <w:t xml:space="preserve">We hypothesize that these phases, and the environmental changes across them, may correspond to changes in dynamics of cultural groups, as represented by patterns in the distribution of geometric signs. We aim to address the following questions: How do grouping dynamics of geometric signs change across the three phases of the Aurignacian? How do the groupings vary in diversity, size, connectivity, and distribution? What do these patterns tell us about dynamics of social organization throughout the Aurignacian? To answer these questions we use seriation analysis, network analysis, and PerMANOVA tests.</w:t>
      </w:r>
    </w:p>
    <w:bookmarkEnd w:id="23"/>
    <w:bookmarkStart w:id="29"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Paleolithic Europe. SignBase 1.0 is a record of objects noting only the presence or absence of each sign on the object, without details of the quantity or sequence of individual signs on a given object. We used the identification of sign types provided by SignBase’s curators</w:t>
      </w:r>
      <w:r>
        <w:rPr>
          <w:vertAlign w:val="superscript"/>
        </w:rPr>
        <w:t xml:space="preserve">10</w:t>
      </w:r>
      <w:r>
        <w:t xml:space="preserve">. The data set consists of 531 objects found at 65 sites in 13 countries, and records 55 geometric sign types. We excluded signs classified by</w:t>
      </w:r>
      <w:r>
        <w:rPr>
          <w:vertAlign w:val="superscript"/>
        </w:rPr>
        <w:t xml:space="preserve">10</w:t>
      </w:r>
      <w:r>
        <w:t xml:space="preserve"> </w:t>
      </w:r>
      <w:r>
        <w:t xml:space="preserve">as</w:t>
      </w:r>
      <w:r>
        <w:t xml:space="preserve"> </w:t>
      </w:r>
      <w:r>
        <w:t xml:space="preserve">“</w:t>
      </w:r>
      <w:r>
        <w:t xml:space="preserve">other</w:t>
      </w:r>
      <w:r>
        <w:t xml:space="preserve">”</w:t>
      </w:r>
      <w:r>
        <w:t xml:space="preserve">. To improve the quality of our data we excluded seven sites from the sample: only Willendorf (one sign present); Riparo di Fontana Nuova, Muralovka, Shanidar Cave, and Hayonim Cave (extreme geographic distance from the other sites); Grotte De La Princesse Pauline and Šandalja II (dated much later than the rest of the assemblages). This resulted in a sample of 438 objects found at 30 sites in 7 countries, and 54 sign types used in this study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59436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w:t>
            </w:r>
          </w:p>
          <w:bookmarkEnd w:id="27"/>
        </w:tc>
      </w:tr>
    </w:tbl>
    <w:p>
      <w:pPr>
        <w:pStyle w:val="BodyText"/>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rPr>
          <w:vertAlign w:val="superscript"/>
        </w:rPr>
        <w:t xml:space="preserve">18</w:t>
      </w:r>
      <w:r>
        <w:t xml:space="preserve"> </w:t>
      </w:r>
      <w:r>
        <w:t xml:space="preserve">in using presence/absence data for each sign at each site, reducing the effect of variation in object count between sites. To test for interactions between object abundance and sign type distribution, we used Mantel tests with a Euclidean object abundance distance matrix and a Jaccard distance matrix of sign types. The test indicated that there was no significant correlation between object abundance and sign type distribution (R = 0.074, p = 0.09), supporting our decision to use presence/absence data and remove frequency as a potentially confounding variable.</w:t>
      </w:r>
    </w:p>
    <w:p>
      <w:pPr>
        <w:pStyle w:val="BodyText"/>
      </w:pPr>
      <w:r>
        <w:t xml:space="preserve">Ages of the objects were determined by calibrating the uncalibrated ages provided by SignBase using the rcarbon package</w:t>
      </w:r>
      <w:r>
        <w:rPr>
          <w:vertAlign w:val="superscript"/>
        </w:rPr>
        <w:t xml:space="preserve">19</w:t>
      </w:r>
      <w:r>
        <w:t xml:space="preserve">. The calibrated radiocarbon dates of the sampled data range from approximately 32,893 BP to 44,778 BP, spanning an overall time range of 11,885 years. We assigned each object to a chronological phase following the date ranges recorded in</w:t>
      </w:r>
      <w:r>
        <w:t xml:space="preserve"> </w:t>
      </w:r>
      <w:hyperlink w:anchor="tbl-aur-table">
        <w:r>
          <w:rPr>
            <w:rStyle w:val="Hyperlink"/>
          </w:rPr>
          <w:t xml:space="preserve">Table 1</w:t>
        </w:r>
      </w:hyperlink>
      <w:r>
        <w:t xml:space="preserve">. The Proto-Aurignacian has 15 sites and 24 sign types, the Early Aurignacian has 9 sites and 18 sign types, and the Evolved Aurignacian has 9 sites and 19 sign types. A Mantel test to evaluate the correlation between distance in time and distribution of sign types found a statistically significant correlation (R = 0.06, p = 0.01). This confirms our assumption that a meaningful change in sign types occurs over time during the Aurignacian period.</w:t>
      </w:r>
    </w:p>
    <w:p>
      <w:pPr>
        <w:pStyle w:val="BodyText"/>
      </w:pPr>
      <w:r>
        <w:t xml:space="preserve">If the distribution of sign types can be mostly explained by geographic distance, then we would see similarity in sign type distribution decreasing as geographic distance increases</w:t>
      </w:r>
      <w:r>
        <w:rPr>
          <w:vertAlign w:val="superscript"/>
        </w:rPr>
        <w:t xml:space="preserve">20,21</w:t>
      </w:r>
      <w:r>
        <w:t xml:space="preserve">. This relationship can be investigated using the isolation-by-distance framework, which proposes that cultural difference can be primarily explained by geographic distance</w:t>
      </w:r>
      <w:r>
        <w:rPr>
          <w:vertAlign w:val="superscript"/>
        </w:rPr>
        <w:t xml:space="preserve">18</w:t>
      </w:r>
      <w:r>
        <w:t xml:space="preserve">. To confirm that the distribution of sign types is influenced by cultural factors rather than geographic distance, we calculated the correlation between sign type distribution and geographic distance for each phase. We used Mantel tests with a geographic distance matrix and a Jaccard 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so we reject the isolation-by-distance hypothesis as a primary explanation for variation in sign type distribution.</w:t>
      </w:r>
    </w:p>
    <w:tbl>
      <w:tblPr>
        <w:tblStyle w:val="Table"/>
        <w:tblW w:type="pct" w:w="5000"/>
        <w:tblLook w:firstRow="0" w:lastRow="0" w:firstColumn="0" w:lastColumn="0" w:noHBand="0" w:noVBand="0" w:val="0000"/>
        <w:jc w:val="start"/>
        <w:tblLayout w:type="fixed"/>
      </w:tblPr>
      <w:tblGrid>
        <w:gridCol w:w="7920"/>
      </w:tblGrid>
      <w:tr>
        <w:tc>
          <w:tcPr/>
          <w:bookmarkStart w:id="28"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Proto-Aurignacian</w:t>
                  </w:r>
                </w:p>
              </w:tc>
              <w:tc>
                <w:tcPr/>
                <w:p>
                  <w:pPr>
                    <w:pStyle w:val="Compact"/>
                    <w:jc w:val="right"/>
                    <w:jc w:val="center"/>
                  </w:pPr>
                  <w:r>
                    <w:t xml:space="preserve">0.003</w:t>
                  </w:r>
                </w:p>
              </w:tc>
              <w:tc>
                <w:tcPr/>
                <w:p>
                  <w:pPr>
                    <w:pStyle w:val="Compact"/>
                    <w:jc w:val="right"/>
                    <w:jc w:val="center"/>
                  </w:pPr>
                  <w:r>
                    <w:t xml:space="preserve">0.474</w:t>
                  </w:r>
                </w:p>
              </w:tc>
            </w:tr>
            <w:tr>
              <w:tc>
                <w:tcPr/>
                <w:p>
                  <w:pPr>
                    <w:pStyle w:val="Compact"/>
                    <w:jc w:val="left"/>
                    <w:jc w:val="center"/>
                  </w:pPr>
                  <w:r>
                    <w:t xml:space="preserve">Early Aurignacian</w:t>
                  </w:r>
                </w:p>
              </w:tc>
              <w:tc>
                <w:tcPr/>
                <w:p>
                  <w:pPr>
                    <w:pStyle w:val="Compact"/>
                    <w:jc w:val="right"/>
                    <w:jc w:val="center"/>
                  </w:pPr>
                  <w:r>
                    <w:t xml:space="preserve">0.259</w:t>
                  </w:r>
                </w:p>
              </w:tc>
              <w:tc>
                <w:tcPr/>
                <w:p>
                  <w:pPr>
                    <w:pStyle w:val="Compact"/>
                    <w:jc w:val="right"/>
                    <w:jc w:val="center"/>
                  </w:pPr>
                  <w:r>
                    <w:t xml:space="preserve">0.075</w:t>
                  </w:r>
                </w:p>
              </w:tc>
            </w:tr>
            <w:tr>
              <w:tc>
                <w:tcPr/>
                <w:p>
                  <w:pPr>
                    <w:pStyle w:val="Compact"/>
                    <w:jc w:val="left"/>
                    <w:jc w:val="center"/>
                  </w:pPr>
                  <w:r>
                    <w:t xml:space="preserve">Evolved Aurignacian</w:t>
                  </w:r>
                </w:p>
              </w:tc>
              <w:tc>
                <w:tcPr/>
                <w:p>
                  <w:pPr>
                    <w:pStyle w:val="Compact"/>
                    <w:jc w:val="right"/>
                    <w:jc w:val="center"/>
                  </w:pPr>
                  <w:r>
                    <w:t xml:space="preserve">-0.055</w:t>
                  </w:r>
                </w:p>
              </w:tc>
              <w:tc>
                <w:tcPr/>
                <w:p>
                  <w:pPr>
                    <w:pStyle w:val="Compact"/>
                    <w:jc w:val="right"/>
                    <w:jc w:val="center"/>
                  </w:pPr>
                  <w:r>
                    <w:t xml:space="preserve">0.589</w:t>
                  </w:r>
                </w:p>
              </w:tc>
            </w:tr>
          </w:tbl>
          <w:p>
            <w:pPr>
              <w:jc w:val="center"/>
            </w:pPr>
            <w:pPr>
              <w:jc w:val="start"/>
              <w:spacing w:before="200"/>
              <w:pStyle w:val="ImageCaption"/>
            </w:pPr>
            <w:r>
              <w:t xml:space="preserve">Table 2: Table of the results per phase for the Mantel test between a Jaccard matrix of sign type diversity and a geographic distance matrix</w:t>
            </w:r>
          </w:p>
          <w:bookmarkEnd w:id="28"/>
        </w:tc>
      </w:tr>
    </w:tbl>
    <w:bookmarkEnd w:id="29"/>
    <w:bookmarkStart w:id="45" w:name="results"/>
    <w:p>
      <w:pPr>
        <w:pStyle w:val="Heading1"/>
      </w:pPr>
      <w:r>
        <w:t xml:space="preserve">Results</w:t>
      </w:r>
    </w:p>
    <w:bookmarkStart w:id="42" w:name="cultural-group-detection"/>
    <w:p>
      <w:pPr>
        <w:pStyle w:val="Heading2"/>
      </w:pPr>
      <w:r>
        <w:t xml:space="preserve">Cultural Group Detection</w:t>
      </w:r>
    </w:p>
    <w:tbl>
      <w:tblPr>
        <w:tblStyle w:val="Table"/>
        <w:tblW w:type="pct" w:w="5000"/>
        <w:tblLook w:firstRow="0" w:lastRow="0" w:firstColumn="0" w:lastColumn="0" w:noHBand="0" w:noVBand="0" w:val="0000"/>
        <w:jc w:val="start"/>
        <w:tblLayout w:type="fixed"/>
      </w:tblPr>
      <w:tblGrid>
        <w:gridCol w:w="7920"/>
      </w:tblGrid>
      <w:tr>
        <w:tc>
          <w:tcPr/>
          <w:bookmarkStart w:id="33" w:name="fig-seriation"/>
          <w:p>
            <w:pPr>
              <w:pStyle w:val="Compact"/>
              <w:jc w:val="center"/>
            </w:pPr>
            <w:r>
              <w:drawing>
                <wp:inline>
                  <wp:extent cx="5943600" cy="4114799"/>
                  <wp:effectExtent b="0" l="0" r="0" t="0"/>
                  <wp:docPr descr="" title="" id="31" name="Picture"/>
                  <a:graphic>
                    <a:graphicData uri="http://schemas.openxmlformats.org/drawingml/2006/picture">
                      <pic:pic>
                        <pic:nvPicPr>
                          <pic:cNvPr descr="paper_files/figure-docx/fig-seriation-1.png" id="32" name="Picture"/>
                          <pic:cNvPicPr>
                            <a:picLocks noChangeArrowheads="1" noChangeAspect="1"/>
                          </pic:cNvPicPr>
                        </pic:nvPicPr>
                        <pic:blipFill>
                          <a:blip r:embed="rId30"/>
                          <a:stretch>
                            <a:fillRect/>
                          </a:stretch>
                        </pic:blipFill>
                        <pic:spPr bwMode="auto">
                          <a:xfrm>
                            <a:off x="0" y="0"/>
                            <a:ext cx="5943600" cy="41147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analysis of the data, with group membership indicated by color. Restricted group is in yellow, broader group is in blue.</w:t>
            </w:r>
          </w:p>
          <w:bookmarkEnd w:id="33"/>
        </w:tc>
      </w:tr>
    </w:tbl>
    <w:p>
      <w:pPr>
        <w:pStyle w:val="BodyText"/>
      </w:pPr>
      <w:r>
        <w:t xml:space="preserve">For each of the phases, our seriation analysis identifies two groups, one with a restricted range of sign types (1-3 types), which tend to be visually simpler signs, and one with a broader range (up to 14 types), which include more complex signs. Simpler signs composed of fewer components, like line and notch, are the most prevalent across all time periods. Overall, across the three phases, the number of sites in the restricted range group tends to be less than or equal to the number of sites in the broader range group in the Early Aurignacian, while in the Proto- and Evolved Aurignacian the restricted range group is slightly larger.</w:t>
      </w:r>
    </w:p>
    <w:p>
      <w:pPr>
        <w:pStyle w:val="BodyText"/>
      </w:pPr>
      <w:r>
        <w:t xml:space="preserve">In the Proto-Aurignacian, which here subsumes the earliest Aurignacian material culture along with the material previously attributed to the Proto-Aurignacian, we see a relatively wide range of sign types, with an expansion in the number of sites compared to the earliest material. The restricted range group consists of Abri Pataud, Fumane, and Pod Hradem, which only have a notch, Labeko Koba, which only has a line, and Hohlenstein-Stadel, Mladeč, Gatzarria, and El Castillo, which have a slightly wider range of signs, including the dashline and maccaroni. The broader range group consists of Geissenklösterle, Spy, Vogelherd, Grotte du Renne, Hohle Fels, La Ferrassie, and Les Cottés, where we see a more diverse range of signs. In addition to line and notch, the obline, radial notch (radnotch), cross, hatching, and circumferential notch (circumnotch) are also frequently found in the broader range group.</w:t>
      </w:r>
    </w:p>
    <w:p>
      <w:pPr>
        <w:pStyle w:val="BodyText"/>
      </w:pPr>
      <w:r>
        <w:t xml:space="preserve">In the Early Aurignacian, we see appearance of completely new sites with no overlap with the Proto-Aurignacian sites, as well as increased diversity of patterns within the groups. The restricted range group consists of Grottes de Fonds-de-Forêt (radnotch and notch), Riparo Bombrini (notch), and Grotte de la Verpillière I (notch and line). The broader range group consists of Solutré, Hohle Fels, Castanet, Cellier, Blanchard, and Trou al’Wesse, which contain a wide range of signs in a variety of combinations. In addition to line and notch, the obline, dot and vulva are also frequently found in the broader range group.</w:t>
      </w:r>
    </w:p>
    <w:p>
      <w:pPr>
        <w:pStyle w:val="BodyText"/>
      </w:pPr>
      <w:r>
        <w:t xml:space="preserve">Finally, in the Evolved Aurignacian, we see slightly more consistent groups, again with new sites with no overlap with the Early Aurignacian sites, except for Hohle Fels, which also appears in the Proto-Aurignacian phase. Vogelherd also reappears, having appeared earlier in the Proto-Aurignacian. The restricted range group consists of Les Rois, Gargas, La Viña, Sirgenstein Cave, and Vindija Cave, with the line, notch, and and obline signs. The broader range group consists of Trou Magrite, Bockstein-Törle, Vogelherd, and Hohle Fels. Along with line, notch, and obline, the hatching, and oblique notch (obnotch) signs are also frequently found in the broader range group.</w:t>
      </w:r>
    </w:p>
    <w:tbl>
      <w:tblPr>
        <w:tblStyle w:val="Table"/>
        <w:tblW w:type="pct" w:w="5000"/>
        <w:tblLook w:firstRow="0" w:lastRow="0" w:firstColumn="0" w:lastColumn="0" w:noHBand="0" w:noVBand="0" w:val="0000"/>
        <w:jc w:val="start"/>
        <w:tblLayout w:type="fixed"/>
      </w:tblPr>
      <w:tblGrid>
        <w:gridCol w:w="7920"/>
      </w:tblGrid>
      <w:tr>
        <w:tc>
          <w:tcPr/>
          <w:bookmarkStart w:id="37" w:name="fig-neighbor-net"/>
          <w:p>
            <w:pPr>
              <w:pStyle w:val="Compact"/>
              <w:jc w:val="center"/>
            </w:pPr>
            <w:r>
              <w:drawing>
                <wp:inline>
                  <wp:extent cx="5943600" cy="4086225"/>
                  <wp:effectExtent b="0" l="0" r="0" t="0"/>
                  <wp:docPr descr="" title="" id="35" name="Picture"/>
                  <a:graphic>
                    <a:graphicData uri="http://schemas.openxmlformats.org/drawingml/2006/picture">
                      <pic:pic>
                        <pic:nvPicPr>
                          <pic:cNvPr descr="paper_files/figure-docx/fig-neighbor-net-1.png" id="36" name="Picture"/>
                          <pic:cNvPicPr>
                            <a:picLocks noChangeArrowheads="1" noChangeAspect="1"/>
                          </pic:cNvPicPr>
                        </pic:nvPicPr>
                        <pic:blipFill>
                          <a:blip r:embed="rId34"/>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 analysis of the data</w:t>
            </w:r>
          </w:p>
          <w:bookmarkEnd w:id="37"/>
        </w:tc>
      </w:tr>
    </w:tbl>
    <w:p>
      <w:pPr>
        <w:pStyle w:val="BodyText"/>
      </w:pPr>
      <w:r>
        <w:t xml:space="preserve">The results of the network analysis supports the restricted-broad groupings identified in</w:t>
      </w:r>
      <w:r>
        <w:t xml:space="preserve"> </w:t>
      </w:r>
      <w:hyperlink w:anchor="fig-seriation">
        <w:r>
          <w:rPr>
            <w:rStyle w:val="Hyperlink"/>
          </w:rPr>
          <w:t xml:space="preserve">Figure 2</w:t>
        </w:r>
      </w:hyperlink>
      <w:r>
        <w:t xml:space="preserve">, and provide additional insights into the evolution of connectivity between groups. In the Proto-Aurignacian phase, which here combines the earliest Aurignacian material with the material previously attributed to the Proto-Aurignacian, the network analysis reveals two clearly defined groups. The broader range group consists of Geissenklösterle, Spy, Vogelherd, Grotte du Renne, Hohle Fels, and La Ferrassie, and the restricted range group consists of Abri Pataud, Fumane, Pod Hradem, Hohlenstein-Stadel, Mladeč, Gatzarria, Labeko Koba, and El Castillo. However, it also displays some connectivity between the two groups of sites, with La Ferrassie connected to both Hohlenstein-Stadel and Mladeč, and Grotte du Renne connected to Labeko Koba. Les Cottés stands out with no connections to either group. The Early Aurignacian shows more strongly inter-connected groups – although two main groups remain evident – with Grotte de la Verpillière I in particular having multiple strong connections to both groups. Lastly, the Evolved Aurignacian again shows two main groups, although intra-group connectivity has decreased, with the broad range group consisting of Hohle Fels, Trou Magrite, Vogelherd, and Bockstein-Törle, and the restricted range group consisting of Gargas, La Viña, Sirgenstein Cave, Vindija Cave, and Les Rois. As for the Early Aurignacian, inter-connectivity between groups continues to be evident in the Evolved Aurignacian, with connections between Trou Magrite, Gargas, and Vindija Cave, and Bockstein-Törle and Gargas, however the strength of inter-connectivity is weaker than in the Early Aurignacian.</w:t>
      </w:r>
    </w:p>
    <w:tbl>
      <w:tblPr>
        <w:tblStyle w:val="Table"/>
        <w:tblW w:type="pct" w:w="5000"/>
        <w:tblLook w:firstRow="0" w:lastRow="0" w:firstColumn="0" w:lastColumn="0" w:noHBand="0" w:noVBand="0" w:val="0000"/>
        <w:jc w:val="start"/>
        <w:tblLayout w:type="fixed"/>
      </w:tblPr>
      <w:tblGrid>
        <w:gridCol w:w="7920"/>
      </w:tblGrid>
      <w:tr>
        <w:tc>
          <w:tcPr/>
          <w:bookmarkStart w:id="41" w:name="fig-group-map"/>
          <w:p>
            <w:pPr>
              <w:pStyle w:val="Compact"/>
              <w:jc w:val="center"/>
            </w:pPr>
            <w:r>
              <w:drawing>
                <wp:inline>
                  <wp:extent cx="5943600" cy="4160520"/>
                  <wp:effectExtent b="0" l="0" r="0" t="0"/>
                  <wp:docPr descr="" title="" id="39" name="Picture"/>
                  <a:graphic>
                    <a:graphicData uri="http://schemas.openxmlformats.org/drawingml/2006/picture">
                      <pic:pic>
                        <pic:nvPicPr>
                          <pic:cNvPr descr="paper_files/figure-docx/fig-group-map-1.png" id="40" name="Picture"/>
                          <pic:cNvPicPr>
                            <a:picLocks noChangeArrowheads="1" noChangeAspect="1"/>
                          </pic:cNvPicPr>
                        </pic:nvPicPr>
                        <pic:blipFill>
                          <a:blip r:embed="rId38"/>
                          <a:stretch>
                            <a:fillRect/>
                          </a:stretch>
                        </pic:blipFill>
                        <pic:spPr bwMode="auto">
                          <a:xfrm>
                            <a:off x="0" y="0"/>
                            <a:ext cx="5943600" cy="41605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Map of sites faceted by time period and colored by group type</w:t>
            </w:r>
          </w:p>
          <w:bookmarkEnd w:id="41"/>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4</w:t>
        </w:r>
      </w:hyperlink>
      <w:r>
        <w:t xml:space="preserve">). In the Proto-Aurignacian, we see a relatively wide geographic distribution of sites across Western and Central Europe, and some overlapping of sites between groups, which may be associated with the connectivity indicated in the network analysis results. This phase is also associated with an increase in sites and sign types, which may be correlated with the increased proximity and population density. In the Early Aurignacian, we see a reduced distribution, with sites clustered closer together, which may be associated with the increased connectivity in that phase. In the Evolved Aurignacian, we see a wider distribution and more distance between sites, which may be associated with the reduced connectivity seen in that phase.</w:t>
      </w:r>
    </w:p>
    <w:bookmarkEnd w:id="42"/>
    <w:bookmarkStart w:id="44" w:name="cultural-connection-strength"/>
    <w:p>
      <w:pPr>
        <w:pStyle w:val="Heading2"/>
      </w:pPr>
      <w:r>
        <w:t xml:space="preserve">Cultural Connection Strength</w:t>
      </w:r>
    </w:p>
    <w:p>
      <w:pPr>
        <w:pStyle w:val="FirstParagraph"/>
      </w:pPr>
      <w:r>
        <w:t xml:space="preserve">The perMANOVA R</w:t>
      </w:r>
      <w:r>
        <w:rPr>
          <w:vertAlign w:val="superscript"/>
        </w:rPr>
        <w:t xml:space="preserve">2</w:t>
      </w:r>
      <w:r>
        <w:t xml:space="preserve"> </w:t>
      </w:r>
      <w:r>
        <w:t xml:space="preserve">statistics presented in</w:t>
      </w:r>
      <w:r>
        <w:t xml:space="preserve"> </w:t>
      </w:r>
      <w:hyperlink w:anchor="tbl-strength-table">
        <w:r>
          <w:rPr>
            <w:rStyle w:val="Hyperlink"/>
          </w:rPr>
          <w:t xml:space="preserve">Table 3</w:t>
        </w:r>
      </w:hyperlink>
      <w:r>
        <w:t xml:space="preserve"> </w:t>
      </w:r>
      <w:r>
        <w:t xml:space="preserve">show the proportion of sign variation that can be explained by group membership. The Proto-Aurignacian period has a score of 0.227 while the Early Aurignacian has a score of 0.215. The pseudo-F statistic quantifies the difference between groups, with the Proto-Aurignacian phase having a value of 3.816, and the Early Aurignacian having a value of 1.915. The perMANOVA p-value indicates a statistically significant difference in the distribution of signs between the restricted and broad range groups for the Proto, Early, and Evolved Aurignacian phases.</w:t>
      </w:r>
    </w:p>
    <w:tbl>
      <w:tblPr>
        <w:tblStyle w:val="Table"/>
        <w:tblW w:type="pct" w:w="5000"/>
        <w:tblLook w:firstRow="0" w:lastRow="0" w:firstColumn="0" w:lastColumn="0" w:noHBand="0" w:noVBand="0" w:val="0000"/>
        <w:jc w:val="start"/>
        <w:tblLayout w:type="fixed"/>
      </w:tblPr>
      <w:tblGrid>
        <w:gridCol w:w="7920"/>
      </w:tblGrid>
      <w:tr>
        <w:tc>
          <w:tcPr/>
          <w:bookmarkStart w:id="43"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Proto-Aurignacian</w:t>
                  </w:r>
                </w:p>
              </w:tc>
              <w:tc>
                <w:tcPr/>
                <w:p>
                  <w:pPr>
                    <w:pStyle w:val="Compact"/>
                    <w:jc w:val="right"/>
                    <w:jc w:val="center"/>
                  </w:pPr>
                  <w:r>
                    <w:t xml:space="preserve">0.227</w:t>
                  </w:r>
                </w:p>
              </w:tc>
              <w:tc>
                <w:tcPr/>
                <w:p>
                  <w:pPr>
                    <w:pStyle w:val="Compact"/>
                    <w:jc w:val="right"/>
                    <w:jc w:val="center"/>
                  </w:pPr>
                  <w:r>
                    <w:t xml:space="preserve">3.816</w:t>
                  </w:r>
                </w:p>
              </w:tc>
              <w:tc>
                <w:tcPr/>
                <w:p>
                  <w:pPr>
                    <w:pStyle w:val="Compact"/>
                    <w:jc w:val="right"/>
                    <w:jc w:val="center"/>
                  </w:pPr>
                  <w:r>
                    <w:t xml:space="preserve">0.001</w:t>
                  </w:r>
                </w:p>
              </w:tc>
            </w:tr>
            <w:tr>
              <w:tc>
                <w:tcPr/>
                <w:p>
                  <w:pPr>
                    <w:pStyle w:val="Compact"/>
                    <w:jc w:val="left"/>
                    <w:jc w:val="center"/>
                  </w:pPr>
                  <w:r>
                    <w:t xml:space="preserve">Early Aurignacian</w:t>
                  </w:r>
                </w:p>
              </w:tc>
              <w:tc>
                <w:tcPr/>
                <w:p>
                  <w:pPr>
                    <w:pStyle w:val="Compact"/>
                    <w:jc w:val="right"/>
                    <w:jc w:val="center"/>
                  </w:pPr>
                  <w:r>
                    <w:t xml:space="preserve">0.215</w:t>
                  </w:r>
                </w:p>
              </w:tc>
              <w:tc>
                <w:tcPr/>
                <w:p>
                  <w:pPr>
                    <w:pStyle w:val="Compact"/>
                    <w:jc w:val="right"/>
                    <w:jc w:val="center"/>
                  </w:pPr>
                  <w:r>
                    <w:t xml:space="preserve">1.915</w:t>
                  </w:r>
                </w:p>
              </w:tc>
              <w:tc>
                <w:tcPr/>
                <w:p>
                  <w:pPr>
                    <w:pStyle w:val="Compact"/>
                    <w:jc w:val="right"/>
                    <w:jc w:val="center"/>
                  </w:pPr>
                  <w:r>
                    <w:t xml:space="preserve">0.013</w:t>
                  </w:r>
                </w:p>
              </w:tc>
            </w:tr>
            <w:tr>
              <w:tc>
                <w:tcPr/>
                <w:p>
                  <w:pPr>
                    <w:pStyle w:val="Compact"/>
                    <w:jc w:val="left"/>
                    <w:jc w:val="center"/>
                  </w:pPr>
                  <w:r>
                    <w:t xml:space="preserve">Evolved Aurignacian</w:t>
                  </w:r>
                </w:p>
              </w:tc>
              <w:tc>
                <w:tcPr/>
                <w:p>
                  <w:pPr>
                    <w:pStyle w:val="Compact"/>
                    <w:jc w:val="right"/>
                    <w:jc w:val="center"/>
                  </w:pPr>
                  <w:r>
                    <w:t xml:space="preserve">0.224</w:t>
                  </w:r>
                </w:p>
              </w:tc>
              <w:tc>
                <w:tcPr/>
                <w:p>
                  <w:pPr>
                    <w:pStyle w:val="Compact"/>
                    <w:jc w:val="right"/>
                    <w:jc w:val="center"/>
                  </w:pPr>
                  <w:r>
                    <w:t xml:space="preserve">2.020</w:t>
                  </w:r>
                </w:p>
              </w:tc>
              <w:tc>
                <w:tcPr/>
                <w:p>
                  <w:pPr>
                    <w:pStyle w:val="Compact"/>
                    <w:jc w:val="right"/>
                    <w:jc w:val="center"/>
                  </w:pPr>
                  <w:r>
                    <w:t xml:space="preserve">0.022</w:t>
                  </w:r>
                </w:p>
              </w:tc>
            </w:tr>
          </w:tbl>
          <w:p>
            <w:pPr>
              <w:jc w:val="center"/>
            </w:pPr>
            <w:pPr>
              <w:jc w:val="start"/>
              <w:spacing w:before="200"/>
              <w:pStyle w:val="ImageCaption"/>
            </w:pPr>
            <w:r>
              <w:t xml:space="preserve">Table 3: Table of the results per phase for the perMANOVA</w:t>
            </w:r>
          </w:p>
          <w:bookmarkEnd w:id="43"/>
        </w:tc>
      </w:tr>
    </w:tbl>
    <w:bookmarkEnd w:id="44"/>
    <w:bookmarkEnd w:id="45"/>
    <w:bookmarkStart w:id="52" w:name="discussion"/>
    <w:p>
      <w:pPr>
        <w:pStyle w:val="Heading1"/>
      </w:pPr>
      <w:r>
        <w:t xml:space="preserve">Discussion</w:t>
      </w:r>
    </w:p>
    <w:bookmarkStart w:id="50" w:name="X380efa4bf8d760bfa61841cbd100babbbcf7659"/>
    <w:p>
      <w:pPr>
        <w:pStyle w:val="Heading2"/>
      </w:pPr>
      <w:r>
        <w:t xml:space="preserve">Grouping Dynamics Across the Three Phases of the Aurignacian</w:t>
      </w:r>
    </w:p>
    <w:p>
      <w:pPr>
        <w:pStyle w:val="FirstParagraph"/>
      </w:pPr>
      <w:r>
        <w:t xml:space="preserve">Our first aim was to determine how the grouping dynamics of geometric signs changed across three phases of the Aurignacian, specifically in terms of diversity, size, connectivity, and distribution. The results from</w:t>
      </w:r>
      <w:r>
        <w:t xml:space="preserve"> </w:t>
      </w:r>
      <w:hyperlink w:anchor="fig-seriation">
        <w:r>
          <w:rPr>
            <w:rStyle w:val="Hyperlink"/>
          </w:rPr>
          <w:t xml:space="preserve">Figure 2</w:t>
        </w:r>
      </w:hyperlink>
      <w:r>
        <w:t xml:space="preserve"> </w:t>
      </w:r>
      <w:r>
        <w:t xml:space="preserve">show that each phase can be divided into two main cultural groups, with sign type number and diversity serving as a major dividing factor, and that group size varied from phase to phase, with a large increase in between the Proto-Aurignacian and the Early Aurignacian.</w:t>
      </w:r>
      <w:r>
        <w:t xml:space="preserve"> </w:t>
      </w:r>
      <w:hyperlink w:anchor="fig-neighbor-net">
        <w:r>
          <w:rPr>
            <w:rStyle w:val="Hyperlink"/>
          </w:rPr>
          <w:t xml:space="preserve">Figure 3</w:t>
        </w:r>
      </w:hyperlink>
      <w:r>
        <w:t xml:space="preserve"> </w:t>
      </w:r>
      <w:r>
        <w:t xml:space="preserve">shows that group inter-connectivity and intra-connectivity varies from phase to phase, with weak intra-group connections in the Proto-Aurignacian, to stronger intraconnections and interconnections starting to form, to very strong connections (both between and within groups) in the Early Aurignacian, to weaker connections in the Evolved Aurignacian. The perMANOVA tests show that the changes between the Proto, Early, and Evolved Aurignacian phases are statistically significant, with the Proto-Aurignacian experiencing the highest level of difference between groups, while the Early Aurignacian has the least.</w:t>
      </w:r>
    </w:p>
    <w:p>
      <w:pPr>
        <w:pStyle w:val="BodyText"/>
      </w:pPr>
      <w:r>
        <w:t xml:space="preserve">One consistent grouping dynamic throughout all three phases is the restricted/broader range group divide, which may be influenced by variation in social structure. Variation in hunter-gatherer social structures is well-known from ethnographic and archaeological research</w:t>
      </w:r>
      <w:r>
        <w:rPr>
          <w:vertAlign w:val="superscript"/>
        </w:rPr>
        <w:t xml:space="preserve">22–29</w:t>
      </w:r>
      <w:r>
        <w:t xml:space="preserve">. Studies have established how variation in ornamentation and other forms of material culture can be used to communicate information about the numbers and types of social roles and statuses within groups</w:t>
      </w:r>
      <w:r>
        <w:rPr>
          <w:vertAlign w:val="superscript"/>
        </w:rPr>
        <w:t xml:space="preserve">4,29–40</w:t>
      </w:r>
      <w:r>
        <w:t xml:space="preserve">. Drawing on this work, we interpret the broader/restricted range grouping in the geometric sign data as indicating variation in social structure. The broader range groups, with higher variety of signs and more visually complex signs, indicates communities with a greater variety of formalized social roles. Conversely, the sites with a restricted range of signs indicate communities with fewer formalized social roles. A single larger community could have both of these groups as sub-sets, rather than the restricted/broader range groups being distinct, non-overlapping cultural groups.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reflect non-utilitarian mobility among these larger communities. Previous studies have shown a range of variation in magnitudes and types of mobility among hunter-gatherer groups</w:t>
      </w:r>
      <w:r>
        <w:rPr>
          <w:vertAlign w:val="superscript"/>
        </w:rPr>
        <w:t xml:space="preserve">27,28,41–43</w:t>
      </w:r>
      <w:r>
        <w:t xml:space="preserve">. Non-utilitarian mobility establishes regional social networks which facilitate the spread of information and the survival of hunter-gatherers in uncertain environments</w:t>
      </w:r>
      <w:r>
        <w:rPr>
          <w:vertAlign w:val="superscript"/>
        </w:rPr>
        <w:t xml:space="preserve">44–48</w:t>
      </w:r>
      <w:r>
        <w:t xml:space="preserve">. The exchange and production of decorative items, such as objects with geometric signs, has been associated with non-utilitarian mobility and recognized as an indicator of social contact</w:t>
      </w:r>
      <w:r>
        <w:rPr>
          <w:vertAlign w:val="superscript"/>
        </w:rPr>
        <w:t xml:space="preserve">44,49–52</w:t>
      </w:r>
      <w:r>
        <w:t xml:space="preserve">. This non-utilitarian mobility can be divided into shorter-term information exchange and longer-term residential movement.</w:t>
      </w:r>
    </w:p>
    <w:p>
      <w:pPr>
        <w:pStyle w:val="BodyText"/>
      </w:pPr>
      <w:r>
        <w:t xml:space="preserve">One form of longer-term residential movement that may be related to non-utilitarian mobility are aggregation/dispersion patterns, which are a type of hunter-gather settlement pattern in which groups both break off in dispersed fragments and congregate in large groups, typically for subsistence or social reasons</w:t>
      </w:r>
      <w:r>
        <w:rPr>
          <w:vertAlign w:val="superscript"/>
        </w:rPr>
        <w:t xml:space="preserve">53</w:t>
      </w:r>
      <w:r>
        <w:t xml:space="preserve">. Aggregation sites, associated with high degrees of social connectivity, are the places where those group fragments or individuals congregate. Some archaeological indicators of aggregation sites include proximity to certain environmental resources, as well as a more diverse artifact assemblage</w:t>
      </w:r>
      <w:r>
        <w:rPr>
          <w:vertAlign w:val="superscript"/>
        </w:rPr>
        <w:t xml:space="preserve">53</w:t>
      </w:r>
      <w:r>
        <w:t xml:space="preserve">, including, in some cases, decorative objects</w:t>
      </w:r>
      <w:r>
        <w:rPr>
          <w:vertAlign w:val="superscript"/>
        </w:rPr>
        <w:t xml:space="preserve">49</w:t>
      </w:r>
      <w:r>
        <w:t xml:space="preserve">. Previous studies have also identified evidence of aggregation/dispersion patterns among the early modern humans of the Upper Paleolithic</w:t>
      </w:r>
      <w:r>
        <w:rPr>
          <w:vertAlign w:val="superscript"/>
        </w:rPr>
        <w:t xml:space="preserve">2,54,55,55–60</w:t>
      </w:r>
      <w:r>
        <w:t xml:space="preserve">.</w:t>
      </w:r>
    </w:p>
    <w:p>
      <w:pPr>
        <w:pStyle w:val="BodyText"/>
      </w:pPr>
      <w:r>
        <w:t xml:space="preserve">We identify aggregation sites as those with a higher than expected sign diversity index.</w:t>
      </w:r>
      <w:r>
        <w:t xml:space="preserve"> </w:t>
      </w:r>
      <w:hyperlink w:anchor="fig-div-plot">
        <w:r>
          <w:rPr>
            <w:rStyle w:val="Hyperlink"/>
          </w:rPr>
          <w:t xml:space="preserve">Figure 5</w:t>
        </w:r>
      </w:hyperlink>
      <w:r>
        <w:t xml:space="preserve"> </w:t>
      </w:r>
      <w:r>
        <w:t xml:space="preserve">plots the expected Shannon-Weaver diversity index</w:t>
      </w:r>
      <w:r>
        <w:rPr>
          <w:vertAlign w:val="superscript"/>
        </w:rPr>
        <w:t xml:space="preserve">61</w:t>
      </w:r>
      <w:r>
        <w:t xml:space="preserve"> </w:t>
      </w:r>
      <w:r>
        <w:t xml:space="preserve">for a given sample size against the actual diversity index per site</w:t>
      </w:r>
      <w:r>
        <w:rPr>
          <w:vertAlign w:val="superscript"/>
        </w:rPr>
        <w:t xml:space="preserve">62</w:t>
      </w:r>
      <w:r>
        <w:t xml:space="preserve">. The plot identifies multiple sites with a higher than expected diversity of signs, such as Hohle Fels, Spy, La Ferrassie, and Les Cottés in the Proto-Aurignacian, Solutré, Hohle Fels, and Grottes de Fonds-de-Forêt in the Early Aurignacian, and Vogelherd, Bockstein-Törle, and Vindija Cave in the Evolved Aurignacian. Notably, most of these sites are not shown as having connections between groups in</w:t>
      </w:r>
      <w:r>
        <w:t xml:space="preserve"> </w:t>
      </w:r>
      <w:hyperlink w:anchor="fig-neighbor-net">
        <w:r>
          <w:rPr>
            <w:rStyle w:val="Hyperlink"/>
          </w:rPr>
          <w:t xml:space="preserve">Figure 3</w:t>
        </w:r>
      </w:hyperlink>
      <w:r>
        <w:t xml:space="preserve">, except for La Ferrassie in the Proto-Aurignacian.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expected diversity in</w:t>
      </w:r>
      <w:r>
        <w:t xml:space="preserve"> </w:t>
      </w:r>
      <w:hyperlink w:anchor="fig-div-plot">
        <w:r>
          <w:rPr>
            <w:rStyle w:val="Hyperlink"/>
          </w:rPr>
          <w:t xml:space="preserve">Figure 5</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9" w:name="fig-div-plot"/>
          <w:p>
            <w:pPr>
              <w:pStyle w:val="Compact"/>
              <w:jc w:val="center"/>
            </w:pPr>
            <w:r>
              <w:drawing>
                <wp:inline>
                  <wp:extent cx="5943600" cy="4160520"/>
                  <wp:effectExtent b="0" l="0" r="0" t="0"/>
                  <wp:docPr descr="" title="" id="47" name="Picture"/>
                  <a:graphic>
                    <a:graphicData uri="http://schemas.openxmlformats.org/drawingml/2006/picture">
                      <pic:pic>
                        <pic:nvPicPr>
                          <pic:cNvPr descr="paper_files/figure-docx/fig-div-plot-1.png" id="48" name="Picture"/>
                          <pic:cNvPicPr>
                            <a:picLocks noChangeArrowheads="1" noChangeAspect="1"/>
                          </pic:cNvPicPr>
                        </pic:nvPicPr>
                        <pic:blipFill>
                          <a:blip r:embed="rId46"/>
                          <a:stretch>
                            <a:fillRect/>
                          </a:stretch>
                        </pic:blipFill>
                        <pic:spPr bwMode="auto">
                          <a:xfrm>
                            <a:off x="0" y="0"/>
                            <a:ext cx="5943600" cy="41605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Plots of expected versus actual diversity of signs for each site by time period. The blue line is the expected Heterogeneity value under the null model (simple increase in sample size means simple increase in diversity of sign types. The upper red line is the upper 95% confidence interval, if a site is near or above that line, it has a much higher diversity of signs than expected under the null model. The lower red line is the lower 95% confidence interval, if a site is near or below that line, it has a much lower diversity of signs than expected under the null model.</w:t>
            </w:r>
          </w:p>
          <w:bookmarkEnd w:id="49"/>
        </w:tc>
      </w:tr>
    </w:tbl>
    <w:bookmarkEnd w:id="50"/>
    <w:bookmarkStart w:id="51" w:name="X5a03299457332875c79208c6b3568a0eb59688c"/>
    <w:p>
      <w:pPr>
        <w:pStyle w:val="Heading2"/>
      </w:pPr>
      <w:r>
        <w:t xml:space="preserve">Social Organization Dynamics Throughout the Aurignacian</w:t>
      </w:r>
    </w:p>
    <w:p>
      <w:pPr>
        <w:pStyle w:val="FirstParagraph"/>
      </w:pPr>
      <w:r>
        <w:t xml:space="preserve">The second aim was to determine what these patterns reveal about the dynamics of social organization throughout the Aurignacian. The results suggest that the Proto-Aurignacian, which subsumes the earliest Aurignacian material culture, was sparsely populated, with a relatively low number of sites and minimal interaction between loosely connected groups. For the Proto-Aurignacian, the results suggest a large expansion in social interaction within groups, as well as some degree of interaction between groups, with geographic distance having the least influence on sign distribution</w:t>
      </w:r>
      <w:r>
        <w:t xml:space="preserve"> </w:t>
      </w:r>
      <w:hyperlink w:anchor="tbl-mantel-table">
        <w:r>
          <w:rPr>
            <w:rStyle w:val="Hyperlink"/>
          </w:rPr>
          <w:t xml:space="preserve">Table 2</w:t>
        </w:r>
      </w:hyperlink>
      <w:r>
        <w:t xml:space="preserve">. The Early Aurignacian experiences a large surge in interaction between groups, as well as interaction within groups, and an increase in the correlation with geographic distance. The Evolved Aurignacian experiences a decline in between-group interaction, although it maintains within-group interaction.</w:t>
      </w:r>
    </w:p>
    <w:p>
      <w:pPr>
        <w:pStyle w:val="BodyText"/>
      </w:pPr>
      <w:r>
        <w:t xml:space="preserve">These results are consistent with previous work on the environmental and population change during these phases. From 45 - 43.25 k BP, the population density in Europe was extremely low, due to the unfavorable environmental conditions of Greenland Stadial 12 (44 k BP) and the slow westward expansion of early modern humans</w:t>
      </w:r>
      <w:r>
        <w:rPr>
          <w:vertAlign w:val="superscript"/>
        </w:rPr>
        <w:t xml:space="preserve">63</w:t>
      </w:r>
      <w:r>
        <w:t xml:space="preserve">. This was followed by rapid expansion from 43.25-41 k BP (Proto-Aurignacian), with the maximum extent of Proto/Early Aurignacian settlement being reached around 41 k BP. This rapid population expansion could be what stimulated the emergence of signs as a marker of group membership. Other studies have also found similar associations in other regions and time periods between increases in quantity and diversity of art, and increases in population density</w:t>
      </w:r>
      <w:r>
        <w:rPr>
          <w:vertAlign w:val="superscript"/>
        </w:rPr>
        <w:t xml:space="preserve">64–72</w:t>
      </w:r>
      <w:r>
        <w:t xml:space="preserve">.</w:t>
      </w:r>
    </w:p>
    <w:p>
      <w:pPr>
        <w:pStyle w:val="BodyText"/>
      </w:pPr>
      <w:r>
        <w:t xml:space="preserve">Our results are consistent with</w:t>
      </w:r>
      <w:r>
        <w:rPr>
          <w:vertAlign w:val="superscript"/>
        </w:rPr>
        <w:t xml:space="preserve">14</w:t>
      </w:r>
      <w:r>
        <w:t xml:space="preserve"> </w:t>
      </w:r>
      <w:r>
        <w:t xml:space="preserve">who used eco-cultural niche modeling to show that the Heinrich Stadial 4 (HS4) at the very beginning of the Early Aurignacian resulted in an expansion of people into new environmental niches, which they hypothesize was associated with an expansion of social networks both within and between populations. This correlates with our results which show a large increase in both inter-connectivity and intra-connectivity strength in the Early Aurignacian, as well as the increased sign type correlation with geographic distance. Similarly,</w:t>
      </w:r>
      <w:r>
        <w:rPr>
          <w:vertAlign w:val="superscript"/>
        </w:rPr>
        <w:t xml:space="preserve">12</w:t>
      </w:r>
      <w:r>
        <w:t xml:space="preserve"> </w:t>
      </w:r>
      <w:r>
        <w:t xml:space="preserve">developed a human-existence probability model for the Aurignacian, finding an expanded, more dispersed settlement area for Evolved/Late Aurignacian theorizing that the environmental changes of HS4 lead to humans better adapted to survive in a broader range of climate conditions.</w:t>
      </w:r>
      <w:r>
        <w:rPr>
          <w:vertAlign w:val="superscript"/>
        </w:rPr>
        <w:t xml:space="preserve">63</w:t>
      </w:r>
      <w:r>
        <w:t xml:space="preserve"> </w:t>
      </w:r>
      <w:r>
        <w:t xml:space="preserve">also finds an increase in expansion marking the beginning of the Evolved Aurignacian. This geographic expansion may explain our results, where we find weaker, more dispersed connections in the Evolved Aurignacian.</w:t>
      </w:r>
    </w:p>
    <w:p>
      <w:pPr>
        <w:pStyle w:val="BodyText"/>
      </w:pPr>
      <w:r>
        <w:t xml:space="preserve">Our results support a general theory of geometric signs as a form of cultural identification and communication during the Palaeolithic, as proposed by previous work</w:t>
      </w:r>
      <w:r>
        <w:rPr>
          <w:vertAlign w:val="superscript"/>
        </w:rPr>
        <w:t xml:space="preserve">3</w:t>
      </w:r>
      <w:r>
        <w:t xml:space="preserve">. However, our results do not include geographically distinct cultural groups, and so our findings contrast with previous work such as</w:t>
      </w:r>
      <w:r>
        <w:rPr>
          <w:vertAlign w:val="superscript"/>
        </w:rPr>
        <w:t xml:space="preserve">6</w:t>
      </w:r>
      <w:r>
        <w:t xml:space="preserve"> </w:t>
      </w:r>
      <w:r>
        <w:t xml:space="preserve">and</w:t>
      </w:r>
      <w:r>
        <w:rPr>
          <w:vertAlign w:val="superscript"/>
        </w:rPr>
        <w:t xml:space="preserve">3</w:t>
      </w:r>
      <w:r>
        <w:t xml:space="preserve"> </w:t>
      </w:r>
      <w:r>
        <w:t xml:space="preserve">who found distinct cultural clusters in their analysis of personal ornaments. One possible explanation of this contrast is that a distinguishing factor between the Aurignacian and Gravettian is the appearance of geographically distinct cultural groups in the Gravettian, as reported by</w:t>
      </w:r>
      <w:r>
        <w:rPr>
          <w:vertAlign w:val="superscript"/>
        </w:rPr>
        <w:t xml:space="preserve">3</w:t>
      </w:r>
      <w:r>
        <w:t xml:space="preserve">. We might hypothesize that the distribution found in the Evolved Aurignacian</w:t>
      </w:r>
      <w:r>
        <w:t xml:space="preserve"> </w:t>
      </w:r>
      <w:hyperlink w:anchor="fig-group-map">
        <w:r>
          <w:rPr>
            <w:rStyle w:val="Hyperlink"/>
          </w:rPr>
          <w:t xml:space="preserve">Figure 4</w:t>
        </w:r>
      </w:hyperlink>
      <w:r>
        <w:t xml:space="preserve"> </w:t>
      </w:r>
      <w:r>
        <w:t xml:space="preserve">evolved into the clusters proposed by</w:t>
      </w:r>
      <w:r>
        <w:rPr>
          <w:vertAlign w:val="superscript"/>
        </w:rPr>
        <w:t xml:space="preserve">3</w:t>
      </w:r>
      <w:r>
        <w:t xml:space="preserve"> </w:t>
      </w:r>
      <w:r>
        <w:t xml:space="preserve">for the Gravettian period.</w:t>
      </w:r>
    </w:p>
    <w:p>
      <w:pPr>
        <w:pStyle w:val="BodyText"/>
      </w:pPr>
      <w:r>
        <w:t xml:space="preserve">That said, our results also contrast with</w:t>
      </w:r>
      <w:r>
        <w:rPr>
          <w:vertAlign w:val="superscript"/>
        </w:rPr>
        <w:t xml:space="preserve">6</w:t>
      </w:r>
      <w:r>
        <w:t xml:space="preserve">, who found nine ethnically structured groups using evidence from the Aurignacian period. One possible explanation for this is that the geometric signs studied here encode different kinds of group information compared to the personal ornament objects studied by</w:t>
      </w:r>
      <w:r>
        <w:rPr>
          <w:vertAlign w:val="superscript"/>
        </w:rPr>
        <w:t xml:space="preserve">6</w:t>
      </w:r>
      <w:r>
        <w:t xml:space="preserve">. On one hand, we hypothesize that geometric signs are not a useful proxy for detecting geographically distinct cultural groups in the Palaeolithic, compared to personal ornaments. On the other hand, the data used by</w:t>
      </w:r>
      <w:r>
        <w:rPr>
          <w:vertAlign w:val="superscript"/>
        </w:rPr>
        <w:t xml:space="preserve">6</w:t>
      </w:r>
      <w:r>
        <w:t xml:space="preserve"> </w:t>
      </w:r>
      <w:r>
        <w:t xml:space="preserve">was also analyzed by</w:t>
      </w:r>
      <w:r>
        <w:rPr>
          <w:vertAlign w:val="superscript"/>
        </w:rPr>
        <w:t xml:space="preserve">73</w:t>
      </w:r>
      <w:r>
        <w:t xml:space="preserve">, who used Approximate Bayesian Computation to simulate and compare Aurignacian personal ornament distribution as a result of structured ethnic identity [e.g. ]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rPr>
          <w:vertAlign w:val="superscript"/>
        </w:rPr>
        <w:t xml:space="preserve">73</w:t>
      </w:r>
      <w:r>
        <w:t xml:space="preserve"> </w:t>
      </w:r>
      <w:r>
        <w:t xml:space="preserve">complicate claims by</w:t>
      </w:r>
      <w:r>
        <w:rPr>
          <w:vertAlign w:val="superscript"/>
        </w:rPr>
        <w:t xml:space="preserve">6</w:t>
      </w:r>
      <w:r>
        <w:t xml:space="preserve"> </w:t>
      </w:r>
      <w:r>
        <w:t xml:space="preserve">for geographically distinct cultural groups in the Aurignacian, and validate our findings.</w:t>
      </w:r>
    </w:p>
    <w:p>
      <w:pPr>
        <w:pStyle w:val="BodyText"/>
      </w:pPr>
      <w:r>
        <w:t xml:space="preserve">While our results do not entirely support the findings of</w:t>
      </w:r>
      <w:r>
        <w:rPr>
          <w:vertAlign w:val="superscript"/>
        </w:rPr>
        <w:t xml:space="preserve">73</w:t>
      </w:r>
      <w:r>
        <w:t xml:space="preserve">, given that our Mantel tests did not find a statistically significant correlation between geographic distance and sign type similarity (</w:t>
      </w:r>
      <w:hyperlink w:anchor="tbl-mantel-table">
        <w:r>
          <w:rPr>
            <w:rStyle w:val="Hyperlink"/>
          </w:rPr>
          <w:t xml:space="preserve">Table 2</w:t>
        </w:r>
      </w:hyperlink>
      <w:r>
        <w:t xml:space="preserve">), cultural identity by-descent with modification seems a likely explanation for some of the patterns seen in our results.</w:t>
      </w:r>
    </w:p>
    <w:bookmarkEnd w:id="51"/>
    <w:bookmarkEnd w:id="52"/>
    <w:bookmarkStart w:id="53" w:name="conclusion"/>
    <w:p>
      <w:pPr>
        <w:pStyle w:val="Heading1"/>
      </w:pPr>
      <w:r>
        <w:t xml:space="preserve">Conclusion</w:t>
      </w:r>
    </w:p>
    <w:p>
      <w:pPr>
        <w:pStyle w:val="FirstParagraph"/>
      </w:pPr>
      <w:r>
        <w:t xml:space="preserve">This study adds to our knowledge of social networks within the Aurignacian period, as our results document dynamic patterns of social exchange and connection. Previous work</w:t>
      </w:r>
      <w:r>
        <w:rPr>
          <w:vertAlign w:val="superscript"/>
        </w:rPr>
        <w:t xml:space="preserve">3,55,74–77</w:t>
      </w:r>
      <w:r>
        <w:t xml:space="preserve"> </w:t>
      </w:r>
      <w:r>
        <w:t xml:space="preserve">has used material culture analysis to reconstruct Upper Paleolithic social networks, which have been argued to be a driver of cultural and evolutionary change</w:t>
      </w:r>
      <w:r>
        <w:rPr>
          <w:vertAlign w:val="superscript"/>
        </w:rPr>
        <w:t xml:space="preserve">2,48,78–82</w:t>
      </w:r>
      <w:r>
        <w:t xml:space="preserve">.</w:t>
      </w:r>
      <w:r>
        <w:rPr>
          <w:vertAlign w:val="superscript"/>
        </w:rPr>
        <w:t xml:space="preserve">83</w:t>
      </w:r>
      <w:r>
        <w:t xml:space="preserve"> </w:t>
      </w:r>
      <w:r>
        <w:t xml:space="preserve">places the emergence of complex inter-group connectivity at around 30 k BP, however, our results show evidence of inter-connectivity beginning at around 41 k BP, perhaps suggesting an earlier emergence of complex inter-connectivity than previously predicted. We attempted to rectify the low temporal resolution that tends to affect network analysis results when analyzing older, more time-averaged data sets</w:t>
      </w:r>
      <w:r>
        <w:rPr>
          <w:vertAlign w:val="superscript"/>
        </w:rPr>
        <w:t xml:space="preserve">84</w:t>
      </w:r>
      <w:r>
        <w:t xml:space="preserve"> </w:t>
      </w:r>
      <w:r>
        <w:t xml:space="preserve">by dividing the data up into smaller time periods. Additionally, by focusing on change over time, we are able to see social networks as fluid and dynamic, rather than static and bounded</w:t>
      </w:r>
      <w:r>
        <w:rPr>
          <w:vertAlign w:val="superscript"/>
        </w:rPr>
        <w:t xml:space="preserve">54</w:t>
      </w:r>
      <w:r>
        <w:t xml:space="preserve">.Our results do not support the conclusions drawn in</w:t>
      </w:r>
      <w:r>
        <w:rPr>
          <w:vertAlign w:val="superscript"/>
        </w:rPr>
        <w:t xml:space="preserve">6</w:t>
      </w:r>
      <w:r>
        <w:t xml:space="preserve"> </w:t>
      </w:r>
      <w:r>
        <w:t xml:space="preserve">, where Aurignacian artwork is found to be a symbolic marker of structured ethnic identity, but are supported by</w:t>
      </w:r>
      <w:r>
        <w:rPr>
          <w:vertAlign w:val="superscript"/>
        </w:rPr>
        <w:t xml:space="preserve">73</w:t>
      </w:r>
      <w:r>
        <w:t xml:space="preserve">, which utilizes the same data as</w:t>
      </w:r>
      <w:r>
        <w:rPr>
          <w:vertAlign w:val="superscript"/>
        </w:rPr>
        <w:t xml:space="preserve">6</w:t>
      </w:r>
      <w:r>
        <w:t xml:space="preserve"> </w:t>
      </w:r>
      <w:r>
        <w:t xml:space="preserve">to conclude that cultural identity by-descent with modification is a more likely explanation for the distribution of Aurigancian ornaments.</w:t>
      </w:r>
    </w:p>
    <w:p>
      <w:pPr>
        <w:pStyle w:val="BodyText"/>
      </w:pPr>
      <w:r>
        <w:t xml:space="preserve">One limitation is the potential ambiguity that arises with some of the sign types. While</w:t>
      </w:r>
      <w:r>
        <w:rPr>
          <w:vertAlign w:val="superscript"/>
        </w:rPr>
        <w:t xml:space="preserve">85</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cultural connectivity regardless of function, even if it is random copying</w:t>
      </w:r>
      <w:r>
        <w:rPr>
          <w:vertAlign w:val="superscript"/>
        </w:rPr>
        <w:t xml:space="preserve">20</w:t>
      </w:r>
      <w:r>
        <w:t xml:space="preserve">, and additionally, greater quantities of included sign types serves to establish stronger connections</w:t>
      </w:r>
      <w:r>
        <w:rPr>
          <w:vertAlign w:val="superscript"/>
        </w:rPr>
        <w:t xml:space="preserve">84</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p>
    <w:bookmarkEnd w:id="53"/>
    <w:bookmarkStart w:id="57" w:name="methods"/>
    <w:p>
      <w:pPr>
        <w:pStyle w:val="Heading1"/>
      </w:pPr>
      <w:r>
        <w:t xml:space="preserve">Methods</w:t>
      </w:r>
    </w:p>
    <w:bookmarkStart w:id="54" w:name="X46fb7fbb72b706c03a53d156cc51de5c114d6b9"/>
    <w:p>
      <w:pPr>
        <w:pStyle w:val="Heading2"/>
      </w:pPr>
      <w:r>
        <w:t xml:space="preserve">Cultural Group Detection Using Seriation and Network Analysis</w:t>
      </w:r>
    </w:p>
    <w:p>
      <w:pPr>
        <w:pStyle w:val="FirstParagraph"/>
      </w:pPr>
      <w:r>
        <w:t xml:space="preserve">Seriation analysis is the arrangement of data into a linear order to reveal patterns</w:t>
      </w:r>
      <w:r>
        <w:rPr>
          <w:vertAlign w:val="superscript"/>
        </w:rPr>
        <w:t xml:space="preserve">86</w:t>
      </w:r>
      <w:r>
        <w:t xml:space="preserve">. We used the Brower-Kile</w:t>
      </w:r>
      <w:r>
        <w:rPr>
          <w:vertAlign w:val="superscript"/>
        </w:rPr>
        <w:t xml:space="preserve">87</w:t>
      </w:r>
      <w:r>
        <w:t xml:space="preserve"> </w:t>
      </w:r>
      <w:r>
        <w:t xml:space="preserve">seriation algorithm from the seriation package</w:t>
      </w:r>
      <w:r>
        <w:rPr>
          <w:vertAlign w:val="superscript"/>
        </w:rPr>
        <w:t xml:space="preserve">88</w:t>
      </w:r>
      <w:r>
        <w:t xml:space="preserve">, in which a unidimensional sequence is generated by reordering the rows and columns to group the presences along the diagonal. To investigate connectivity among clusters of sites in the seriation solution, we used network analysis to represent and quantify the relationship between sites</w:t>
      </w:r>
      <w:r>
        <w:rPr>
          <w:vertAlign w:val="superscript"/>
        </w:rPr>
        <w:t xml:space="preserve">89</w:t>
      </w:r>
      <w:r>
        <w:t xml:space="preserve">. Each node is a site, and each edge is a measure of sign type distribution similarity, as computed by the Jaccard similarity algorithm. To avoid cluttering the graph, all edges below the value of 0.2 were removed. Results were plotted with the Fruchterman-Reingold layout</w:t>
      </w:r>
      <w:r>
        <w:rPr>
          <w:vertAlign w:val="superscript"/>
        </w:rPr>
        <w:t xml:space="preserve">90</w:t>
      </w:r>
      <w:r>
        <w:t xml:space="preserve">, a force-directed graph layout for uniform edge lengths, and network analysis was performed using the vegan</w:t>
      </w:r>
      <w:r>
        <w:rPr>
          <w:vertAlign w:val="superscript"/>
        </w:rPr>
        <w:t xml:space="preserve">91</w:t>
      </w:r>
      <w:r>
        <w:t xml:space="preserve">, statnet</w:t>
      </w:r>
      <w:r>
        <w:rPr>
          <w:vertAlign w:val="superscript"/>
        </w:rPr>
        <w:t xml:space="preserve">92</w:t>
      </w:r>
      <w:r>
        <w:t xml:space="preserve"> </w:t>
      </w:r>
      <w:r>
        <w:t xml:space="preserve">and igraph</w:t>
      </w:r>
      <w:r>
        <w:rPr>
          <w:vertAlign w:val="superscript"/>
        </w:rPr>
        <w:t xml:space="preserve">93</w:t>
      </w:r>
      <w:r>
        <w:t xml:space="preserve"> </w:t>
      </w:r>
      <w:r>
        <w:t xml:space="preserve">packages.</w:t>
      </w:r>
    </w:p>
    <w:bookmarkEnd w:id="54"/>
    <w:bookmarkStart w:id="55" w:name="Xda1c626f4bbd9fdc06551ef7388072be9db3264"/>
    <w:p>
      <w:pPr>
        <w:pStyle w:val="Heading2"/>
      </w:pPr>
      <w:r>
        <w:t xml:space="preserve">PerMANOVA for Cultural Connection Strength</w:t>
      </w:r>
    </w:p>
    <w:p>
      <w:pPr>
        <w:pStyle w:val="FirstParagraph"/>
      </w:pPr>
      <w:r>
        <w:t xml:space="preserve">PerMANOVA quantifies the level of variation between groups versus the level of variation within groups</w:t>
      </w:r>
      <w:r>
        <w:rPr>
          <w:vertAlign w:val="superscript"/>
        </w:rPr>
        <w:t xml:space="preserve">94,95</w:t>
      </w:r>
      <w:r>
        <w:t xml:space="preserve">.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the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rPr>
          <w:vertAlign w:val="superscript"/>
        </w:rPr>
        <w:t xml:space="preserve">91</w:t>
      </w:r>
      <w:r>
        <w:t xml:space="preserve"> </w:t>
      </w:r>
      <w:r>
        <w:t xml:space="preserve">and igraph</w:t>
      </w:r>
      <w:r>
        <w:rPr>
          <w:vertAlign w:val="superscript"/>
        </w:rPr>
        <w:t xml:space="preserve">93</w:t>
      </w:r>
      <w:r>
        <w:t xml:space="preserve"> </w:t>
      </w:r>
      <w:r>
        <w:t xml:space="preserve">packages.</w:t>
      </w:r>
    </w:p>
    <w:bookmarkEnd w:id="55"/>
    <w:bookmarkStart w:id="56" w:name="mantel-tests"/>
    <w:p>
      <w:pPr>
        <w:pStyle w:val="Heading2"/>
      </w:pPr>
      <w:r>
        <w:t xml:space="preserve">Mantel tests</w:t>
      </w:r>
    </w:p>
    <w:p>
      <w:pPr>
        <w:pStyle w:val="FirstParagraph"/>
      </w:pPr>
      <w:r>
        <w:t xml:space="preserve">The test seeks to determine the level of correspondence between the matrices through permutational evaluation of the null distribution</w:t>
      </w:r>
      <w:r>
        <w:rPr>
          <w:vertAlign w:val="superscript"/>
        </w:rPr>
        <w:t xml:space="preserve">96</w:t>
      </w:r>
      <w:r>
        <w:t xml:space="preserve"> </w:t>
      </w:r>
      <w:r>
        <w:t xml:space="preserve">(here 1000 permutations),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rPr>
          <w:vertAlign w:val="superscript"/>
        </w:rPr>
        <w:t xml:space="preserve">91</w:t>
      </w:r>
      <w:r>
        <w:t xml:space="preserve">.</w:t>
      </w:r>
    </w:p>
    <w:bookmarkEnd w:id="56"/>
    <w:bookmarkEnd w:id="57"/>
    <w:bookmarkStart w:id="232" w:name="references"/>
    <w:p>
      <w:pPr>
        <w:pStyle w:val="Heading1"/>
      </w:pPr>
      <w:r>
        <w:t xml:space="preserve">References</w:t>
      </w:r>
    </w:p>
    <w:bookmarkStart w:id="231" w:name="refs"/>
    <w:bookmarkStart w:id="59" w:name="ref-Boyd_Silk_2020"/>
    <w:p>
      <w:pPr>
        <w:pStyle w:val="Bibliography"/>
      </w:pPr>
      <w:r>
        <w:t xml:space="preserve">1.</w:t>
      </w:r>
      <w:r>
        <w:t xml:space="preserve"> </w:t>
      </w:r>
      <w:r>
        <w:t xml:space="preserve">	</w:t>
      </w:r>
      <w:r>
        <w:t xml:space="preserve">Boyd, R. &amp; Silk, J. B.</w:t>
      </w:r>
      <w:r>
        <w:t xml:space="preserve"> </w:t>
      </w:r>
      <w:hyperlink r:id="rId58">
        <w:r>
          <w:rPr>
            <w:rStyle w:val="Hyperlink"/>
            <w:iCs/>
            <w:i/>
          </w:rPr>
          <w:t xml:space="preserve">How Humans Evolved</w:t>
        </w:r>
      </w:hyperlink>
      <w:r>
        <w:t xml:space="preserve">. (W.W. Norton, 2020).</w:t>
      </w:r>
    </w:p>
    <w:bookmarkEnd w:id="59"/>
    <w:bookmarkStart w:id="61" w:name="ref-dErrico_Baker_Rigaud_2025"/>
    <w:p>
      <w:pPr>
        <w:pStyle w:val="Bibliography"/>
      </w:pPr>
      <w:r>
        <w:t xml:space="preserve">2.</w:t>
      </w:r>
      <w:r>
        <w:t xml:space="preserve"> </w:t>
      </w:r>
      <w:r>
        <w:t xml:space="preserve">	</w:t>
      </w:r>
      <w:r>
        <w:t xml:space="preserve">d’Errico, F.</w:t>
      </w:r>
      <w:r>
        <w:t xml:space="preserve"> </w:t>
      </w:r>
      <w:r>
        <w:rPr>
          <w:iCs/>
          <w:i/>
        </w:rPr>
        <w:t xml:space="preserve">et al.</w:t>
      </w:r>
      <w:r>
        <w:t xml:space="preserve"> </w:t>
      </w:r>
      <w:hyperlink r:id="rId60">
        <w:r>
          <w:rPr>
            <w:rStyle w:val="Hyperlink"/>
          </w:rPr>
          <w:t xml:space="preserve">Multivariate analyses of aurignacian and gravettian personal ornaments support cultural continuity in the early upper palaeolithic</w:t>
        </w:r>
      </w:hyperlink>
      <w:r>
        <w:t xml:space="preserve">.</w:t>
      </w:r>
      <w:r>
        <w:t xml:space="preserve"> </w:t>
      </w:r>
      <w:r>
        <w:rPr>
          <w:iCs/>
          <w:i/>
        </w:rPr>
        <w:t xml:space="preserve">PLOS ONE</w:t>
      </w:r>
      <w:r>
        <w:t xml:space="preserve"> </w:t>
      </w:r>
      <w:r>
        <w:rPr>
          <w:bCs/>
          <w:b/>
        </w:rPr>
        <w:t xml:space="preserve">20</w:t>
      </w:r>
      <w:r>
        <w:t xml:space="preserve">, 1–24 (2025).</w:t>
      </w:r>
    </w:p>
    <w:bookmarkEnd w:id="61"/>
    <w:bookmarkStart w:id="62" w:name="ref-baker2024evidence"/>
    <w:p>
      <w:pPr>
        <w:pStyle w:val="Bibliography"/>
      </w:pPr>
      <w:r>
        <w:t xml:space="preserve">3.</w:t>
      </w:r>
      <w:r>
        <w:t xml:space="preserve"> </w:t>
      </w:r>
      <w:r>
        <w:t xml:space="preserve">	</w:t>
      </w:r>
      <w:r>
        <w:t xml:space="preserve">Baker, J., Rigaud, S., Pereira, D., Courtenay, L. A. &amp; d’Errico, F. Evidence from personal ornaments suggest nine distinct cultural groups between 34,000 and 24,000 years ago in europe.</w:t>
      </w:r>
      <w:r>
        <w:t xml:space="preserve"> </w:t>
      </w:r>
      <w:r>
        <w:rPr>
          <w:iCs/>
          <w:i/>
        </w:rPr>
        <w:t xml:space="preserve">Nature Human Behaviour</w:t>
      </w:r>
      <w:r>
        <w:t xml:space="preserve"> </w:t>
      </w:r>
      <w:r>
        <w:rPr>
          <w:bCs/>
          <w:b/>
        </w:rPr>
        <w:t xml:space="preserve">8</w:t>
      </w:r>
      <w:r>
        <w:t xml:space="preserve">, 431–444 (2024).</w:t>
      </w:r>
    </w:p>
    <w:bookmarkEnd w:id="62"/>
    <w:bookmarkStart w:id="64" w:name="ref-Sauvet_2018"/>
    <w:p>
      <w:pPr>
        <w:pStyle w:val="Bibliography"/>
      </w:pPr>
      <w:r>
        <w:t xml:space="preserve">4.</w:t>
      </w:r>
      <w:r>
        <w:t xml:space="preserve"> </w:t>
      </w:r>
      <w:r>
        <w:t xml:space="preserve">	</w:t>
      </w:r>
      <w:r>
        <w:t xml:space="preserve">Sauvet, G.</w:t>
      </w:r>
      <w:r>
        <w:t xml:space="preserve"> </w:t>
      </w:r>
      <w:r>
        <w:rPr>
          <w:iCs/>
          <w:i/>
        </w:rPr>
        <w:t xml:space="preserve">et al.</w:t>
      </w:r>
      <w:r>
        <w:t xml:space="preserve"> </w:t>
      </w:r>
      <w:hyperlink r:id="rId63">
        <w:r>
          <w:rPr>
            <w:rStyle w:val="Hyperlink"/>
          </w:rPr>
          <w:t xml:space="preserve">The function of graphic signs in prehistoric societies: The case of cantabrian quadrilateral signs</w:t>
        </w:r>
      </w:hyperlink>
      <w:r>
        <w:t xml:space="preserve">.</w:t>
      </w:r>
      <w:r>
        <w:t xml:space="preserve"> </w:t>
      </w:r>
      <w:r>
        <w:rPr>
          <w:iCs/>
          <w:i/>
        </w:rPr>
        <w:t xml:space="preserve">Quaternary International</w:t>
      </w:r>
      <w:r>
        <w:t xml:space="preserve"> </w:t>
      </w:r>
      <w:r>
        <w:rPr>
          <w:bCs/>
          <w:b/>
        </w:rPr>
        <w:t xml:space="preserve">491</w:t>
      </w:r>
      <w:r>
        <w:t xml:space="preserve">, 99–109 (2018).</w:t>
      </w:r>
    </w:p>
    <w:bookmarkEnd w:id="64"/>
    <w:bookmarkStart w:id="66" w:name="ref-Kuhn_Stiner_2007"/>
    <w:p>
      <w:pPr>
        <w:pStyle w:val="Bibliography"/>
      </w:pPr>
      <w:r>
        <w:t xml:space="preserve">5.</w:t>
      </w:r>
      <w:r>
        <w:t xml:space="preserve"> </w:t>
      </w:r>
      <w:r>
        <w:t xml:space="preserve">	</w:t>
      </w:r>
      <w:r>
        <w:t xml:space="preserve">Kuhn, S. L. &amp; Stiner, M. C.</w:t>
      </w:r>
      <w:r>
        <w:t xml:space="preserve"> </w:t>
      </w:r>
      <w:hyperlink r:id="rId65">
        <w:r>
          <w:rPr>
            <w:rStyle w:val="Hyperlink"/>
          </w:rPr>
          <w:t xml:space="preserve">Paleolithic ornaments: Implications for cognition, demography and identity</w:t>
        </w:r>
      </w:hyperlink>
      <w:r>
        <w:t xml:space="preserve">.</w:t>
      </w:r>
      <w:r>
        <w:t xml:space="preserve"> </w:t>
      </w:r>
      <w:r>
        <w:rPr>
          <w:iCs/>
          <w:i/>
        </w:rPr>
        <w:t xml:space="preserve">Diogenes</w:t>
      </w:r>
      <w:r>
        <w:t xml:space="preserve"> </w:t>
      </w:r>
      <w:r>
        <w:rPr>
          <w:bCs/>
          <w:b/>
        </w:rPr>
        <w:t xml:space="preserve">54</w:t>
      </w:r>
      <w:r>
        <w:t xml:space="preserve">, 40–48 (2007).</w:t>
      </w:r>
    </w:p>
    <w:bookmarkEnd w:id="66"/>
    <w:bookmarkStart w:id="68" w:name="ref-Vanhaeren_d"/>
    <w:p>
      <w:pPr>
        <w:pStyle w:val="Bibliography"/>
      </w:pPr>
      <w:r>
        <w:t xml:space="preserve">6.</w:t>
      </w:r>
      <w:r>
        <w:t xml:space="preserve"> </w:t>
      </w:r>
      <w:r>
        <w:t xml:space="preserve">	</w:t>
      </w:r>
      <w:r>
        <w:t xml:space="preserve">Vanhaeren, M. &amp; d’Errico, F.</w:t>
      </w:r>
      <w:r>
        <w:t xml:space="preserve"> </w:t>
      </w:r>
      <w:hyperlink r:id="rId67">
        <w:r>
          <w:rPr>
            <w:rStyle w:val="Hyperlink"/>
          </w:rPr>
          <w:t xml:space="preserve">Aurignacian ethno-linguistic geography of europe revealed by personal ornaments</w:t>
        </w:r>
      </w:hyperlink>
      <w:r>
        <w:t xml:space="preserve">.</w:t>
      </w:r>
      <w:r>
        <w:t xml:space="preserve"> </w:t>
      </w:r>
      <w:r>
        <w:rPr>
          <w:iCs/>
          <w:i/>
        </w:rPr>
        <w:t xml:space="preserve">Journal of Archaeological Science</w:t>
      </w:r>
      <w:r>
        <w:t xml:space="preserve"> </w:t>
      </w:r>
      <w:r>
        <w:rPr>
          <w:bCs/>
          <w:b/>
        </w:rPr>
        <w:t xml:space="preserve">33</w:t>
      </w:r>
      <w:r>
        <w:t xml:space="preserve">, 1105–1128 (2006).</w:t>
      </w:r>
    </w:p>
    <w:bookmarkEnd w:id="68"/>
    <w:bookmarkStart w:id="70" w:name="ref-Fuentes_Lucas_Robert_2019"/>
    <w:p>
      <w:pPr>
        <w:pStyle w:val="Bibliography"/>
      </w:pPr>
      <w:r>
        <w:t xml:space="preserve">7.</w:t>
      </w:r>
      <w:r>
        <w:t xml:space="preserve"> </w:t>
      </w:r>
      <w:r>
        <w:t xml:space="preserve">	</w:t>
      </w:r>
      <w:r>
        <w:t xml:space="preserve">Fuentes, O., Lucas, C. &amp; Robert, E.</w:t>
      </w:r>
      <w:r>
        <w:t xml:space="preserve"> </w:t>
      </w:r>
      <w:hyperlink r:id="rId69">
        <w:r>
          <w:rPr>
            <w:rStyle w:val="Hyperlink"/>
          </w:rPr>
          <w:t xml:space="preserve">An approach to palaeolithic networks: The question of symbolic territories and their interpretation through magdalenian art</w:t>
        </w:r>
      </w:hyperlink>
      <w:r>
        <w:t xml:space="preserve">.</w:t>
      </w:r>
      <w:r>
        <w:t xml:space="preserve"> </w:t>
      </w:r>
      <w:r>
        <w:rPr>
          <w:iCs/>
          <w:i/>
        </w:rPr>
        <w:t xml:space="preserve">Quaternary International</w:t>
      </w:r>
      <w:r>
        <w:t xml:space="preserve"> </w:t>
      </w:r>
      <w:r>
        <w:rPr>
          <w:bCs/>
          <w:b/>
        </w:rPr>
        <w:t xml:space="preserve">503</w:t>
      </w:r>
      <w:r>
        <w:t xml:space="preserve">, 233–247 (2019).</w:t>
      </w:r>
    </w:p>
    <w:bookmarkEnd w:id="70"/>
    <w:bookmarkStart w:id="72" w:name="ref-Tejero_Grimaldi_2015"/>
    <w:p>
      <w:pPr>
        <w:pStyle w:val="Bibliography"/>
      </w:pPr>
      <w:r>
        <w:t xml:space="preserve">8.</w:t>
      </w:r>
      <w:r>
        <w:t xml:space="preserve"> </w:t>
      </w:r>
      <w:r>
        <w:t xml:space="preserve">	</w:t>
      </w:r>
      <w:r>
        <w:t xml:space="preserve">Tejero, J.-M. &amp; Grimaldi, S.</w:t>
      </w:r>
      <w:r>
        <w:t xml:space="preserve"> </w:t>
      </w:r>
      <w:hyperlink r:id="rId71">
        <w:r>
          <w:rPr>
            <w:rStyle w:val="Hyperlink"/>
          </w:rPr>
          <w:t xml:space="preserve">Assessing bone and antler exploitation at riparo mochi (balzi rossi, italy): Implications for the characterization of the aurignacian in south-western europe</w:t>
        </w:r>
      </w:hyperlink>
      <w:r>
        <w:t xml:space="preserve">.</w:t>
      </w:r>
      <w:r>
        <w:t xml:space="preserve"> </w:t>
      </w:r>
      <w:r>
        <w:rPr>
          <w:iCs/>
          <w:i/>
        </w:rPr>
        <w:t xml:space="preserve">Journal of Archaeological Science</w:t>
      </w:r>
      <w:r>
        <w:t xml:space="preserve"> </w:t>
      </w:r>
      <w:r>
        <w:rPr>
          <w:bCs/>
          <w:b/>
        </w:rPr>
        <w:t xml:space="preserve">61</w:t>
      </w:r>
      <w:r>
        <w:t xml:space="preserve">, 59–77 (2015).</w:t>
      </w:r>
    </w:p>
    <w:bookmarkEnd w:id="72"/>
    <w:bookmarkStart w:id="74" w:name="ref-Tartar_2012"/>
    <w:p>
      <w:pPr>
        <w:pStyle w:val="Bibliography"/>
      </w:pPr>
      <w:r>
        <w:t xml:space="preserve">9.</w:t>
      </w:r>
      <w:r>
        <w:t xml:space="preserve"> </w:t>
      </w:r>
      <w:r>
        <w:t xml:space="preserve">	</w:t>
      </w:r>
      <w:r>
        <w:t xml:space="preserve">Tartar, E.</w:t>
      </w:r>
      <w:r>
        <w:t xml:space="preserve"> </w:t>
      </w:r>
      <w:hyperlink r:id="rId73">
        <w:r>
          <w:rPr>
            <w:rStyle w:val="Hyperlink"/>
          </w:rPr>
          <w:t xml:space="preserve">The recognition of a new type of bone tools in early aurignacian assemblages: Implications for understanding the appearance of osseous technology in europe</w:t>
        </w:r>
      </w:hyperlink>
      <w:r>
        <w:t xml:space="preserve">.</w:t>
      </w:r>
      <w:r>
        <w:t xml:space="preserve"> </w:t>
      </w:r>
      <w:r>
        <w:rPr>
          <w:iCs/>
          <w:i/>
        </w:rPr>
        <w:t xml:space="preserve">Journal of Archaeological Science</w:t>
      </w:r>
      <w:r>
        <w:t xml:space="preserve"> </w:t>
      </w:r>
      <w:r>
        <w:rPr>
          <w:bCs/>
          <w:b/>
        </w:rPr>
        <w:t xml:space="preserve">39</w:t>
      </w:r>
      <w:r>
        <w:t xml:space="preserve">, 2348–2360 (2012).</w:t>
      </w:r>
    </w:p>
    <w:bookmarkEnd w:id="74"/>
    <w:bookmarkStart w:id="76" w:name="ref-dutkiewicz2020"/>
    <w:p>
      <w:pPr>
        <w:pStyle w:val="Bibliography"/>
      </w:pPr>
      <w:r>
        <w:t xml:space="preserve">10.</w:t>
      </w:r>
      <w:r>
        <w:t xml:space="preserve"> </w:t>
      </w:r>
      <w:r>
        <w:t xml:space="preserve">	</w:t>
      </w:r>
      <w:r>
        <w:t xml:space="preserve">Dutkiewicz, E., Russo, G., Lee, S. &amp; Bentz, C.</w:t>
      </w:r>
      <w:r>
        <w:t xml:space="preserve"> </w:t>
      </w:r>
      <w:hyperlink r:id="rId75">
        <w:r>
          <w:rPr>
            <w:rStyle w:val="Hyperlink"/>
          </w:rPr>
          <w:t xml:space="preserve">SignBase, a collection of geometric signs on mobile objects in the paleolithic</w:t>
        </w:r>
      </w:hyperlink>
      <w:r>
        <w:t xml:space="preserve">.</w:t>
      </w:r>
      <w:r>
        <w:t xml:space="preserve"> </w:t>
      </w:r>
      <w:r>
        <w:rPr>
          <w:iCs/>
          <w:i/>
        </w:rPr>
        <w:t xml:space="preserve">Scientific Data</w:t>
      </w:r>
      <w:r>
        <w:t xml:space="preserve"> </w:t>
      </w:r>
      <w:r>
        <w:rPr>
          <w:bCs/>
          <w:b/>
        </w:rPr>
        <w:t xml:space="preserve">7</w:t>
      </w:r>
      <w:r>
        <w:t xml:space="preserve">, 364 (2020).</w:t>
      </w:r>
    </w:p>
    <w:bookmarkEnd w:id="76"/>
    <w:bookmarkStart w:id="78" w:name="ref-Chu_Richter_2020"/>
    <w:p>
      <w:pPr>
        <w:pStyle w:val="Bibliography"/>
      </w:pPr>
      <w:r>
        <w:t xml:space="preserve">11.</w:t>
      </w:r>
      <w:r>
        <w:t xml:space="preserve"> </w:t>
      </w:r>
      <w:r>
        <w:t xml:space="preserve">	</w:t>
      </w:r>
      <w:r>
        <w:t xml:space="preserve">Chu, W. &amp; Richter, J. Aurignacian cultural unit. in</w:t>
      </w:r>
      <w:r>
        <w:t xml:space="preserve"> </w:t>
      </w:r>
      <w:r>
        <w:rPr>
          <w:iCs/>
          <w:i/>
        </w:rPr>
        <w:t xml:space="preserve">Encyclopedia of global archaeology</w:t>
      </w:r>
      <w:r>
        <w:t xml:space="preserve"> </w:t>
      </w:r>
      <w:r>
        <w:t xml:space="preserve">1–10 (Springer International Publishing, Cham, 2020). doi:</w:t>
      </w:r>
      <w:hyperlink r:id="rId77">
        <w:r>
          <w:rPr>
            <w:rStyle w:val="Hyperlink"/>
          </w:rPr>
          <w:t xml:space="preserve">10.1007/978-3-319-51726-1_3441-1</w:t>
        </w:r>
      </w:hyperlink>
      <w:r>
        <w:t xml:space="preserve">.</w:t>
      </w:r>
    </w:p>
    <w:bookmarkEnd w:id="78"/>
    <w:bookmarkStart w:id="80" w:name="X68cdd7ba62fc5dd3e1e9b497937717305f7b9a0"/>
    <w:p>
      <w:pPr>
        <w:pStyle w:val="Bibliography"/>
      </w:pPr>
      <w:r>
        <w:t xml:space="preserve">12.</w:t>
      </w:r>
      <w:r>
        <w:t xml:space="preserve"> </w:t>
      </w:r>
      <w:r>
        <w:t xml:space="preserve">	</w:t>
      </w:r>
      <w:r>
        <w:t xml:space="preserve">Shao, Y.</w:t>
      </w:r>
      <w:r>
        <w:t xml:space="preserve"> </w:t>
      </w:r>
      <w:r>
        <w:rPr>
          <w:iCs/>
          <w:i/>
        </w:rPr>
        <w:t xml:space="preserve">et al.</w:t>
      </w:r>
      <w:r>
        <w:t xml:space="preserve"> </w:t>
      </w:r>
      <w:hyperlink r:id="rId79">
        <w:r>
          <w:rPr>
            <w:rStyle w:val="Hyperlink"/>
          </w:rPr>
          <w:t xml:space="preserve">Human-existence probability of the aurignacian techno-complex under extreme climate conditions</w:t>
        </w:r>
      </w:hyperlink>
      <w:r>
        <w:t xml:space="preserve">.</w:t>
      </w:r>
      <w:r>
        <w:t xml:space="preserve"> </w:t>
      </w:r>
      <w:r>
        <w:rPr>
          <w:iCs/>
          <w:i/>
        </w:rPr>
        <w:t xml:space="preserve">Quaternary Science Reviews</w:t>
      </w:r>
      <w:r>
        <w:t xml:space="preserve"> </w:t>
      </w:r>
      <w:r>
        <w:rPr>
          <w:bCs/>
          <w:b/>
        </w:rPr>
        <w:t xml:space="preserve">263</w:t>
      </w:r>
      <w:r>
        <w:t xml:space="preserve">, 106995 (2021).</w:t>
      </w:r>
    </w:p>
    <w:bookmarkEnd w:id="80"/>
    <w:bookmarkStart w:id="82" w:name="ref-Schmidt_Zimmermann_2019"/>
    <w:p>
      <w:pPr>
        <w:pStyle w:val="Bibliography"/>
      </w:pPr>
      <w:r>
        <w:t xml:space="preserve">13.</w:t>
      </w:r>
      <w:r>
        <w:t xml:space="preserve"> </w:t>
      </w:r>
      <w:r>
        <w:t xml:space="preserve">	</w:t>
      </w:r>
      <w:r>
        <w:t xml:space="preserve">Schmidt, I. &amp; Zimmermann, A.</w:t>
      </w:r>
      <w:r>
        <w:t xml:space="preserve"> </w:t>
      </w:r>
      <w:hyperlink r:id="rId81">
        <w:r>
          <w:rPr>
            <w:rStyle w:val="Hyperlink"/>
          </w:rPr>
          <w:t xml:space="preserve">Population dynamics and socio-spatial organization of the aurignacian: Scalable quantitative demographic data for western and central europe</w:t>
        </w:r>
      </w:hyperlink>
      <w:r>
        <w:t xml:space="preserve">.</w:t>
      </w:r>
      <w:r>
        <w:t xml:space="preserve"> </w:t>
      </w:r>
      <w:r>
        <w:rPr>
          <w:iCs/>
          <w:i/>
        </w:rPr>
        <w:t xml:space="preserve">PLoS ONE</w:t>
      </w:r>
      <w:r>
        <w:t xml:space="preserve"> </w:t>
      </w:r>
      <w:r>
        <w:rPr>
          <w:bCs/>
          <w:b/>
        </w:rPr>
        <w:t xml:space="preserve">14</w:t>
      </w:r>
      <w:r>
        <w:t xml:space="preserve">, e0211562 (2019).</w:t>
      </w:r>
    </w:p>
    <w:bookmarkEnd w:id="82"/>
    <w:bookmarkStart w:id="84" w:name="ref-Banks_dErrico_Zilhao_2013"/>
    <w:p>
      <w:pPr>
        <w:pStyle w:val="Bibliography"/>
      </w:pPr>
      <w:r>
        <w:t xml:space="preserve">14.</w:t>
      </w:r>
      <w:r>
        <w:t xml:space="preserve"> </w:t>
      </w:r>
      <w:r>
        <w:t xml:space="preserve">	</w:t>
      </w:r>
      <w:r>
        <w:t xml:space="preserve">Banks, W. E., d’Errico, F. &amp; Zilhão, J.</w:t>
      </w:r>
      <w:r>
        <w:t xml:space="preserve"> </w:t>
      </w:r>
      <w:hyperlink r:id="rId83">
        <w:r>
          <w:rPr>
            <w:rStyle w:val="Hyperlink"/>
          </w:rPr>
          <w:t xml:space="preserve">Human–climate interaction during the early upper paleolithic: Testing the hypothesis of an adaptive shift between the proto-aurignacian and the early aurignacian</w:t>
        </w:r>
      </w:hyperlink>
      <w:r>
        <w:t xml:space="preserve">.</w:t>
      </w:r>
      <w:r>
        <w:t xml:space="preserve"> </w:t>
      </w:r>
      <w:r>
        <w:rPr>
          <w:iCs/>
          <w:i/>
        </w:rPr>
        <w:t xml:space="preserve">Journal of Human Evolution</w:t>
      </w:r>
      <w:r>
        <w:t xml:space="preserve"> </w:t>
      </w:r>
      <w:r>
        <w:rPr>
          <w:bCs/>
          <w:b/>
        </w:rPr>
        <w:t xml:space="preserve">64</w:t>
      </w:r>
      <w:r>
        <w:t xml:space="preserve">, 39–55 (2013).</w:t>
      </w:r>
    </w:p>
    <w:bookmarkEnd w:id="84"/>
    <w:bookmarkStart w:id="86" w:name="ref-Falcucci_Peresani_2017"/>
    <w:p>
      <w:pPr>
        <w:pStyle w:val="Bibliography"/>
      </w:pPr>
      <w:r>
        <w:t xml:space="preserve">15.</w:t>
      </w:r>
      <w:r>
        <w:t xml:space="preserve"> </w:t>
      </w:r>
      <w:r>
        <w:t xml:space="preserve">	</w:t>
      </w:r>
      <w:r>
        <w:t xml:space="preserve">Falcucci, A., Conard, N. J. &amp; Peresani, M.</w:t>
      </w:r>
      <w:r>
        <w:t xml:space="preserve"> </w:t>
      </w:r>
      <w:hyperlink r:id="rId85">
        <w:r>
          <w:rPr>
            <w:rStyle w:val="Hyperlink"/>
          </w:rPr>
          <w:t xml:space="preserve">A critical assessment of the protoaurignacian lithic technology at fumane cave and its implications for the definition of the earliest aurignacian</w:t>
        </w:r>
      </w:hyperlink>
      <w:r>
        <w:t xml:space="preserve">.</w:t>
      </w:r>
      <w:r>
        <w:t xml:space="preserve"> </w:t>
      </w:r>
      <w:r>
        <w:rPr>
          <w:iCs/>
          <w:i/>
        </w:rPr>
        <w:t xml:space="preserve">PLoS ONE</w:t>
      </w:r>
      <w:r>
        <w:t xml:space="preserve"> </w:t>
      </w:r>
      <w:r>
        <w:rPr>
          <w:bCs/>
          <w:b/>
        </w:rPr>
        <w:t xml:space="preserve">12</w:t>
      </w:r>
      <w:r>
        <w:t xml:space="preserve">, e0189241 (2017).</w:t>
      </w:r>
    </w:p>
    <w:bookmarkEnd w:id="86"/>
    <w:bookmarkStart w:id="88" w:name="ref-Slimak_2023"/>
    <w:p>
      <w:pPr>
        <w:pStyle w:val="Bibliography"/>
      </w:pPr>
      <w:r>
        <w:t xml:space="preserve">16.</w:t>
      </w:r>
      <w:r>
        <w:t xml:space="preserve"> </w:t>
      </w:r>
      <w:r>
        <w:t xml:space="preserve">	</w:t>
      </w:r>
      <w:r>
        <w:t xml:space="preserve">Slimak, L.</w:t>
      </w:r>
      <w:r>
        <w:t xml:space="preserve"> </w:t>
      </w:r>
      <w:hyperlink r:id="rId87">
        <w:r>
          <w:rPr>
            <w:rStyle w:val="Hyperlink"/>
          </w:rPr>
          <w:t xml:space="preserve">The three waves: Rethinking the structure of the first upper paleolithic in western eurasia</w:t>
        </w:r>
      </w:hyperlink>
      <w:r>
        <w:t xml:space="preserve">.</w:t>
      </w:r>
      <w:r>
        <w:t xml:space="preserve"> </w:t>
      </w:r>
      <w:r>
        <w:rPr>
          <w:iCs/>
          <w:i/>
        </w:rPr>
        <w:t xml:space="preserve">PLoS ONE</w:t>
      </w:r>
      <w:r>
        <w:t xml:space="preserve"> </w:t>
      </w:r>
      <w:r>
        <w:rPr>
          <w:bCs/>
          <w:b/>
        </w:rPr>
        <w:t xml:space="preserve">18</w:t>
      </w:r>
      <w:r>
        <w:t xml:space="preserve">, e0277444 (2023).</w:t>
      </w:r>
    </w:p>
    <w:bookmarkEnd w:id="88"/>
    <w:bookmarkStart w:id="90" w:name="ref-Fletcher_Sánchez"/>
    <w:p>
      <w:pPr>
        <w:pStyle w:val="Bibliography"/>
      </w:pPr>
      <w:r>
        <w:t xml:space="preserve">17.</w:t>
      </w:r>
      <w:r>
        <w:t xml:space="preserve"> </w:t>
      </w:r>
      <w:r>
        <w:t xml:space="preserve">	</w:t>
      </w:r>
      <w:r>
        <w:t xml:space="preserve">Fletcher, W. J.</w:t>
      </w:r>
      <w:r>
        <w:t xml:space="preserve"> </w:t>
      </w:r>
      <w:r>
        <w:rPr>
          <w:iCs/>
          <w:i/>
        </w:rPr>
        <w:t xml:space="preserve">et al.</w:t>
      </w:r>
      <w:r>
        <w:t xml:space="preserve"> </w:t>
      </w:r>
      <w:hyperlink r:id="rId89">
        <w:r>
          <w:rPr>
            <w:rStyle w:val="Hyperlink"/>
          </w:rPr>
          <w:t xml:space="preserve">Millennial-scale variability during the last glacial in vegetation records from europe</w:t>
        </w:r>
      </w:hyperlink>
      <w:r>
        <w:t xml:space="preserve">.</w:t>
      </w:r>
      <w:r>
        <w:t xml:space="preserve"> </w:t>
      </w:r>
      <w:r>
        <w:rPr>
          <w:iCs/>
          <w:i/>
        </w:rPr>
        <w:t xml:space="preserve">Quaternary Science Reviews</w:t>
      </w:r>
      <w:r>
        <w:t xml:space="preserve"> </w:t>
      </w:r>
      <w:r>
        <w:rPr>
          <w:bCs/>
          <w:b/>
        </w:rPr>
        <w:t xml:space="preserve">29</w:t>
      </w:r>
      <w:r>
        <w:t xml:space="preserve">, 2839–2864 (2010).</w:t>
      </w:r>
    </w:p>
    <w:bookmarkEnd w:id="90"/>
    <w:bookmarkStart w:id="92" w:name="ref-Lycett_2019"/>
    <w:p>
      <w:pPr>
        <w:pStyle w:val="Bibliography"/>
      </w:pPr>
      <w:r>
        <w:t xml:space="preserve">18.</w:t>
      </w:r>
      <w:r>
        <w:t xml:space="preserve"> </w:t>
      </w:r>
      <w:r>
        <w:t xml:space="preserve">	</w:t>
      </w:r>
      <w:r>
        <w:t xml:space="preserve">Lycett, S. J.</w:t>
      </w:r>
      <w:r>
        <w:t xml:space="preserve"> </w:t>
      </w:r>
      <w:hyperlink r:id="rId91">
        <w:r>
          <w:rPr>
            <w:rStyle w:val="Hyperlink"/>
          </w:rPr>
          <w:t xml:space="preserve">Confirmation of the role of geographic isolation by distance in among-tribe variations in beadwork designs and manufacture on the high plains</w:t>
        </w:r>
      </w:hyperlink>
      <w:r>
        <w:t xml:space="preserve">.</w:t>
      </w:r>
      <w:r>
        <w:t xml:space="preserve"> </w:t>
      </w:r>
      <w:r>
        <w:rPr>
          <w:iCs/>
          <w:i/>
        </w:rPr>
        <w:t xml:space="preserve">Archaeological and Anthropological Sciences</w:t>
      </w:r>
      <w:r>
        <w:t xml:space="preserve"> </w:t>
      </w:r>
      <w:r>
        <w:rPr>
          <w:bCs/>
          <w:b/>
        </w:rPr>
        <w:t xml:space="preserve">11</w:t>
      </w:r>
      <w:r>
        <w:t xml:space="preserve">, 2837–2847 (2019).</w:t>
      </w:r>
    </w:p>
    <w:bookmarkEnd w:id="92"/>
    <w:bookmarkStart w:id="94" w:name="ref-Crema_Bevan_2021"/>
    <w:p>
      <w:pPr>
        <w:pStyle w:val="Bibliography"/>
      </w:pPr>
      <w:r>
        <w:t xml:space="preserve">19.</w:t>
      </w:r>
      <w:r>
        <w:t xml:space="preserve"> </w:t>
      </w:r>
      <w:r>
        <w:t xml:space="preserve">	</w:t>
      </w:r>
      <w:r>
        <w:t xml:space="preserve">Crema, E. R. &amp; Bevan, A.</w:t>
      </w:r>
      <w:r>
        <w:t xml:space="preserve"> </w:t>
      </w:r>
      <w:hyperlink r:id="rId93">
        <w:r>
          <w:rPr>
            <w:rStyle w:val="Hyperlink"/>
          </w:rPr>
          <w:t xml:space="preserve">INFERENCE FROM LARGE SETS OF RADIOCARBON DATES: SOFTWARE AND METHODS</w:t>
        </w:r>
      </w:hyperlink>
      <w:r>
        <w:t xml:space="preserve">.</w:t>
      </w:r>
      <w:r>
        <w:t xml:space="preserve"> </w:t>
      </w:r>
      <w:r>
        <w:rPr>
          <w:iCs/>
          <w:i/>
        </w:rPr>
        <w:t xml:space="preserve">Radiocarbon</w:t>
      </w:r>
      <w:r>
        <w:t xml:space="preserve"> </w:t>
      </w:r>
      <w:r>
        <w:rPr>
          <w:bCs/>
          <w:b/>
        </w:rPr>
        <w:t xml:space="preserve">63</w:t>
      </w:r>
      <w:r>
        <w:t xml:space="preserve">, 23–39 (2021).</w:t>
      </w:r>
    </w:p>
    <w:bookmarkEnd w:id="94"/>
    <w:bookmarkStart w:id="96" w:name="ref-Herskind2023"/>
    <w:p>
      <w:pPr>
        <w:pStyle w:val="Bibliography"/>
      </w:pPr>
      <w:r>
        <w:t xml:space="preserve">20.</w:t>
      </w:r>
      <w:r>
        <w:t xml:space="preserve"> </w:t>
      </w:r>
      <w:r>
        <w:t xml:space="preserve">	</w:t>
      </w:r>
      <w:r>
        <w:t xml:space="preserve">Platz, H. L. L.</w:t>
      </w:r>
      <w:r>
        <w:t xml:space="preserve"> </w:t>
      </w:r>
      <w:hyperlink r:id="rId95">
        <w:r>
          <w:rPr>
            <w:rStyle w:val="Hyperlink"/>
          </w:rPr>
          <w:t xml:space="preserve">A case for idle graffiti</w:t>
        </w:r>
      </w:hyperlink>
      <w:r>
        <w:t xml:space="preserve">.</w:t>
      </w:r>
      <w:r>
        <w:t xml:space="preserve"> </w:t>
      </w:r>
      <w:r>
        <w:rPr>
          <w:iCs/>
          <w:i/>
        </w:rPr>
        <w:t xml:space="preserve">Hunter Gatherer Research</w:t>
      </w:r>
      <w:r>
        <w:t xml:space="preserve"> </w:t>
      </w:r>
      <w:r>
        <w:rPr>
          <w:bCs/>
          <w:b/>
        </w:rPr>
        <w:t xml:space="preserve">9</w:t>
      </w:r>
      <w:r>
        <w:t xml:space="preserve">, 59–93 (2023).</w:t>
      </w:r>
    </w:p>
    <w:bookmarkEnd w:id="96"/>
    <w:bookmarkStart w:id="98" w:name="ref-Rigaud_dErrico_Vanhaeren_2015"/>
    <w:p>
      <w:pPr>
        <w:pStyle w:val="Bibliography"/>
      </w:pPr>
      <w:r>
        <w:t xml:space="preserve">21.</w:t>
      </w:r>
      <w:r>
        <w:t xml:space="preserve"> </w:t>
      </w:r>
      <w:r>
        <w:t xml:space="preserve">	</w:t>
      </w:r>
      <w:r>
        <w:t xml:space="preserve">Rigaud, S., d’Errico, F. &amp; Vanhaeren, M.</w:t>
      </w:r>
      <w:r>
        <w:t xml:space="preserve"> </w:t>
      </w:r>
      <w:hyperlink r:id="rId97">
        <w:r>
          <w:rPr>
            <w:rStyle w:val="Hyperlink"/>
          </w:rPr>
          <w:t xml:space="preserve">Ornaments reveal resistance of north european cultures to the spread of farming</w:t>
        </w:r>
      </w:hyperlink>
      <w:r>
        <w:t xml:space="preserve">.</w:t>
      </w:r>
      <w:r>
        <w:t xml:space="preserve"> </w:t>
      </w:r>
      <w:r>
        <w:rPr>
          <w:iCs/>
          <w:i/>
        </w:rPr>
        <w:t xml:space="preserve">PLOS ONE</w:t>
      </w:r>
      <w:r>
        <w:t xml:space="preserve"> </w:t>
      </w:r>
      <w:r>
        <w:rPr>
          <w:bCs/>
          <w:b/>
        </w:rPr>
        <w:t xml:space="preserve">10</w:t>
      </w:r>
      <w:r>
        <w:t xml:space="preserve">, e0121166 (2015).</w:t>
      </w:r>
    </w:p>
    <w:bookmarkEnd w:id="98"/>
    <w:bookmarkStart w:id="100" w:name="ref-Finlayson_Warren_2017"/>
    <w:p>
      <w:pPr>
        <w:pStyle w:val="Bibliography"/>
      </w:pPr>
      <w:r>
        <w:t xml:space="preserve">22.</w:t>
      </w:r>
      <w:r>
        <w:t xml:space="preserve"> </w:t>
      </w:r>
      <w:r>
        <w:t xml:space="preserve">	</w:t>
      </w:r>
      <w:r>
        <w:t xml:space="preserve">Finlayson, B. &amp; Warren, G.</w:t>
      </w:r>
      <w:r>
        <w:t xml:space="preserve"> </w:t>
      </w:r>
      <w:hyperlink r:id="rId99">
        <w:r>
          <w:rPr>
            <w:rStyle w:val="Hyperlink"/>
          </w:rPr>
          <w:t xml:space="preserve">The diversity of hunter-gatherer pasts: An introduction</w:t>
        </w:r>
      </w:hyperlink>
      <w:r>
        <w:t xml:space="preserve">. in</w:t>
      </w:r>
      <w:r>
        <w:t xml:space="preserve"> </w:t>
      </w:r>
      <w:r>
        <w:rPr>
          <w:iCs/>
          <w:i/>
        </w:rPr>
        <w:t xml:space="preserve">The diversity of hunter gatherer pasts</w:t>
      </w:r>
      <w:r>
        <w:t xml:space="preserve"> </w:t>
      </w:r>
      <w:r>
        <w:t xml:space="preserve">(eds. Finlayson, B. &amp; Warren, G.) 1–14 (Oxbow Books, 2017).</w:t>
      </w:r>
    </w:p>
    <w:bookmarkEnd w:id="100"/>
    <w:bookmarkStart w:id="102" w:name="ref-Riches_1995"/>
    <w:p>
      <w:pPr>
        <w:pStyle w:val="Bibliography"/>
      </w:pPr>
      <w:r>
        <w:t xml:space="preserve">23.</w:t>
      </w:r>
      <w:r>
        <w:t xml:space="preserve"> </w:t>
      </w:r>
      <w:r>
        <w:t xml:space="preserve">	</w:t>
      </w:r>
      <w:r>
        <w:t xml:space="preserve">Riches, D.</w:t>
      </w:r>
      <w:r>
        <w:t xml:space="preserve"> </w:t>
      </w:r>
      <w:hyperlink r:id="rId101">
        <w:r>
          <w:rPr>
            <w:rStyle w:val="Hyperlink"/>
          </w:rPr>
          <w:t xml:space="preserve">Hunter-gatherer structural transformations</w:t>
        </w:r>
      </w:hyperlink>
      <w:r>
        <w:t xml:space="preserve">.</w:t>
      </w:r>
      <w:r>
        <w:t xml:space="preserve"> </w:t>
      </w:r>
      <w:r>
        <w:rPr>
          <w:iCs/>
          <w:i/>
        </w:rPr>
        <w:t xml:space="preserve">The Journal of the Royal Anthropological Institute</w:t>
      </w:r>
      <w:r>
        <w:t xml:space="preserve"> </w:t>
      </w:r>
      <w:r>
        <w:rPr>
          <w:bCs/>
          <w:b/>
        </w:rPr>
        <w:t xml:space="preserve">1</w:t>
      </w:r>
      <w:r>
        <w:t xml:space="preserve">, 679–701 (1995).</w:t>
      </w:r>
    </w:p>
    <w:bookmarkEnd w:id="102"/>
    <w:bookmarkStart w:id="104" w:name="ref-Price_Brown_1985"/>
    <w:p>
      <w:pPr>
        <w:pStyle w:val="Bibliography"/>
      </w:pPr>
      <w:r>
        <w:t xml:space="preserve">24.</w:t>
      </w:r>
      <w:r>
        <w:t xml:space="preserve"> </w:t>
      </w:r>
      <w:r>
        <w:t xml:space="preserve">	</w:t>
      </w:r>
      <w:r>
        <w:t xml:space="preserve">Price, T. D. &amp; Brown, J. A. Aspects of hunter–gatherer complexity. in</w:t>
      </w:r>
      <w:r>
        <w:t xml:space="preserve"> </w:t>
      </w:r>
      <w:r>
        <w:rPr>
          <w:iCs/>
          <w:i/>
        </w:rPr>
        <w:t xml:space="preserve">Prehistoric hunters-gatherers</w:t>
      </w:r>
      <w:r>
        <w:t xml:space="preserve"> </w:t>
      </w:r>
      <w:r>
        <w:t xml:space="preserve">(eds. Price, T. D. &amp; Brown, J. A.) 3–20 (Academic Press, 1985). doi:</w:t>
      </w:r>
      <w:hyperlink r:id="rId103">
        <w:r>
          <w:rPr>
            <w:rStyle w:val="Hyperlink"/>
          </w:rPr>
          <w:t xml:space="preserve">https://doi.org/10.1016/B978-0-12-564750-2.50006-8</w:t>
        </w:r>
      </w:hyperlink>
      <w:r>
        <w:t xml:space="preserve">.</w:t>
      </w:r>
    </w:p>
    <w:bookmarkEnd w:id="104"/>
    <w:bookmarkStart w:id="106" w:name="ref-Lane_2017"/>
    <w:p>
      <w:pPr>
        <w:pStyle w:val="Bibliography"/>
      </w:pPr>
      <w:r>
        <w:t xml:space="preserve">25.</w:t>
      </w:r>
      <w:r>
        <w:t xml:space="preserve"> </w:t>
      </w:r>
      <w:r>
        <w:t xml:space="preserve">	</w:t>
      </w:r>
      <w:r>
        <w:t xml:space="preserve">Lane, P. J.</w:t>
      </w:r>
      <w:r>
        <w:t xml:space="preserve"> </w:t>
      </w:r>
      <w:hyperlink r:id="rId105">
        <w:r>
          <w:rPr>
            <w:rStyle w:val="Hyperlink"/>
          </w:rPr>
          <w:t xml:space="preserve">Archaeological dimensions of past and present hunter-fisher-gatherer diversity</w:t>
        </w:r>
      </w:hyperlink>
      <w:r>
        <w:t xml:space="preserve">. in</w:t>
      </w:r>
      <w:r>
        <w:t xml:space="preserve"> </w:t>
      </w:r>
      <w:r>
        <w:rPr>
          <w:iCs/>
          <w:i/>
        </w:rPr>
        <w:t xml:space="preserve">The diversity of hunter gatherer pasts</w:t>
      </w:r>
      <w:r>
        <w:t xml:space="preserve"> </w:t>
      </w:r>
      <w:r>
        <w:t xml:space="preserve">(eds. Finlayson, B. &amp; Warren, G.) 185–196 (Oxbow Books, 2017).</w:t>
      </w:r>
    </w:p>
    <w:bookmarkEnd w:id="106"/>
    <w:bookmarkStart w:id="107" w:name="ref-Pate_2006"/>
    <w:p>
      <w:pPr>
        <w:pStyle w:val="Bibliography"/>
      </w:pPr>
      <w:r>
        <w:t xml:space="preserve">26.</w:t>
      </w:r>
      <w:r>
        <w:t xml:space="preserve"> </w:t>
      </w:r>
      <w:r>
        <w:t xml:space="preserve">	</w:t>
      </w:r>
      <w:r>
        <w:t xml:space="preserve">Pate, F. Hunter-gatherer social complexity at roonka flat, south australia. in</w:t>
      </w:r>
      <w:r>
        <w:t xml:space="preserve"> </w:t>
      </w:r>
      <w:r>
        <w:rPr>
          <w:iCs/>
          <w:i/>
        </w:rPr>
        <w:t xml:space="preserve">The social archaeology of australian indigenous societies</w:t>
      </w:r>
      <w:r>
        <w:t xml:space="preserve"> </w:t>
      </w:r>
      <w:r>
        <w:t xml:space="preserve">226–241 (Aboriginal Studies Press, 2006).</w:t>
      </w:r>
    </w:p>
    <w:bookmarkEnd w:id="107"/>
    <w:bookmarkStart w:id="109" w:name="ref-Johnson_2014"/>
    <w:p>
      <w:pPr>
        <w:pStyle w:val="Bibliography"/>
      </w:pPr>
      <w:r>
        <w:t xml:space="preserve">27.</w:t>
      </w:r>
      <w:r>
        <w:t xml:space="preserve"> </w:t>
      </w:r>
      <w:r>
        <w:t xml:space="preserve">	</w:t>
      </w:r>
      <w:r>
        <w:t xml:space="preserve">Johnson, A. L.</w:t>
      </w:r>
      <w:r>
        <w:t xml:space="preserve"> </w:t>
      </w:r>
      <w:hyperlink r:id="rId108">
        <w:r>
          <w:rPr>
            <w:rStyle w:val="Hyperlink"/>
          </w:rPr>
          <w:t xml:space="preserve">Exploring adaptive variation among hunter-gatherers with binford’s frames of reference</w:t>
        </w:r>
      </w:hyperlink>
      <w:r>
        <w:t xml:space="preserve">.</w:t>
      </w:r>
      <w:r>
        <w:t xml:space="preserve"> </w:t>
      </w:r>
      <w:r>
        <w:rPr>
          <w:iCs/>
          <w:i/>
        </w:rPr>
        <w:t xml:space="preserve">Journal of Archaeological Research</w:t>
      </w:r>
      <w:r>
        <w:t xml:space="preserve"> </w:t>
      </w:r>
      <w:r>
        <w:rPr>
          <w:bCs/>
          <w:b/>
        </w:rPr>
        <w:t xml:space="preserve">22</w:t>
      </w:r>
      <w:r>
        <w:t xml:space="preserve">, 1–42 (2014).</w:t>
      </w:r>
    </w:p>
    <w:bookmarkEnd w:id="109"/>
    <w:bookmarkStart w:id="111" w:name="ref-Singh_Glowacki_2022"/>
    <w:p>
      <w:pPr>
        <w:pStyle w:val="Bibliography"/>
      </w:pPr>
      <w:r>
        <w:t xml:space="preserve">28.</w:t>
      </w:r>
      <w:r>
        <w:t xml:space="preserve"> </w:t>
      </w:r>
      <w:r>
        <w:t xml:space="preserve">	</w:t>
      </w:r>
      <w:r>
        <w:t xml:space="preserve">Singh, M. &amp; Glowacki, L.</w:t>
      </w:r>
      <w:r>
        <w:t xml:space="preserve"> </w:t>
      </w:r>
      <w:hyperlink r:id="rId110">
        <w:r>
          <w:rPr>
            <w:rStyle w:val="Hyperlink"/>
          </w:rPr>
          <w:t xml:space="preserve">Human social organization during the late pleistocene: Beyond the nomadic-egalitarian model</w:t>
        </w:r>
      </w:hyperlink>
      <w:r>
        <w:t xml:space="preserve">.</w:t>
      </w:r>
      <w:r>
        <w:t xml:space="preserve"> </w:t>
      </w:r>
      <w:r>
        <w:rPr>
          <w:iCs/>
          <w:i/>
        </w:rPr>
        <w:t xml:space="preserve">Evolution and Human Behavior</w:t>
      </w:r>
      <w:r>
        <w:t xml:space="preserve"> </w:t>
      </w:r>
      <w:r>
        <w:rPr>
          <w:bCs/>
          <w:b/>
        </w:rPr>
        <w:t xml:space="preserve">43</w:t>
      </w:r>
      <w:r>
        <w:t xml:space="preserve">, 418–431 (2022).</w:t>
      </w:r>
    </w:p>
    <w:bookmarkEnd w:id="111"/>
    <w:bookmarkStart w:id="113" w:name="ref-Schwendler_2012"/>
    <w:p>
      <w:pPr>
        <w:pStyle w:val="Bibliography"/>
      </w:pPr>
      <w:r>
        <w:t xml:space="preserve">29.</w:t>
      </w:r>
      <w:r>
        <w:t xml:space="preserve"> </w:t>
      </w:r>
      <w:r>
        <w:t xml:space="preserve">	</w:t>
      </w:r>
      <w:r>
        <w:t xml:space="preserve">Schwendler, R. H.</w:t>
      </w:r>
      <w:r>
        <w:t xml:space="preserve"> </w:t>
      </w:r>
      <w:hyperlink r:id="rId112">
        <w:r>
          <w:rPr>
            <w:rStyle w:val="Hyperlink"/>
          </w:rPr>
          <w:t xml:space="preserve">Diversity in social organization across magdalenian western europe ca. 17–12,000 BP</w:t>
        </w:r>
      </w:hyperlink>
      <w:r>
        <w:t xml:space="preserve">.</w:t>
      </w:r>
      <w:r>
        <w:t xml:space="preserve"> </w:t>
      </w:r>
      <w:r>
        <w:rPr>
          <w:iCs/>
          <w:i/>
        </w:rPr>
        <w:t xml:space="preserve">Quaternary International</w:t>
      </w:r>
      <w:r>
        <w:t xml:space="preserve"> </w:t>
      </w:r>
      <w:r>
        <w:rPr>
          <w:bCs/>
          <w:b/>
        </w:rPr>
        <w:t xml:space="preserve">272–273</w:t>
      </w:r>
      <w:r>
        <w:t xml:space="preserve">, 333–353 (2012).</w:t>
      </w:r>
    </w:p>
    <w:bookmarkEnd w:id="113"/>
    <w:bookmarkStart w:id="115" w:name="ref-Morwood_1987"/>
    <w:p>
      <w:pPr>
        <w:pStyle w:val="Bibliography"/>
      </w:pPr>
      <w:r>
        <w:t xml:space="preserve">30.</w:t>
      </w:r>
      <w:r>
        <w:t xml:space="preserve"> </w:t>
      </w:r>
      <w:r>
        <w:t xml:space="preserve">	</w:t>
      </w:r>
      <w:r>
        <w:t xml:space="preserve">Morwood, M. J.</w:t>
      </w:r>
      <w:r>
        <w:t xml:space="preserve"> </w:t>
      </w:r>
      <w:hyperlink r:id="rId114">
        <w:r>
          <w:rPr>
            <w:rStyle w:val="Hyperlink"/>
          </w:rPr>
          <w:t xml:space="preserve">The archaeology of social complexity in south-east queensland</w:t>
        </w:r>
      </w:hyperlink>
      <w:r>
        <w:t xml:space="preserve">.</w:t>
      </w:r>
      <w:r>
        <w:t xml:space="preserve"> </w:t>
      </w:r>
      <w:r>
        <w:rPr>
          <w:iCs/>
          <w:i/>
        </w:rPr>
        <w:t xml:space="preserve">Proceedings of the Prehistoric Society</w:t>
      </w:r>
      <w:r>
        <w:t xml:space="preserve"> </w:t>
      </w:r>
      <w:r>
        <w:rPr>
          <w:bCs/>
          <w:b/>
        </w:rPr>
        <w:t xml:space="preserve">53</w:t>
      </w:r>
      <w:r>
        <w:t xml:space="preserve">, 337–350 (1987).</w:t>
      </w:r>
    </w:p>
    <w:bookmarkEnd w:id="115"/>
    <w:bookmarkStart w:id="117" w:name="ref-Mattson_2021"/>
    <w:p>
      <w:pPr>
        <w:pStyle w:val="Bibliography"/>
      </w:pPr>
      <w:r>
        <w:t xml:space="preserve">31.</w:t>
      </w:r>
      <w:r>
        <w:t xml:space="preserve"> </w:t>
      </w:r>
      <w:r>
        <w:t xml:space="preserve">	</w:t>
      </w:r>
      <w:r>
        <w:t xml:space="preserve">Mattson, H. V. Personal adornment and identity construction in archaeology: in</w:t>
      </w:r>
      <w:r>
        <w:t xml:space="preserve"> </w:t>
      </w:r>
      <w:r>
        <w:rPr>
          <w:iCs/>
          <w:i/>
        </w:rPr>
        <w:t xml:space="preserve">Personal adornment and the construction of identity</w:t>
      </w:r>
      <w:r>
        <w:t xml:space="preserve"> </w:t>
      </w:r>
      <w:r>
        <w:t xml:space="preserve">(ed. Mattson, H. V.) 1–24 (Oxbow Books, 2021). doi:</w:t>
      </w:r>
      <w:hyperlink r:id="rId116">
        <w:r>
          <w:rPr>
            <w:rStyle w:val="Hyperlink"/>
          </w:rPr>
          <w:t xml:space="preserve">10.2307/j.ctv24q4z2g.5</w:t>
        </w:r>
      </w:hyperlink>
      <w:r>
        <w:t xml:space="preserve">.</w:t>
      </w:r>
    </w:p>
    <w:bookmarkEnd w:id="117"/>
    <w:bookmarkStart w:id="118" w:name="ref-Larsson_2006"/>
    <w:p>
      <w:pPr>
        <w:pStyle w:val="Bibliography"/>
      </w:pPr>
      <w:r>
        <w:t xml:space="preserve">32.</w:t>
      </w:r>
      <w:r>
        <w:t xml:space="preserve"> </w:t>
      </w:r>
      <w:r>
        <w:t xml:space="preserve">	</w:t>
      </w:r>
      <w:r>
        <w:t xml:space="preserve">Larsson, L. A tooth for a tooth: Tooth ornaments from the graves at the cemeteries of zvejnieki. in</w:t>
      </w:r>
      <w:r>
        <w:t xml:space="preserve"> </w:t>
      </w:r>
      <w:r>
        <w:rPr>
          <w:iCs/>
          <w:i/>
        </w:rPr>
        <w:t xml:space="preserve">Back to the origin: New research in the mesolithic-neolithic zvejnieki cemetery and environment, northern latvia</w:t>
      </w:r>
      <w:r>
        <w:t xml:space="preserve"> </w:t>
      </w:r>
      <w:r>
        <w:t xml:space="preserve">vol. 52 253–287 (Almqvist &amp; Wiksell International, 2006).</w:t>
      </w:r>
    </w:p>
    <w:bookmarkEnd w:id="118"/>
    <w:bookmarkStart w:id="120" w:name="ref-Moore_2010"/>
    <w:p>
      <w:pPr>
        <w:pStyle w:val="Bibliography"/>
      </w:pPr>
      <w:r>
        <w:t xml:space="preserve">33.</w:t>
      </w:r>
      <w:r>
        <w:t xml:space="preserve"> </w:t>
      </w:r>
      <w:r>
        <w:t xml:space="preserve">	</w:t>
      </w:r>
      <w:r>
        <w:t xml:space="preserve">Moore, C. R.</w:t>
      </w:r>
      <w:r>
        <w:t xml:space="preserve"> </w:t>
      </w:r>
      <w:hyperlink r:id="rId119">
        <w:r>
          <w:rPr>
            <w:rStyle w:val="Hyperlink"/>
          </w:rPr>
          <w:t xml:space="preserve">A macroscopic investigation of technological style and the production of middle to late archaic fishhooks at the chiggerville, read, and baker sites, western kentucky</w:t>
        </w:r>
      </w:hyperlink>
      <w:r>
        <w:t xml:space="preserve">.</w:t>
      </w:r>
      <w:r>
        <w:t xml:space="preserve"> </w:t>
      </w:r>
      <w:r>
        <w:rPr>
          <w:iCs/>
          <w:i/>
        </w:rPr>
        <w:t xml:space="preserve">Southeastern Archaeology</w:t>
      </w:r>
      <w:r>
        <w:t xml:space="preserve"> </w:t>
      </w:r>
      <w:r>
        <w:rPr>
          <w:bCs/>
          <w:b/>
        </w:rPr>
        <w:t xml:space="preserve">29</w:t>
      </w:r>
      <w:r>
        <w:t xml:space="preserve">, 197–221 (2010).</w:t>
      </w:r>
    </w:p>
    <w:bookmarkEnd w:id="120"/>
    <w:bookmarkStart w:id="122" w:name="ref-Alfonso-Durrruty_Giles_Misarti2015"/>
    <w:p>
      <w:pPr>
        <w:pStyle w:val="Bibliography"/>
      </w:pPr>
      <w:r>
        <w:t xml:space="preserve">34.</w:t>
      </w:r>
      <w:r>
        <w:t xml:space="preserve"> </w:t>
      </w:r>
      <w:r>
        <w:t xml:space="preserve">	</w:t>
      </w:r>
      <w:r>
        <w:t xml:space="preserve">Alfonso-Durrruty, M. P., Giles, B. T., Misarti, N., San Roman, M. &amp; Morello, F.</w:t>
      </w:r>
      <w:r>
        <w:t xml:space="preserve"> </w:t>
      </w:r>
      <w:hyperlink r:id="rId121">
        <w:r>
          <w:rPr>
            <w:rStyle w:val="Hyperlink"/>
          </w:rPr>
          <w:t xml:space="preserve">Antiquity and geographic distribution of cranial modification among the prehistoric groups of fuego-patagonia, chile</w:t>
        </w:r>
      </w:hyperlink>
      <w:r>
        <w:t xml:space="preserve">.</w:t>
      </w:r>
      <w:r>
        <w:t xml:space="preserve"> </w:t>
      </w:r>
      <w:r>
        <w:rPr>
          <w:iCs/>
          <w:i/>
        </w:rPr>
        <w:t xml:space="preserve">American Journal of Physical Anthropology</w:t>
      </w:r>
      <w:r>
        <w:t xml:space="preserve"> </w:t>
      </w:r>
      <w:r>
        <w:rPr>
          <w:bCs/>
          <w:b/>
        </w:rPr>
        <w:t xml:space="preserve">158</w:t>
      </w:r>
      <w:r>
        <w:t xml:space="preserve">, 607–623 (2015).</w:t>
      </w:r>
    </w:p>
    <w:bookmarkEnd w:id="122"/>
    <w:bookmarkStart w:id="123" w:name="ref-Vanhaeren_2005"/>
    <w:p>
      <w:pPr>
        <w:pStyle w:val="Bibliography"/>
      </w:pPr>
      <w:r>
        <w:t xml:space="preserve">35.</w:t>
      </w:r>
      <w:r>
        <w:t xml:space="preserve"> </w:t>
      </w:r>
      <w:r>
        <w:t xml:space="preserve">	</w:t>
      </w:r>
      <w:r>
        <w:t xml:space="preserve">Vanhaeren, M. Speaking with beads: The evolutionary significance of personal ornaments. in</w:t>
      </w:r>
      <w:r>
        <w:t xml:space="preserve"> </w:t>
      </w:r>
      <w:r>
        <w:rPr>
          <w:iCs/>
          <w:i/>
        </w:rPr>
        <w:t xml:space="preserve">From tools to symbols: From early hominids to modern humans</w:t>
      </w:r>
      <w:r>
        <w:t xml:space="preserve"> </w:t>
      </w:r>
      <w:r>
        <w:t xml:space="preserve">(eds. d’Errico, F. &amp; Backwell, L.) 525–554 (Wits University Press, 2005).</w:t>
      </w:r>
    </w:p>
    <w:bookmarkEnd w:id="123"/>
    <w:bookmarkStart w:id="125" w:name="ref-Conkey_1985"/>
    <w:p>
      <w:pPr>
        <w:pStyle w:val="Bibliography"/>
      </w:pPr>
      <w:r>
        <w:t xml:space="preserve">36.</w:t>
      </w:r>
      <w:r>
        <w:t xml:space="preserve"> </w:t>
      </w:r>
      <w:r>
        <w:t xml:space="preserve">	</w:t>
      </w:r>
      <w:r>
        <w:t xml:space="preserve">Conkey, M. Ritual communication, social elaboration, and the variable trajectories of paleolithic material culture. in</w:t>
      </w:r>
      <w:r>
        <w:t xml:space="preserve"> </w:t>
      </w:r>
      <w:r>
        <w:rPr>
          <w:iCs/>
          <w:i/>
        </w:rPr>
        <w:t xml:space="preserve">Prehistoric hunters-gatherers</w:t>
      </w:r>
      <w:r>
        <w:t xml:space="preserve"> </w:t>
      </w:r>
      <w:r>
        <w:t xml:space="preserve">(eds. Price, T. D. &amp; Brown, J. A.) 299–323 (Academic Press, 1985). doi:</w:t>
      </w:r>
      <w:hyperlink r:id="rId124">
        <w:r>
          <w:rPr>
            <w:rStyle w:val="Hyperlink"/>
          </w:rPr>
          <w:t xml:space="preserve">https://doi.org/10.1016/B978-0-12-564750-2.50016-0</w:t>
        </w:r>
      </w:hyperlink>
      <w:r>
        <w:t xml:space="preserve">.</w:t>
      </w:r>
    </w:p>
    <w:bookmarkEnd w:id="125"/>
    <w:bookmarkStart w:id="126" w:name="ref-Conkey_1978"/>
    <w:p>
      <w:pPr>
        <w:pStyle w:val="Bibliography"/>
      </w:pPr>
      <w:r>
        <w:t xml:space="preserve">37.</w:t>
      </w:r>
      <w:r>
        <w:t xml:space="preserve"> </w:t>
      </w:r>
      <w:r>
        <w:t xml:space="preserve">	</w:t>
      </w:r>
      <w:r>
        <w:t xml:space="preserve">Conkey, M. Style and information in cultural evolution: Toward a predictive model for the paleolithic. in</w:t>
      </w:r>
      <w:r>
        <w:t xml:space="preserve"> </w:t>
      </w:r>
      <w:r>
        <w:rPr>
          <w:iCs/>
          <w:i/>
        </w:rPr>
        <w:t xml:space="preserve">Social archaeology: Beyond subsistence and dating</w:t>
      </w:r>
      <w:r>
        <w:t xml:space="preserve"> </w:t>
      </w:r>
      <w:r>
        <w:t xml:space="preserve">61–85 (New York: Academic Press, 1978).</w:t>
      </w:r>
    </w:p>
    <w:bookmarkEnd w:id="126"/>
    <w:bookmarkStart w:id="128" w:name="ref-Tilley_1982"/>
    <w:p>
      <w:pPr>
        <w:pStyle w:val="Bibliography"/>
      </w:pPr>
      <w:r>
        <w:t xml:space="preserve">38.</w:t>
      </w:r>
      <w:r>
        <w:t xml:space="preserve"> </w:t>
      </w:r>
      <w:r>
        <w:t xml:space="preserve">	</w:t>
      </w:r>
      <w:r>
        <w:t xml:space="preserve">Tilley, C. Social formation, social structures and social change. in</w:t>
      </w:r>
      <w:r>
        <w:t xml:space="preserve"> </w:t>
      </w:r>
      <w:r>
        <w:rPr>
          <w:iCs/>
          <w:i/>
        </w:rPr>
        <w:t xml:space="preserve">Symbolic and structural archaeology</w:t>
      </w:r>
      <w:r>
        <w:t xml:space="preserve"> </w:t>
      </w:r>
      <w:r>
        <w:t xml:space="preserve">(ed. Hodder, I.) 26–38 (Cambridge University Press, Cambridge, 1982). doi:</w:t>
      </w:r>
      <w:hyperlink r:id="rId127">
        <w:r>
          <w:rPr>
            <w:rStyle w:val="Hyperlink"/>
          </w:rPr>
          <w:t xml:space="preserve">10.1017/CBO9780511558252.004</w:t>
        </w:r>
      </w:hyperlink>
      <w:r>
        <w:t xml:space="preserve">.</w:t>
      </w:r>
    </w:p>
    <w:bookmarkEnd w:id="128"/>
    <w:bookmarkStart w:id="130" w:name="ref-Hodder1979"/>
    <w:p>
      <w:pPr>
        <w:pStyle w:val="Bibliography"/>
      </w:pPr>
      <w:r>
        <w:t xml:space="preserve">39.</w:t>
      </w:r>
      <w:r>
        <w:t xml:space="preserve"> </w:t>
      </w:r>
      <w:r>
        <w:t xml:space="preserve">	</w:t>
      </w:r>
      <w:r>
        <w:t xml:space="preserve">Hodder, I.</w:t>
      </w:r>
      <w:r>
        <w:t xml:space="preserve"> </w:t>
      </w:r>
      <w:hyperlink r:id="rId129">
        <w:r>
          <w:rPr>
            <w:rStyle w:val="Hyperlink"/>
          </w:rPr>
          <w:t xml:space="preserve">Economic and social stress and material culture patterning</w:t>
        </w:r>
      </w:hyperlink>
      <w:r>
        <w:t xml:space="preserve">.</w:t>
      </w:r>
      <w:r>
        <w:t xml:space="preserve"> </w:t>
      </w:r>
      <w:r>
        <w:rPr>
          <w:iCs/>
          <w:i/>
        </w:rPr>
        <w:t xml:space="preserve">American Antiquity</w:t>
      </w:r>
      <w:r>
        <w:t xml:space="preserve"> </w:t>
      </w:r>
      <w:r>
        <w:rPr>
          <w:bCs/>
          <w:b/>
        </w:rPr>
        <w:t xml:space="preserve">44</w:t>
      </w:r>
      <w:r>
        <w:t xml:space="preserve">, 446–454 (1979).</w:t>
      </w:r>
    </w:p>
    <w:bookmarkEnd w:id="130"/>
    <w:bookmarkStart w:id="132" w:name="ref-Hodder1977"/>
    <w:p>
      <w:pPr>
        <w:pStyle w:val="Bibliography"/>
      </w:pPr>
      <w:r>
        <w:t xml:space="preserve">40.</w:t>
      </w:r>
      <w:r>
        <w:t xml:space="preserve"> </w:t>
      </w:r>
      <w:r>
        <w:t xml:space="preserve">	</w:t>
      </w:r>
      <w:r>
        <w:t xml:space="preserve">Hodder, I.</w:t>
      </w:r>
      <w:r>
        <w:t xml:space="preserve"> </w:t>
      </w:r>
      <w:hyperlink r:id="rId131">
        <w:r>
          <w:rPr>
            <w:rStyle w:val="Hyperlink"/>
          </w:rPr>
          <w:t xml:space="preserve">The distribution of material culture items in the baringo district, western kenya</w:t>
        </w:r>
      </w:hyperlink>
      <w:r>
        <w:t xml:space="preserve">.</w:t>
      </w:r>
      <w:r>
        <w:t xml:space="preserve"> </w:t>
      </w:r>
      <w:r>
        <w:rPr>
          <w:iCs/>
          <w:i/>
        </w:rPr>
        <w:t xml:space="preserve">Man</w:t>
      </w:r>
      <w:r>
        <w:t xml:space="preserve"> </w:t>
      </w:r>
      <w:r>
        <w:rPr>
          <w:bCs/>
          <w:b/>
        </w:rPr>
        <w:t xml:space="preserve">12</w:t>
      </w:r>
      <w:r>
        <w:t xml:space="preserve">, 239–269 (1977).</w:t>
      </w:r>
    </w:p>
    <w:bookmarkEnd w:id="132"/>
    <w:bookmarkStart w:id="133" w:name="ref-Binford_1990"/>
    <w:p>
      <w:pPr>
        <w:pStyle w:val="Bibliography"/>
      </w:pPr>
      <w:r>
        <w:t xml:space="preserve">41.</w:t>
      </w:r>
      <w:r>
        <w:t xml:space="preserve"> </w:t>
      </w:r>
      <w:r>
        <w:t xml:space="preserve">	</w:t>
      </w:r>
      <w:r>
        <w:t xml:space="preserve">Binford, L. R. Mobility, housing, and environment: A comparative study.</w:t>
      </w:r>
      <w:r>
        <w:t xml:space="preserve"> </w:t>
      </w:r>
      <w:r>
        <w:rPr>
          <w:iCs/>
          <w:i/>
        </w:rPr>
        <w:t xml:space="preserve">Journal of Anthropological Research</w:t>
      </w:r>
      <w:r>
        <w:t xml:space="preserve"> </w:t>
      </w:r>
      <w:r>
        <w:rPr>
          <w:bCs/>
          <w:b/>
        </w:rPr>
        <w:t xml:space="preserve">46</w:t>
      </w:r>
      <w:r>
        <w:t xml:space="preserve">, 119–152 (1990).</w:t>
      </w:r>
    </w:p>
    <w:bookmarkEnd w:id="133"/>
    <w:bookmarkStart w:id="134" w:name="ref-Kelly_1983"/>
    <w:p>
      <w:pPr>
        <w:pStyle w:val="Bibliography"/>
      </w:pPr>
      <w:r>
        <w:t xml:space="preserve">42.</w:t>
      </w:r>
      <w:r>
        <w:t xml:space="preserve"> </w:t>
      </w:r>
      <w:r>
        <w:t xml:space="preserve">	</w:t>
      </w:r>
      <w:r>
        <w:t xml:space="preserve">Kelly, R. L. Hunter-gatherer mobility strategies.</w:t>
      </w:r>
      <w:r>
        <w:t xml:space="preserve"> </w:t>
      </w:r>
      <w:r>
        <w:rPr>
          <w:iCs/>
          <w:i/>
        </w:rPr>
        <w:t xml:space="preserve">Journal of Anthropological Research</w:t>
      </w:r>
      <w:r>
        <w:t xml:space="preserve"> </w:t>
      </w:r>
      <w:r>
        <w:rPr>
          <w:bCs/>
          <w:b/>
        </w:rPr>
        <w:t xml:space="preserve">39</w:t>
      </w:r>
      <w:r>
        <w:t xml:space="preserve">, 277–306 (1983).</w:t>
      </w:r>
    </w:p>
    <w:bookmarkEnd w:id="134"/>
    <w:bookmarkStart w:id="136" w:name="ref-Padilla-Iglesias_Bischoff_2024"/>
    <w:p>
      <w:pPr>
        <w:pStyle w:val="Bibliography"/>
      </w:pPr>
      <w:r>
        <w:t xml:space="preserve">43.</w:t>
      </w:r>
      <w:r>
        <w:t xml:space="preserve"> </w:t>
      </w:r>
      <w:r>
        <w:t xml:space="preserve">	</w:t>
      </w:r>
      <w:r>
        <w:t xml:space="preserve">Padilla-Iglesias, C. &amp; Bischoff, R. J.</w:t>
      </w:r>
      <w:r>
        <w:t xml:space="preserve"> </w:t>
      </w:r>
      <w:hyperlink r:id="rId135">
        <w:r>
          <w:rPr>
            <w:rStyle w:val="Hyperlink"/>
          </w:rPr>
          <w:t xml:space="preserve">Hunter-gatherer mobility patterns influence the reconstruction of social networks from archaeological assemblages</w:t>
        </w:r>
      </w:hyperlink>
      <w:r>
        <w:t xml:space="preserve">.</w:t>
      </w:r>
      <w:r>
        <w:t xml:space="preserve"> </w:t>
      </w:r>
      <w:r>
        <w:rPr>
          <w:iCs/>
          <w:i/>
        </w:rPr>
        <w:t xml:space="preserve">Journal of Archaeological Science: Reports</w:t>
      </w:r>
      <w:r>
        <w:t xml:space="preserve"> </w:t>
      </w:r>
      <w:r>
        <w:rPr>
          <w:bCs/>
          <w:b/>
        </w:rPr>
        <w:t xml:space="preserve">59</w:t>
      </w:r>
      <w:r>
        <w:t xml:space="preserve">, 104798 (2024).</w:t>
      </w:r>
    </w:p>
    <w:bookmarkEnd w:id="136"/>
    <w:bookmarkStart w:id="138" w:name="ref-Whallon_2006"/>
    <w:p>
      <w:pPr>
        <w:pStyle w:val="Bibliography"/>
      </w:pPr>
      <w:r>
        <w:t xml:space="preserve">44.</w:t>
      </w:r>
      <w:r>
        <w:t xml:space="preserve"> </w:t>
      </w:r>
      <w:r>
        <w:t xml:space="preserve">	</w:t>
      </w:r>
      <w:r>
        <w:t xml:space="preserve">Whallon, R.</w:t>
      </w:r>
      <w:r>
        <w:t xml:space="preserve"> </w:t>
      </w:r>
      <w:hyperlink r:id="rId137">
        <w:r>
          <w:rPr>
            <w:rStyle w:val="Hyperlink"/>
          </w:rPr>
          <w:t xml:space="preserve">Social networks and information: Non-</w:t>
        </w:r>
        <w:r>
          <w:rPr>
            <w:rStyle w:val="Hyperlink"/>
          </w:rPr>
          <w:t xml:space="preserve">‘utilitarian’</w:t>
        </w:r>
        <w:r>
          <w:rPr>
            <w:rStyle w:val="Hyperlink"/>
          </w:rPr>
          <w:t xml:space="preserve"> </w:t>
        </w:r>
        <w:r>
          <w:rPr>
            <w:rStyle w:val="Hyperlink"/>
          </w:rPr>
          <w:t xml:space="preserve">mobility among hunter-gatherers</w:t>
        </w:r>
      </w:hyperlink>
      <w:r>
        <w:t xml:space="preserve">.</w:t>
      </w:r>
      <w:r>
        <w:t xml:space="preserve"> </w:t>
      </w:r>
      <w:r>
        <w:rPr>
          <w:iCs/>
          <w:i/>
        </w:rPr>
        <w:t xml:space="preserve">Journal of Anthropological Archaeology</w:t>
      </w:r>
      <w:r>
        <w:t xml:space="preserve"> </w:t>
      </w:r>
      <w:r>
        <w:rPr>
          <w:bCs/>
          <w:b/>
        </w:rPr>
        <w:t xml:space="preserve">25</w:t>
      </w:r>
      <w:r>
        <w:t xml:space="preserve">, 259–270 (2006).</w:t>
      </w:r>
    </w:p>
    <w:bookmarkEnd w:id="138"/>
    <w:bookmarkStart w:id="139" w:name="ref-Fitzhugh_Phillips_Gjesfeld_2011"/>
    <w:p>
      <w:pPr>
        <w:pStyle w:val="Bibliography"/>
      </w:pPr>
      <w:r>
        <w:t xml:space="preserve">45.</w:t>
      </w:r>
      <w:r>
        <w:t xml:space="preserve"> </w:t>
      </w:r>
      <w:r>
        <w:t xml:space="preserve">	</w:t>
      </w:r>
      <w:r>
        <w:t xml:space="preserve">Fitzhugh, B., Phillips, S. C. &amp; Gjesfeld, E. Modeling hunter-gatherer information networks: An archaeological case study from the kuril islands. in</w:t>
      </w:r>
      <w:r>
        <w:t xml:space="preserve"> </w:t>
      </w:r>
      <w:r>
        <w:rPr>
          <w:iCs/>
          <w:i/>
        </w:rPr>
        <w:t xml:space="preserve">Information and its role in hunter-gatherer bands</w:t>
      </w:r>
      <w:r>
        <w:t xml:space="preserve"> </w:t>
      </w:r>
      <w:r>
        <w:t xml:space="preserve">89–115 (Cotsen Institute of Archaeology Press at UCLA, 2011).</w:t>
      </w:r>
    </w:p>
    <w:bookmarkEnd w:id="139"/>
    <w:bookmarkStart w:id="141" w:name="ref-Lovis_Donahue_2011"/>
    <w:p>
      <w:pPr>
        <w:pStyle w:val="Bibliography"/>
      </w:pPr>
      <w:r>
        <w:t xml:space="preserve">46.</w:t>
      </w:r>
      <w:r>
        <w:t xml:space="preserve"> </w:t>
      </w:r>
      <w:r>
        <w:t xml:space="preserve">	</w:t>
      </w:r>
      <w:r>
        <w:t xml:space="preserve">Lovis, W. A. &amp; Donahue, R. E. Space, information and knowledge: in</w:t>
      </w:r>
      <w:r>
        <w:t xml:space="preserve"> </w:t>
      </w:r>
      <w:r>
        <w:rPr>
          <w:iCs/>
          <w:i/>
        </w:rPr>
        <w:t xml:space="preserve">Information and its role in hunter-gatherer bands</w:t>
      </w:r>
      <w:r>
        <w:t xml:space="preserve"> </w:t>
      </w:r>
      <w:r>
        <w:t xml:space="preserve">(eds. WHALLON, R., LOVIS, W. A. &amp; HITCHCOCK, R. K.) 59–84 (Cotsen Institute of Archaeology Press at UCLA, 2011). doi:</w:t>
      </w:r>
      <w:hyperlink r:id="rId140">
        <w:r>
          <w:rPr>
            <w:rStyle w:val="Hyperlink"/>
          </w:rPr>
          <w:t xml:space="preserve">10.2307/j.ctvdmwwz4.7</w:t>
        </w:r>
      </w:hyperlink>
      <w:r>
        <w:t xml:space="preserve">.</w:t>
      </w:r>
    </w:p>
    <w:bookmarkEnd w:id="141"/>
    <w:bookmarkStart w:id="143" w:name="ref-Hitchcock_Ebert_2011"/>
    <w:p>
      <w:pPr>
        <w:pStyle w:val="Bibliography"/>
      </w:pPr>
      <w:r>
        <w:t xml:space="preserve">47.</w:t>
      </w:r>
      <w:r>
        <w:t xml:space="preserve"> </w:t>
      </w:r>
      <w:r>
        <w:t xml:space="preserve">	</w:t>
      </w:r>
      <w:r>
        <w:t xml:space="preserve">Hitchcock, R. K. &amp; Ebert, J. I. Where is that job? Hunter-gatherer information systems in complex social environments in the eastern kalahari desert, botswana. in</w:t>
      </w:r>
      <w:r>
        <w:t xml:space="preserve"> </w:t>
      </w:r>
      <w:r>
        <w:rPr>
          <w:iCs/>
          <w:i/>
        </w:rPr>
        <w:t xml:space="preserve">Information and its role in hunter-gatherer bands</w:t>
      </w:r>
      <w:r>
        <w:t xml:space="preserve"> </w:t>
      </w:r>
      <w:r>
        <w:t xml:space="preserve">(eds. WHALLON, R., LOVIS, W. A. &amp; HITCHCOCK, R. K.) 133–166 (Cotsen Institute of Archaeology Press at UCLA, 2011). doi:</w:t>
      </w:r>
      <w:hyperlink r:id="rId142">
        <w:r>
          <w:rPr>
            <w:rStyle w:val="Hyperlink"/>
          </w:rPr>
          <w:t xml:space="preserve">10.2307/j.ctvdmwwz4.10</w:t>
        </w:r>
      </w:hyperlink>
      <w:r>
        <w:t xml:space="preserve">.</w:t>
      </w:r>
    </w:p>
    <w:bookmarkEnd w:id="143"/>
    <w:bookmarkStart w:id="145" w:name="ref-Romano_Lozano_Fern2022"/>
    <w:p>
      <w:pPr>
        <w:pStyle w:val="Bibliography"/>
      </w:pPr>
      <w:r>
        <w:t xml:space="preserve">48.</w:t>
      </w:r>
      <w:r>
        <w:t xml:space="preserve"> </w:t>
      </w:r>
      <w:r>
        <w:t xml:space="preserve">	</w:t>
      </w:r>
      <w:r>
        <w:t xml:space="preserve">Romano, V., Lozano, S. &amp; Fernández-López de Pablo, J.</w:t>
      </w:r>
      <w:r>
        <w:t xml:space="preserve"> </w:t>
      </w:r>
      <w:hyperlink r:id="rId144">
        <w:r>
          <w:rPr>
            <w:rStyle w:val="Hyperlink"/>
          </w:rPr>
          <w:t xml:space="preserve">Reconstructing social networks of late glacial and holocene hunter–gatherers to understand cultural evolution</w:t>
        </w:r>
      </w:hyperlink>
      <w:r>
        <w:t xml:space="preserve">.</w:t>
      </w:r>
      <w:r>
        <w:t xml:space="preserve"> </w:t>
      </w:r>
      <w:r>
        <w:rPr>
          <w:iCs/>
          <w:i/>
        </w:rPr>
        <w:t xml:space="preserve">Philosophical Transactions of the Royal Society B</w:t>
      </w:r>
      <w:r>
        <w:t xml:space="preserve"> </w:t>
      </w:r>
      <w:r>
        <w:rPr>
          <w:bCs/>
          <w:b/>
        </w:rPr>
        <w:t xml:space="preserve">377</w:t>
      </w:r>
      <w:r>
        <w:t xml:space="preserve">, (2022).</w:t>
      </w:r>
    </w:p>
    <w:bookmarkEnd w:id="145"/>
    <w:bookmarkStart w:id="147" w:name="ref-Kelly_2024"/>
    <w:p>
      <w:pPr>
        <w:pStyle w:val="Bibliography"/>
      </w:pPr>
      <w:r>
        <w:t xml:space="preserve">49.</w:t>
      </w:r>
      <w:r>
        <w:t xml:space="preserve"> </w:t>
      </w:r>
      <w:r>
        <w:t xml:space="preserve">	</w:t>
      </w:r>
      <w:r>
        <w:t xml:space="preserve">Kelly, P. Comparing australian message sticks and sequentially marked objects of the upper palaeolithic: Problems and opportunities.</w:t>
      </w:r>
      <w:r>
        <w:t xml:space="preserve"> </w:t>
      </w:r>
      <w:r>
        <w:rPr>
          <w:iCs/>
          <w:i/>
        </w:rPr>
        <w:t xml:space="preserve">Topics in Cognitive Science</w:t>
      </w:r>
      <w:r>
        <w:t xml:space="preserve"> </w:t>
      </w:r>
      <w:r>
        <w:t xml:space="preserve">(2024) doi:</w:t>
      </w:r>
      <w:hyperlink r:id="rId146">
        <w:r>
          <w:rPr>
            <w:rStyle w:val="Hyperlink"/>
          </w:rPr>
          <w:t xml:space="preserve">10.1111/tops.12762</w:t>
        </w:r>
      </w:hyperlink>
      <w:r>
        <w:t xml:space="preserve">.</w:t>
      </w:r>
    </w:p>
    <w:bookmarkEnd w:id="147"/>
    <w:bookmarkStart w:id="149" w:name="ref-Kinahan_2013"/>
    <w:p>
      <w:pPr>
        <w:pStyle w:val="Bibliography"/>
      </w:pPr>
      <w:r>
        <w:t xml:space="preserve">50.</w:t>
      </w:r>
      <w:r>
        <w:t xml:space="preserve"> </w:t>
      </w:r>
      <w:r>
        <w:t xml:space="preserve">	</w:t>
      </w:r>
      <w:r>
        <w:t xml:space="preserve">Kinahan, J.</w:t>
      </w:r>
      <w:r>
        <w:t xml:space="preserve"> </w:t>
      </w:r>
      <w:hyperlink r:id="rId148">
        <w:r>
          <w:rPr>
            <w:rStyle w:val="Hyperlink"/>
          </w:rPr>
          <w:t xml:space="preserve">The acquisition of ceramics by hunter-gatherers on the middle zambezi in the first and second millennium AD</w:t>
        </w:r>
      </w:hyperlink>
      <w:r>
        <w:t xml:space="preserve">.</w:t>
      </w:r>
      <w:r>
        <w:t xml:space="preserve"> </w:t>
      </w:r>
      <w:r>
        <w:rPr>
          <w:iCs/>
          <w:i/>
        </w:rPr>
        <w:t xml:space="preserve">Journal of African Archaeology</w:t>
      </w:r>
      <w:r>
        <w:t xml:space="preserve"> </w:t>
      </w:r>
      <w:r>
        <w:rPr>
          <w:bCs/>
          <w:b/>
        </w:rPr>
        <w:t xml:space="preserve">11</w:t>
      </w:r>
      <w:r>
        <w:t xml:space="preserve">, 197–209 (2013).</w:t>
      </w:r>
    </w:p>
    <w:bookmarkEnd w:id="149"/>
    <w:bookmarkStart w:id="151" w:name="ref-Newlander_2012"/>
    <w:p>
      <w:pPr>
        <w:pStyle w:val="Bibliography"/>
      </w:pPr>
      <w:r>
        <w:t xml:space="preserve">51.</w:t>
      </w:r>
      <w:r>
        <w:t xml:space="preserve"> </w:t>
      </w:r>
      <w:r>
        <w:t xml:space="preserve">	</w:t>
      </w:r>
      <w:r>
        <w:t xml:space="preserve">Newlander, K. S.</w:t>
      </w:r>
      <w:r>
        <w:t xml:space="preserve"> </w:t>
      </w:r>
      <w:hyperlink r:id="rId150">
        <w:r>
          <w:rPr>
            <w:rStyle w:val="Hyperlink"/>
          </w:rPr>
          <w:t xml:space="preserve">Exchange, embedded procurement, and hunter-gatherer mobility: A case study from the north american great basin</w:t>
        </w:r>
      </w:hyperlink>
      <w:r>
        <w:t xml:space="preserve">.</w:t>
      </w:r>
      <w:r>
        <w:t xml:space="preserve"> </w:t>
      </w:r>
      <w:r>
        <w:rPr>
          <w:iCs/>
          <w:i/>
        </w:rPr>
        <w:t xml:space="preserve">ProQuest Dissertations and Theses</w:t>
      </w:r>
      <w:r>
        <w:t xml:space="preserve"> </w:t>
      </w:r>
      <w:r>
        <w:t xml:space="preserve">(University of Michigan, 2012).</w:t>
      </w:r>
    </w:p>
    <w:bookmarkEnd w:id="151"/>
    <w:bookmarkStart w:id="153" w:name="ref-Iizuka_Ferguson_Izuho_2022"/>
    <w:p>
      <w:pPr>
        <w:pStyle w:val="Bibliography"/>
      </w:pPr>
      <w:r>
        <w:t xml:space="preserve">52.</w:t>
      </w:r>
      <w:r>
        <w:t xml:space="preserve"> </w:t>
      </w:r>
      <w:r>
        <w:t xml:space="preserve">	</w:t>
      </w:r>
      <w:r>
        <w:t xml:space="preserve">Iizuka, F., Ferguson, J. R. &amp; Izuho, M.</w:t>
      </w:r>
      <w:r>
        <w:t xml:space="preserve"> </w:t>
      </w:r>
      <w:hyperlink r:id="rId152">
        <w:r>
          <w:rPr>
            <w:rStyle w:val="Hyperlink"/>
          </w:rPr>
          <w:t xml:space="preserve">Late pleistocene pottery production and exchange: Provenance studies of hunter-gatherer wares from southern kyushu, japan by neutron activation analysis</w:t>
        </w:r>
      </w:hyperlink>
      <w:r>
        <w:t xml:space="preserve">.</w:t>
      </w:r>
      <w:r>
        <w:t xml:space="preserve"> </w:t>
      </w:r>
      <w:r>
        <w:rPr>
          <w:iCs/>
          <w:i/>
        </w:rPr>
        <w:t xml:space="preserve">PLOS ONE</w:t>
      </w:r>
      <w:r>
        <w:t xml:space="preserve"> </w:t>
      </w:r>
      <w:r>
        <w:rPr>
          <w:bCs/>
          <w:b/>
        </w:rPr>
        <w:t xml:space="preserve">17</w:t>
      </w:r>
      <w:r>
        <w:t xml:space="preserve">, e0265329 (2022).</w:t>
      </w:r>
    </w:p>
    <w:bookmarkEnd w:id="153"/>
    <w:bookmarkStart w:id="155" w:name="ref-conkley_agg"/>
    <w:p>
      <w:pPr>
        <w:pStyle w:val="Bibliography"/>
      </w:pPr>
      <w:r>
        <w:t xml:space="preserve">53.</w:t>
      </w:r>
      <w:r>
        <w:t xml:space="preserve"> </w:t>
      </w:r>
      <w:r>
        <w:t xml:space="preserve">	</w:t>
      </w:r>
      <w:r>
        <w:t xml:space="preserve">Conkey, M.</w:t>
      </w:r>
      <w:r>
        <w:t xml:space="preserve"> </w:t>
      </w:r>
      <w:r>
        <w:rPr>
          <w:iCs/>
          <w:i/>
        </w:rPr>
        <w:t xml:space="preserve">et al.</w:t>
      </w:r>
      <w:r>
        <w:t xml:space="preserve"> </w:t>
      </w:r>
      <w:hyperlink r:id="rId154">
        <w:r>
          <w:rPr>
            <w:rStyle w:val="Hyperlink"/>
          </w:rPr>
          <w:t xml:space="preserve">The identification of prehistoric hunter-gatherer aggregation sites: The case of altamira [and comments and reply]</w:t>
        </w:r>
      </w:hyperlink>
      <w:r>
        <w:t xml:space="preserve">.</w:t>
      </w:r>
      <w:r>
        <w:t xml:space="preserve"> </w:t>
      </w:r>
      <w:r>
        <w:rPr>
          <w:iCs/>
          <w:i/>
        </w:rPr>
        <w:t xml:space="preserve">Current Anthropology</w:t>
      </w:r>
      <w:r>
        <w:t xml:space="preserve"> </w:t>
      </w:r>
      <w:r>
        <w:rPr>
          <w:bCs/>
          <w:b/>
        </w:rPr>
        <w:t xml:space="preserve">21</w:t>
      </w:r>
      <w:r>
        <w:t xml:space="preserve">, 609–630 (1980).</w:t>
      </w:r>
    </w:p>
    <w:bookmarkEnd w:id="155"/>
    <w:bookmarkStart w:id="157" w:name="ref-Maher_Conkey_2019"/>
    <w:p>
      <w:pPr>
        <w:pStyle w:val="Bibliography"/>
      </w:pPr>
      <w:r>
        <w:t xml:space="preserve">54.</w:t>
      </w:r>
      <w:r>
        <w:t xml:space="preserve"> </w:t>
      </w:r>
      <w:r>
        <w:t xml:space="preserve">	</w:t>
      </w:r>
      <w:r>
        <w:t xml:space="preserve">Maher, L. A. &amp; Conkey, M.</w:t>
      </w:r>
      <w:r>
        <w:t xml:space="preserve"> </w:t>
      </w:r>
      <w:hyperlink r:id="rId156">
        <w:r>
          <w:rPr>
            <w:rStyle w:val="Hyperlink"/>
          </w:rPr>
          <w:t xml:space="preserve">Homes for hunters?: Exploring the concept of home at hunter-gatherer sites in upper paleolithic europe and epipaleolithic southwest asia</w:t>
        </w:r>
      </w:hyperlink>
      <w:r>
        <w:t xml:space="preserve">.</w:t>
      </w:r>
      <w:r>
        <w:t xml:space="preserve"> </w:t>
      </w:r>
      <w:r>
        <w:rPr>
          <w:iCs/>
          <w:i/>
        </w:rPr>
        <w:t xml:space="preserve">Current Anthropology</w:t>
      </w:r>
      <w:r>
        <w:t xml:space="preserve"> </w:t>
      </w:r>
      <w:r>
        <w:rPr>
          <w:bCs/>
          <w:b/>
        </w:rPr>
        <w:t xml:space="preserve">60</w:t>
      </w:r>
      <w:r>
        <w:t xml:space="preserve">, 91–137 (2019).</w:t>
      </w:r>
    </w:p>
    <w:bookmarkEnd w:id="157"/>
    <w:bookmarkStart w:id="158" w:name="ref-bahn1982inter"/>
    <w:p>
      <w:pPr>
        <w:pStyle w:val="Bibliography"/>
      </w:pPr>
      <w:r>
        <w:t xml:space="preserve">55.</w:t>
      </w:r>
      <w:r>
        <w:t xml:space="preserve"> </w:t>
      </w:r>
      <w:r>
        <w:t xml:space="preserve">	</w:t>
      </w:r>
      <w:r>
        <w:t xml:space="preserve">Bahn, P. G. Inter-site and inter-regional links during the upper palaeolithic: The pyrenean evidence.</w:t>
      </w:r>
      <w:r>
        <w:t xml:space="preserve"> </w:t>
      </w:r>
      <w:r>
        <w:rPr>
          <w:iCs/>
          <w:i/>
        </w:rPr>
        <w:t xml:space="preserve">Oxford journal of Archaeology</w:t>
      </w:r>
      <w:r>
        <w:t xml:space="preserve"> </w:t>
      </w:r>
      <w:r>
        <w:rPr>
          <w:bCs/>
          <w:b/>
        </w:rPr>
        <w:t xml:space="preserve">1</w:t>
      </w:r>
      <w:r>
        <w:t xml:space="preserve">, 247–268 (1982).</w:t>
      </w:r>
    </w:p>
    <w:bookmarkEnd w:id="158"/>
    <w:bookmarkStart w:id="160" w:name="ref-Bourdier_2013"/>
    <w:p>
      <w:pPr>
        <w:pStyle w:val="Bibliography"/>
      </w:pPr>
      <w:r>
        <w:t xml:space="preserve">56.</w:t>
      </w:r>
      <w:r>
        <w:t xml:space="preserve"> </w:t>
      </w:r>
      <w:r>
        <w:t xml:space="preserve">	</w:t>
      </w:r>
      <w:r>
        <w:t xml:space="preserve">Bourdier, C.</w:t>
      </w:r>
      <w:r>
        <w:t xml:space="preserve"> </w:t>
      </w:r>
      <w:hyperlink r:id="rId159">
        <w:r>
          <w:rPr>
            <w:rStyle w:val="Hyperlink"/>
          </w:rPr>
          <w:t xml:space="preserve">Rock art and social geography in the upper paleolithic. Contribution to the socio-cultural function of the roc-aux-sorciers rock-shelter (angles-sur-l’anglin, france) from the viewpoint of its sculpted frieze</w:t>
        </w:r>
      </w:hyperlink>
      <w:r>
        <w:t xml:space="preserve">.</w:t>
      </w:r>
      <w:r>
        <w:t xml:space="preserve"> </w:t>
      </w:r>
      <w:r>
        <w:rPr>
          <w:iCs/>
          <w:i/>
        </w:rPr>
        <w:t xml:space="preserve">Journal of Anthropological Archaeology</w:t>
      </w:r>
      <w:r>
        <w:t xml:space="preserve"> </w:t>
      </w:r>
      <w:r>
        <w:rPr>
          <w:bCs/>
          <w:b/>
        </w:rPr>
        <w:t xml:space="preserve">32</w:t>
      </w:r>
      <w:r>
        <w:t xml:space="preserve">, 368–382 (2013).</w:t>
      </w:r>
    </w:p>
    <w:bookmarkEnd w:id="160"/>
    <w:bookmarkStart w:id="162" w:name="ref-Svoboda_2013"/>
    <w:p>
      <w:pPr>
        <w:pStyle w:val="Bibliography"/>
      </w:pPr>
      <w:r>
        <w:t xml:space="preserve">57.</w:t>
      </w:r>
      <w:r>
        <w:t xml:space="preserve"> </w:t>
      </w:r>
      <w:r>
        <w:t xml:space="preserve">	</w:t>
      </w:r>
      <w:r>
        <w:t xml:space="preserve">Svoboda, J. Art gravettien de pavlov i et VI: Comparaison d’un site d’agrégation et d’un site épisodique.</w:t>
      </w:r>
      <w:r>
        <w:t xml:space="preserve"> </w:t>
      </w:r>
      <w:r>
        <w:rPr>
          <w:iCs/>
          <w:i/>
        </w:rPr>
        <w:t xml:space="preserve">Palethnologie. Archéologie et sciences humaines</w:t>
      </w:r>
      <w:r>
        <w:t xml:space="preserve"> </w:t>
      </w:r>
      <w:r>
        <w:t xml:space="preserve">(2013) doi:</w:t>
      </w:r>
      <w:hyperlink r:id="rId161">
        <w:r>
          <w:rPr>
            <w:rStyle w:val="Hyperlink"/>
          </w:rPr>
          <w:t xml:space="preserve">10.4000/palethnologie.4945</w:t>
        </w:r>
      </w:hyperlink>
      <w:r>
        <w:t xml:space="preserve">.</w:t>
      </w:r>
    </w:p>
    <w:bookmarkEnd w:id="162"/>
    <w:bookmarkStart w:id="163" w:name="ref-white1992rethinking"/>
    <w:p>
      <w:pPr>
        <w:pStyle w:val="Bibliography"/>
      </w:pPr>
      <w:r>
        <w:t xml:space="preserve">58.</w:t>
      </w:r>
      <w:r>
        <w:t xml:space="preserve"> </w:t>
      </w:r>
      <w:r>
        <w:t xml:space="preserve">	</w:t>
      </w:r>
      <w:r>
        <w:t xml:space="preserve">White, R. Rethinking the middle/upper paleolithic transition.</w:t>
      </w:r>
      <w:r>
        <w:t xml:space="preserve"> </w:t>
      </w:r>
      <w:r>
        <w:rPr>
          <w:iCs/>
          <w:i/>
        </w:rPr>
        <w:t xml:space="preserve">Current Anthropology</w:t>
      </w:r>
      <w:r>
        <w:t xml:space="preserve"> </w:t>
      </w:r>
      <w:r>
        <w:rPr>
          <w:bCs/>
          <w:b/>
        </w:rPr>
        <w:t xml:space="preserve">33</w:t>
      </w:r>
      <w:r>
        <w:t xml:space="preserve">, 85–108 (1992).</w:t>
      </w:r>
    </w:p>
    <w:bookmarkEnd w:id="163"/>
    <w:bookmarkStart w:id="164" w:name="X79d7c52b9cdbe72fc1b94e51c6ee6057d0c4a50"/>
    <w:p>
      <w:pPr>
        <w:pStyle w:val="Bibliography"/>
      </w:pPr>
      <w:r>
        <w:t xml:space="preserve">59.</w:t>
      </w:r>
      <w:r>
        <w:t xml:space="preserve"> </w:t>
      </w:r>
      <w:r>
        <w:t xml:space="preserve">	</w:t>
      </w:r>
      <w:r>
        <w:t xml:space="preserve">Soffer, O., Adovasio, J. M., Enloe, J. G., Audouze, F. &amp; Zubrow, E. B. W. The roles of perishable technologies in upper paleolithic lives. in</w:t>
      </w:r>
      <w:r>
        <w:t xml:space="preserve"> </w:t>
      </w:r>
      <w:r>
        <w:rPr>
          <w:iCs/>
          <w:i/>
        </w:rPr>
        <w:t xml:space="preserve">The magdalenian household</w:t>
      </w:r>
      <w:r>
        <w:t xml:space="preserve"> </w:t>
      </w:r>
      <w:r>
        <w:t xml:space="preserve">235–244 (SUNY Press, 2010).</w:t>
      </w:r>
    </w:p>
    <w:bookmarkEnd w:id="164"/>
    <w:bookmarkStart w:id="166" w:name="ref-montet-white1994"/>
    <w:p>
      <w:pPr>
        <w:pStyle w:val="Bibliography"/>
      </w:pPr>
      <w:r>
        <w:t xml:space="preserve">60.</w:t>
      </w:r>
      <w:r>
        <w:t xml:space="preserve"> </w:t>
      </w:r>
      <w:r>
        <w:t xml:space="preserve">	</w:t>
      </w:r>
      <w:r>
        <w:t xml:space="preserve">Montet-White, A.</w:t>
      </w:r>
      <w:r>
        <w:t xml:space="preserve"> </w:t>
      </w:r>
      <w:hyperlink r:id="rId165">
        <w:r>
          <w:rPr>
            <w:rStyle w:val="Hyperlink"/>
          </w:rPr>
          <w:t xml:space="preserve">Alternative interpretations of the late upper paleolithic in central europe</w:t>
        </w:r>
      </w:hyperlink>
      <w:r>
        <w:t xml:space="preserve">.</w:t>
      </w:r>
      <w:r>
        <w:t xml:space="preserve"> </w:t>
      </w:r>
      <w:r>
        <w:rPr>
          <w:iCs/>
          <w:i/>
        </w:rPr>
        <w:t xml:space="preserve">Annual Review of Anthropology</w:t>
      </w:r>
      <w:r>
        <w:t xml:space="preserve"> </w:t>
      </w:r>
      <w:r>
        <w:rPr>
          <w:bCs/>
          <w:b/>
        </w:rPr>
        <w:t xml:space="preserve">23</w:t>
      </w:r>
      <w:r>
        <w:t xml:space="preserve">, 483–508 (1994).</w:t>
      </w:r>
    </w:p>
    <w:bookmarkEnd w:id="166"/>
    <w:bookmarkStart w:id="168" w:name="ref-Frerebeau_2025"/>
    <w:p>
      <w:pPr>
        <w:pStyle w:val="Bibliography"/>
      </w:pPr>
      <w:r>
        <w:t xml:space="preserve">61.</w:t>
      </w:r>
      <w:r>
        <w:t xml:space="preserve"> </w:t>
      </w:r>
      <w:r>
        <w:t xml:space="preserve">	</w:t>
      </w:r>
      <w:r>
        <w:t xml:space="preserve">Frerebeau, N. Tabula: Analysis and visualization of archaeological count data. Zenodo</w:t>
      </w:r>
      <w:r>
        <w:t xml:space="preserve"> </w:t>
      </w:r>
      <w:hyperlink r:id="rId167">
        <w:r>
          <w:rPr>
            <w:rStyle w:val="Hyperlink"/>
          </w:rPr>
          <w:t xml:space="preserve">https://doi.org/10.5281/zenodo.15397990</w:t>
        </w:r>
      </w:hyperlink>
      <w:r>
        <w:t xml:space="preserve"> </w:t>
      </w:r>
      <w:r>
        <w:t xml:space="preserve">(2025).</w:t>
      </w:r>
    </w:p>
    <w:bookmarkEnd w:id="168"/>
    <w:bookmarkStart w:id="170" w:name="ref-Kintigh_1984"/>
    <w:p>
      <w:pPr>
        <w:pStyle w:val="Bibliography"/>
      </w:pPr>
      <w:r>
        <w:t xml:space="preserve">62.</w:t>
      </w:r>
      <w:r>
        <w:t xml:space="preserve"> </w:t>
      </w:r>
      <w:r>
        <w:t xml:space="preserve">	</w:t>
      </w:r>
      <w:r>
        <w:t xml:space="preserve">Kintigh, K. W.</w:t>
      </w:r>
      <w:r>
        <w:t xml:space="preserve"> </w:t>
      </w:r>
      <w:hyperlink r:id="rId169">
        <w:r>
          <w:rPr>
            <w:rStyle w:val="Hyperlink"/>
          </w:rPr>
          <w:t xml:space="preserve">Measuring archaeological diversity by comparison with simulated assemblages</w:t>
        </w:r>
      </w:hyperlink>
      <w:r>
        <w:t xml:space="preserve">.</w:t>
      </w:r>
      <w:r>
        <w:t xml:space="preserve"> </w:t>
      </w:r>
      <w:r>
        <w:rPr>
          <w:iCs/>
          <w:i/>
        </w:rPr>
        <w:t xml:space="preserve">American Antiquity</w:t>
      </w:r>
      <w:r>
        <w:t xml:space="preserve"> </w:t>
      </w:r>
      <w:r>
        <w:rPr>
          <w:bCs/>
          <w:b/>
        </w:rPr>
        <w:t xml:space="preserve">49</w:t>
      </w:r>
      <w:r>
        <w:t xml:space="preserve">, 44–54 (1984).</w:t>
      </w:r>
    </w:p>
    <w:bookmarkEnd w:id="170"/>
    <w:bookmarkStart w:id="172" w:name="X8c17deb08b87fbfa26556dda630532ff62c8bd1"/>
    <w:p>
      <w:pPr>
        <w:pStyle w:val="Bibliography"/>
      </w:pPr>
      <w:r>
        <w:t xml:space="preserve">63.</w:t>
      </w:r>
      <w:r>
        <w:t xml:space="preserve"> </w:t>
      </w:r>
      <w:r>
        <w:t xml:space="preserve">	</w:t>
      </w:r>
      <w:r>
        <w:t xml:space="preserve">Shao, Y., Wegener, C., Klein, K., Schmidt, I. &amp; Weniger, G.-C.</w:t>
      </w:r>
      <w:r>
        <w:t xml:space="preserve"> </w:t>
      </w:r>
      <w:hyperlink r:id="rId171">
        <w:r>
          <w:rPr>
            <w:rStyle w:val="Hyperlink"/>
          </w:rPr>
          <w:t xml:space="preserve">Reconstruction of human dispersal during aurignacian on pan-european scale</w:t>
        </w:r>
      </w:hyperlink>
      <w:r>
        <w:t xml:space="preserve">.</w:t>
      </w:r>
      <w:r>
        <w:t xml:space="preserve"> </w:t>
      </w:r>
      <w:r>
        <w:rPr>
          <w:iCs/>
          <w:i/>
        </w:rPr>
        <w:t xml:space="preserve">Nature Communications</w:t>
      </w:r>
      <w:r>
        <w:t xml:space="preserve"> </w:t>
      </w:r>
      <w:r>
        <w:rPr>
          <w:bCs/>
          <w:b/>
        </w:rPr>
        <w:t xml:space="preserve">15</w:t>
      </w:r>
      <w:r>
        <w:t xml:space="preserve">, 7406 (2024).</w:t>
      </w:r>
    </w:p>
    <w:bookmarkEnd w:id="172"/>
    <w:bookmarkStart w:id="174" w:name="ref-smith1992Design"/>
    <w:p>
      <w:pPr>
        <w:pStyle w:val="Bibliography"/>
      </w:pPr>
      <w:r>
        <w:t xml:space="preserve">64.</w:t>
      </w:r>
      <w:r>
        <w:t xml:space="preserve"> </w:t>
      </w:r>
      <w:r>
        <w:t xml:space="preserve">	</w:t>
      </w:r>
      <w:r>
        <w:t xml:space="preserve">Smith, C.</w:t>
      </w:r>
      <w:r>
        <w:t xml:space="preserve"> </w:t>
      </w:r>
      <w:hyperlink r:id="rId173">
        <w:r>
          <w:rPr>
            <w:rStyle w:val="Hyperlink"/>
          </w:rPr>
          <w:t xml:space="preserve">Designed dreaming: Assessing the relationship between style, social structure and environment in aboriginal australia</w:t>
        </w:r>
      </w:hyperlink>
      <w:r>
        <w:t xml:space="preserve">.</w:t>
      </w:r>
      <w:r>
        <w:t xml:space="preserve"> </w:t>
      </w:r>
      <w:r>
        <w:rPr>
          <w:iCs/>
          <w:i/>
        </w:rPr>
        <w:t xml:space="preserve">Australian Archaeology</w:t>
      </w:r>
      <w:r>
        <w:t xml:space="preserve"> </w:t>
      </w:r>
      <w:r>
        <w:t xml:space="preserve">51–51 (1992).</w:t>
      </w:r>
    </w:p>
    <w:bookmarkEnd w:id="174"/>
    <w:bookmarkStart w:id="175" w:name="ref-hays1993symbol"/>
    <w:p>
      <w:pPr>
        <w:pStyle w:val="Bibliography"/>
      </w:pPr>
      <w:r>
        <w:t xml:space="preserve">65.</w:t>
      </w:r>
      <w:r>
        <w:t xml:space="preserve"> </w:t>
      </w:r>
      <w:r>
        <w:t xml:space="preserve">	</w:t>
      </w:r>
      <w:r>
        <w:t xml:space="preserve">Hays, K. A. When is a symbol archaeologically meaningful? Meaning, function, and prehistoric visual arts.</w:t>
      </w:r>
      <w:r>
        <w:t xml:space="preserve"> </w:t>
      </w:r>
      <w:r>
        <w:rPr>
          <w:iCs/>
          <w:i/>
        </w:rPr>
        <w:t xml:space="preserve">Archaeological theory: who sets the agenda</w:t>
      </w:r>
      <w:r>
        <w:t xml:space="preserve"> </w:t>
      </w:r>
      <w:r>
        <w:t xml:space="preserve">81–92 (1993).</w:t>
      </w:r>
    </w:p>
    <w:bookmarkEnd w:id="175"/>
    <w:bookmarkStart w:id="176" w:name="ref-McDonald_Veth_Lilley_2006"/>
    <w:p>
      <w:pPr>
        <w:pStyle w:val="Bibliography"/>
      </w:pPr>
      <w:r>
        <w:t xml:space="preserve">66.</w:t>
      </w:r>
      <w:r>
        <w:t xml:space="preserve"> </w:t>
      </w:r>
      <w:r>
        <w:t xml:space="preserve">	</w:t>
      </w:r>
      <w:r>
        <w:t xml:space="preserve">McDonald, J., Veth, P. &amp; Lilley, I. Rock art and social identity: A comparison of holocene graphic systems in arid and fertile environments. in</w:t>
      </w:r>
      <w:r>
        <w:t xml:space="preserve"> </w:t>
      </w:r>
      <w:r>
        <w:rPr>
          <w:iCs/>
          <w:i/>
        </w:rPr>
        <w:t xml:space="preserve">Archaeology of oceania: Australia and the pacific islands</w:t>
      </w:r>
      <w:r>
        <w:t xml:space="preserve"> </w:t>
      </w:r>
      <w:r>
        <w:t xml:space="preserve">96–115 (Blackwell Publishing, Malden, Mass, 2006).</w:t>
      </w:r>
    </w:p>
    <w:bookmarkEnd w:id="176"/>
    <w:bookmarkStart w:id="178" w:name="ref-Lourandos_1985"/>
    <w:p>
      <w:pPr>
        <w:pStyle w:val="Bibliography"/>
      </w:pPr>
      <w:r>
        <w:t xml:space="preserve">67.</w:t>
      </w:r>
      <w:r>
        <w:t xml:space="preserve"> </w:t>
      </w:r>
      <w:r>
        <w:t xml:space="preserve">	</w:t>
      </w:r>
      <w:r>
        <w:t xml:space="preserve">Lourandos, H. 15 - intensification and australian prehistory. in</w:t>
      </w:r>
      <w:r>
        <w:t xml:space="preserve"> </w:t>
      </w:r>
      <w:r>
        <w:rPr>
          <w:iCs/>
          <w:i/>
        </w:rPr>
        <w:t xml:space="preserve">Prehistoric hunters-gatherers</w:t>
      </w:r>
      <w:r>
        <w:t xml:space="preserve"> </w:t>
      </w:r>
      <w:r>
        <w:t xml:space="preserve">(eds. Price, T. D. &amp; Brown, J. A.) 385–423 (Academic Press, 1985). doi:</w:t>
      </w:r>
      <w:hyperlink r:id="rId177">
        <w:r>
          <w:rPr>
            <w:rStyle w:val="Hyperlink"/>
          </w:rPr>
          <w:t xml:space="preserve">https://doi.org/10.1016/B978-0-12-564750-2.50020-2</w:t>
        </w:r>
      </w:hyperlink>
      <w:r>
        <w:t xml:space="preserve">.</w:t>
      </w:r>
    </w:p>
    <w:bookmarkEnd w:id="178"/>
    <w:bookmarkStart w:id="180" w:name="ref-barton_clark_cohen1994"/>
    <w:p>
      <w:pPr>
        <w:pStyle w:val="Bibliography"/>
      </w:pPr>
      <w:r>
        <w:t xml:space="preserve">68.</w:t>
      </w:r>
      <w:r>
        <w:t xml:space="preserve"> </w:t>
      </w:r>
      <w:r>
        <w:t xml:space="preserve">	</w:t>
      </w:r>
      <w:r>
        <w:t xml:space="preserve">Barton, C. M., Clark, G. A. &amp; Cohen, A. E.</w:t>
      </w:r>
      <w:r>
        <w:t xml:space="preserve"> </w:t>
      </w:r>
      <w:hyperlink r:id="rId179">
        <w:r>
          <w:rPr>
            <w:rStyle w:val="Hyperlink"/>
          </w:rPr>
          <w:t xml:space="preserve">Art as information: Explaining upper palaeolithic art in western europe</w:t>
        </w:r>
      </w:hyperlink>
      <w:r>
        <w:t xml:space="preserve">.</w:t>
      </w:r>
      <w:r>
        <w:t xml:space="preserve"> </w:t>
      </w:r>
      <w:r>
        <w:rPr>
          <w:iCs/>
          <w:i/>
        </w:rPr>
        <w:t xml:space="preserve">World Archaeology</w:t>
      </w:r>
      <w:r>
        <w:t xml:space="preserve"> </w:t>
      </w:r>
      <w:r>
        <w:rPr>
          <w:bCs/>
          <w:b/>
        </w:rPr>
        <w:t xml:space="preserve">26</w:t>
      </w:r>
      <w:r>
        <w:t xml:space="preserve">, 185–207 (1994).</w:t>
      </w:r>
    </w:p>
    <w:bookmarkEnd w:id="180"/>
    <w:bookmarkStart w:id="181" w:name="ref-mcdonald2012social"/>
    <w:p>
      <w:pPr>
        <w:pStyle w:val="Bibliography"/>
      </w:pPr>
      <w:r>
        <w:t xml:space="preserve">69.</w:t>
      </w:r>
      <w:r>
        <w:t xml:space="preserve"> </w:t>
      </w:r>
      <w:r>
        <w:t xml:space="preserve">	</w:t>
      </w:r>
      <w:r>
        <w:t xml:space="preserve">McDonald, J. &amp; Veth, P. The social dynamics of aggregation and dispersal in the western desert.</w:t>
      </w:r>
      <w:r>
        <w:t xml:space="preserve"> </w:t>
      </w:r>
      <w:r>
        <w:rPr>
          <w:iCs/>
          <w:i/>
        </w:rPr>
        <w:t xml:space="preserve">A companion to rock art</w:t>
      </w:r>
      <w:r>
        <w:t xml:space="preserve"> </w:t>
      </w:r>
      <w:r>
        <w:t xml:space="preserve">90–102 (2012).</w:t>
      </w:r>
    </w:p>
    <w:bookmarkEnd w:id="181"/>
    <w:bookmarkStart w:id="182" w:name="ref-bernardini2005reconsidering"/>
    <w:p>
      <w:pPr>
        <w:pStyle w:val="Bibliography"/>
      </w:pPr>
      <w:r>
        <w:t xml:space="preserve">70.</w:t>
      </w:r>
      <w:r>
        <w:t xml:space="preserve"> </w:t>
      </w:r>
      <w:r>
        <w:t xml:space="preserve">	</w:t>
      </w:r>
      <w:r>
        <w:t xml:space="preserve">Bernardini, W. Reconsidering spatial and temporal aspects of prehistoric cultural identity: A case study from the american southwest.</w:t>
      </w:r>
      <w:r>
        <w:t xml:space="preserve"> </w:t>
      </w:r>
      <w:r>
        <w:rPr>
          <w:iCs/>
          <w:i/>
        </w:rPr>
        <w:t xml:space="preserve">American Antiquity</w:t>
      </w:r>
      <w:r>
        <w:t xml:space="preserve"> </w:t>
      </w:r>
      <w:r>
        <w:rPr>
          <w:bCs/>
          <w:b/>
        </w:rPr>
        <w:t xml:space="preserve">70</w:t>
      </w:r>
      <w:r>
        <w:t xml:space="preserve">, 31–54 (2005).</w:t>
      </w:r>
    </w:p>
    <w:bookmarkEnd w:id="182"/>
    <w:bookmarkStart w:id="183" w:name="ref-wiessner1984reconsidering"/>
    <w:p>
      <w:pPr>
        <w:pStyle w:val="Bibliography"/>
      </w:pPr>
      <w:r>
        <w:t xml:space="preserve">71.</w:t>
      </w:r>
      <w:r>
        <w:t xml:space="preserve"> </w:t>
      </w:r>
      <w:r>
        <w:t xml:space="preserve">	</w:t>
      </w:r>
      <w:r>
        <w:t xml:space="preserve">Wiessner, P. Reconsidering the behavioral basis for style: A case study among the kalahari san.</w:t>
      </w:r>
      <w:r>
        <w:t xml:space="preserve"> </w:t>
      </w:r>
      <w:r>
        <w:rPr>
          <w:iCs/>
          <w:i/>
        </w:rPr>
        <w:t xml:space="preserve">Journal of anthropological archaeology</w:t>
      </w:r>
      <w:r>
        <w:t xml:space="preserve"> </w:t>
      </w:r>
      <w:r>
        <w:rPr>
          <w:bCs/>
          <w:b/>
        </w:rPr>
        <w:t xml:space="preserve">3</w:t>
      </w:r>
      <w:r>
        <w:t xml:space="preserve">, 190–234 (1984).</w:t>
      </w:r>
    </w:p>
    <w:bookmarkEnd w:id="183"/>
    <w:bookmarkStart w:id="185" w:name="ref-smith1992"/>
    <w:p>
      <w:pPr>
        <w:pStyle w:val="Bibliography"/>
      </w:pPr>
      <w:r>
        <w:t xml:space="preserve">72.</w:t>
      </w:r>
      <w:r>
        <w:t xml:space="preserve"> </w:t>
      </w:r>
      <w:r>
        <w:t xml:space="preserve">	</w:t>
      </w:r>
      <w:r>
        <w:t xml:space="preserve">Smith, C.</w:t>
      </w:r>
      <w:r>
        <w:t xml:space="preserve"> </w:t>
      </w:r>
      <w:hyperlink r:id="rId184">
        <w:r>
          <w:rPr>
            <w:rStyle w:val="Hyperlink"/>
          </w:rPr>
          <w:t xml:space="preserve">Colonising with style: Reviewing the nexus between rock art, territorially and the colonisation and occupation of sahul</w:t>
        </w:r>
      </w:hyperlink>
      <w:r>
        <w:t xml:space="preserve">.</w:t>
      </w:r>
      <w:r>
        <w:t xml:space="preserve"> </w:t>
      </w:r>
      <w:r>
        <w:rPr>
          <w:iCs/>
          <w:i/>
        </w:rPr>
        <w:t xml:space="preserve">Australian Archaeology</w:t>
      </w:r>
      <w:r>
        <w:t xml:space="preserve"> </w:t>
      </w:r>
      <w:r>
        <w:t xml:space="preserve">34–42 (1992).</w:t>
      </w:r>
    </w:p>
    <w:bookmarkEnd w:id="185"/>
    <w:bookmarkStart w:id="187" w:name="X4fed35d53d406ce17aea32f9d6f163fcb563519"/>
    <w:p>
      <w:pPr>
        <w:pStyle w:val="Bibliography"/>
      </w:pPr>
      <w:r>
        <w:t xml:space="preserve">73.</w:t>
      </w:r>
      <w:r>
        <w:t xml:space="preserve"> </w:t>
      </w:r>
      <w:r>
        <w:t xml:space="preserve">	</w:t>
      </w:r>
      <w:r>
        <w:t xml:space="preserve">Kovacevic, M., Shennan, S., Vanhaeren, M., d’Errico, F. &amp; Thomas, M. G. Simulating geographical variation in material culture: Were early modern humans in europe ethnically structured? in</w:t>
      </w:r>
      <w:r>
        <w:t xml:space="preserve"> </w:t>
      </w:r>
      <w:r>
        <w:rPr>
          <w:iCs/>
          <w:i/>
        </w:rPr>
        <w:t xml:space="preserve">Learning strategies and cultural evolution during the palaeolithic</w:t>
      </w:r>
      <w:r>
        <w:t xml:space="preserve"> </w:t>
      </w:r>
      <w:r>
        <w:t xml:space="preserve">(eds. Mesoudi, A. &amp; Aoki, K.) 103–120 (Springer Japan, 2015). doi:</w:t>
      </w:r>
      <w:hyperlink r:id="rId186">
        <w:r>
          <w:rPr>
            <w:rStyle w:val="Hyperlink"/>
          </w:rPr>
          <w:t xml:space="preserve">10.1007/978-4-431-55363-2_8</w:t>
        </w:r>
      </w:hyperlink>
      <w:r>
        <w:t xml:space="preserve">.</w:t>
      </w:r>
    </w:p>
    <w:bookmarkEnd w:id="187"/>
    <w:bookmarkStart w:id="189" w:name="ref-Horiuchi_Takakura_2019"/>
    <w:p>
      <w:pPr>
        <w:pStyle w:val="Bibliography"/>
      </w:pPr>
      <w:r>
        <w:t xml:space="preserve">74.</w:t>
      </w:r>
      <w:r>
        <w:t xml:space="preserve"> </w:t>
      </w:r>
      <w:r>
        <w:t xml:space="preserve">	</w:t>
      </w:r>
      <w:r>
        <w:t xml:space="preserve">Horiuchi, S. &amp; Takakura, J. Modeling learning strategies and the expansion of the social network in the beginning of upper palaeolithic europe: Analysis by agent-based simulation. in</w:t>
      </w:r>
      <w:r>
        <w:t xml:space="preserve"> </w:t>
      </w:r>
      <w:r>
        <w:rPr>
          <w:iCs/>
          <w:i/>
        </w:rPr>
        <w:t xml:space="preserve">Learning among neanderthals and palaeolithic modern humans: Archaeological evidence</w:t>
      </w:r>
      <w:r>
        <w:t xml:space="preserve"> </w:t>
      </w:r>
      <w:r>
        <w:t xml:space="preserve">(eds. Nishiaki, Y. &amp; Jöris, O.) 179–191 (Springer Nature Singapore, 2019). doi:</w:t>
      </w:r>
      <w:hyperlink r:id="rId188">
        <w:r>
          <w:rPr>
            <w:rStyle w:val="Hyperlink"/>
          </w:rPr>
          <w:t xml:space="preserve">10.1007/978-981-13-8980-1_12</w:t>
        </w:r>
      </w:hyperlink>
      <w:r>
        <w:t xml:space="preserve">.</w:t>
      </w:r>
    </w:p>
    <w:bookmarkEnd w:id="189"/>
    <w:bookmarkStart w:id="190" w:name="ref-Rogers_2013"/>
    <w:p>
      <w:pPr>
        <w:pStyle w:val="Bibliography"/>
      </w:pPr>
      <w:r>
        <w:t xml:space="preserve">75.</w:t>
      </w:r>
      <w:r>
        <w:t xml:space="preserve"> </w:t>
      </w:r>
      <w:r>
        <w:t xml:space="preserve">	</w:t>
      </w:r>
      <w:r>
        <w:t xml:space="preserve">Rogers, L. Human-material interaction in the aurignacian of europe, 35,000-27,000 BP: An analysis of marine shell ornament distribution. (University of Victoria, 2013).</w:t>
      </w:r>
    </w:p>
    <w:bookmarkEnd w:id="190"/>
    <w:bookmarkStart w:id="192" w:name="X94f875be1b7e5d23641daff5d53857bec24e739"/>
    <w:p>
      <w:pPr>
        <w:pStyle w:val="Bibliography"/>
      </w:pPr>
      <w:r>
        <w:t xml:space="preserve">76.</w:t>
      </w:r>
      <w:r>
        <w:t xml:space="preserve"> </w:t>
      </w:r>
      <w:r>
        <w:t xml:space="preserve">	</w:t>
      </w:r>
      <w:r>
        <w:t xml:space="preserve">Golovanova, L. V., Doronichev, V. B., Doronicheva, E. V., Sapega, V. F. &amp; Shackley, M. S.</w:t>
      </w:r>
      <w:r>
        <w:t xml:space="preserve"> </w:t>
      </w:r>
      <w:hyperlink r:id="rId191">
        <w:r>
          <w:rPr>
            <w:rStyle w:val="Hyperlink"/>
          </w:rPr>
          <w:t xml:space="preserve">Long-distance contacts and social networks of the upper palaeolithic humans in the north-western caucasus (on data from mezmaiskaya cave, russia)</w:t>
        </w:r>
      </w:hyperlink>
      <w:r>
        <w:t xml:space="preserve">.</w:t>
      </w:r>
      <w:r>
        <w:t xml:space="preserve"> </w:t>
      </w:r>
      <w:r>
        <w:rPr>
          <w:iCs/>
          <w:i/>
        </w:rPr>
        <w:t xml:space="preserve">Journal of Archaeological Science: Reports</w:t>
      </w:r>
      <w:r>
        <w:t xml:space="preserve"> </w:t>
      </w:r>
      <w:r>
        <w:rPr>
          <w:bCs/>
          <w:b/>
        </w:rPr>
        <w:t xml:space="preserve">39</w:t>
      </w:r>
      <w:r>
        <w:t xml:space="preserve">, 103118 (2021).</w:t>
      </w:r>
    </w:p>
    <w:bookmarkEnd w:id="192"/>
    <w:bookmarkStart w:id="194" w:name="ref-Gamble_1982"/>
    <w:p>
      <w:pPr>
        <w:pStyle w:val="Bibliography"/>
      </w:pPr>
      <w:r>
        <w:t xml:space="preserve">77.</w:t>
      </w:r>
      <w:r>
        <w:t xml:space="preserve"> </w:t>
      </w:r>
      <w:r>
        <w:t xml:space="preserve">	</w:t>
      </w:r>
      <w:r>
        <w:t xml:space="preserve">Gamble, C.</w:t>
      </w:r>
      <w:r>
        <w:t xml:space="preserve"> </w:t>
      </w:r>
      <w:hyperlink r:id="rId193">
        <w:r>
          <w:rPr>
            <w:rStyle w:val="Hyperlink"/>
          </w:rPr>
          <w:t xml:space="preserve">Interaction and alliance in palaeolithic society</w:t>
        </w:r>
      </w:hyperlink>
      <w:r>
        <w:t xml:space="preserve">.</w:t>
      </w:r>
      <w:r>
        <w:t xml:space="preserve"> </w:t>
      </w:r>
      <w:r>
        <w:rPr>
          <w:iCs/>
          <w:i/>
        </w:rPr>
        <w:t xml:space="preserve">Man</w:t>
      </w:r>
      <w:r>
        <w:t xml:space="preserve"> </w:t>
      </w:r>
      <w:r>
        <w:rPr>
          <w:bCs/>
          <w:b/>
        </w:rPr>
        <w:t xml:space="preserve">17</w:t>
      </w:r>
      <w:r>
        <w:t xml:space="preserve">, 92–107 (1982).</w:t>
      </w:r>
    </w:p>
    <w:bookmarkEnd w:id="194"/>
    <w:bookmarkStart w:id="196" w:name="Xba346573845225b1b1d5ef358e2fea0d893a789"/>
    <w:p>
      <w:pPr>
        <w:pStyle w:val="Bibliography"/>
      </w:pPr>
      <w:r>
        <w:t xml:space="preserve">78.</w:t>
      </w:r>
      <w:r>
        <w:t xml:space="preserve"> </w:t>
      </w:r>
      <w:r>
        <w:t xml:space="preserve">	</w:t>
      </w:r>
      <w:r>
        <w:t xml:space="preserve">Greenbaum, G., Friesem, D. E., Hovers, E., Feldman, M. W. &amp; Kolodny, O.</w:t>
      </w:r>
      <w:r>
        <w:t xml:space="preserve"> </w:t>
      </w:r>
      <w:hyperlink r:id="rId195">
        <w:r>
          <w:rPr>
            <w:rStyle w:val="Hyperlink"/>
          </w:rPr>
          <w:t xml:space="preserve">Was inter-population connectivity of neanderthals and modern humans the driver of the upper paleolithic transition rather than its product?</w:t>
        </w:r>
      </w:hyperlink>
      <w:r>
        <w:t xml:space="preserve"> </w:t>
      </w:r>
      <w:r>
        <w:rPr>
          <w:iCs/>
          <w:i/>
        </w:rPr>
        <w:t xml:space="preserve">Quaternary Science Reviews</w:t>
      </w:r>
      <w:r>
        <w:t xml:space="preserve"> </w:t>
      </w:r>
      <w:r>
        <w:rPr>
          <w:bCs/>
          <w:b/>
        </w:rPr>
        <w:t xml:space="preserve">217</w:t>
      </w:r>
      <w:r>
        <w:t xml:space="preserve">, 316–329 (2019).</w:t>
      </w:r>
    </w:p>
    <w:bookmarkEnd w:id="196"/>
    <w:bookmarkStart w:id="198" w:name="ref-Creanza_Kolodny_Feldman_2017"/>
    <w:p>
      <w:pPr>
        <w:pStyle w:val="Bibliography"/>
      </w:pPr>
      <w:r>
        <w:t xml:space="preserve">79.</w:t>
      </w:r>
      <w:r>
        <w:t xml:space="preserve"> </w:t>
      </w:r>
      <w:r>
        <w:t xml:space="preserve">	</w:t>
      </w:r>
      <w:r>
        <w:t xml:space="preserve">Creanza, N., Kolodny, O. &amp; Feldman, M. W.</w:t>
      </w:r>
      <w:r>
        <w:t xml:space="preserve"> </w:t>
      </w:r>
      <w:hyperlink r:id="rId197">
        <w:r>
          <w:rPr>
            <w:rStyle w:val="Hyperlink"/>
          </w:rPr>
          <w:t xml:space="preserve">Greater than the sum of its parts? Modelling population contact and interaction of cultural repertoires</w:t>
        </w:r>
      </w:hyperlink>
      <w:r>
        <w:t xml:space="preserve">.</w:t>
      </w:r>
      <w:r>
        <w:t xml:space="preserve"> </w:t>
      </w:r>
      <w:r>
        <w:rPr>
          <w:iCs/>
          <w:i/>
        </w:rPr>
        <w:t xml:space="preserve">Journal of The Royal Society Interface</w:t>
      </w:r>
      <w:r>
        <w:t xml:space="preserve"> </w:t>
      </w:r>
      <w:r>
        <w:rPr>
          <w:bCs/>
          <w:b/>
        </w:rPr>
        <w:t xml:space="preserve">14</w:t>
      </w:r>
      <w:r>
        <w:t xml:space="preserve">, 20170171 (2017).</w:t>
      </w:r>
    </w:p>
    <w:bookmarkEnd w:id="198"/>
    <w:bookmarkStart w:id="200" w:name="ref-Cullen_1996"/>
    <w:p>
      <w:pPr>
        <w:pStyle w:val="Bibliography"/>
      </w:pPr>
      <w:r>
        <w:t xml:space="preserve">80.</w:t>
      </w:r>
      <w:r>
        <w:t xml:space="preserve"> </w:t>
      </w:r>
      <w:r>
        <w:t xml:space="preserve">	</w:t>
      </w:r>
      <w:r>
        <w:t xml:space="preserve">Cullen, B. R. S. Cultural virus theory and the eusocial pottery assemblage. in</w:t>
      </w:r>
      <w:r>
        <w:t xml:space="preserve"> </w:t>
      </w:r>
      <w:r>
        <w:rPr>
          <w:iCs/>
          <w:i/>
        </w:rPr>
        <w:t xml:space="preserve">Darwinian archaeologies</w:t>
      </w:r>
      <w:r>
        <w:t xml:space="preserve"> </w:t>
      </w:r>
      <w:r>
        <w:t xml:space="preserve">(ed. Maschner, H. D. G.) 43–59 (Springer US, Boston, MA, 1996). doi:</w:t>
      </w:r>
      <w:hyperlink r:id="rId199">
        <w:r>
          <w:rPr>
            <w:rStyle w:val="Hyperlink"/>
          </w:rPr>
          <w:t xml:space="preserve">10.1007/978-1-4757-9945-3_4</w:t>
        </w:r>
      </w:hyperlink>
      <w:r>
        <w:t xml:space="preserve">.</w:t>
      </w:r>
    </w:p>
    <w:bookmarkEnd w:id="200"/>
    <w:bookmarkStart w:id="202" w:name="ref-Hill_Wood_Baggio_Hurtado_Boyd_2014"/>
    <w:p>
      <w:pPr>
        <w:pStyle w:val="Bibliography"/>
      </w:pPr>
      <w:r>
        <w:t xml:space="preserve">81.</w:t>
      </w:r>
      <w:r>
        <w:t xml:space="preserve"> </w:t>
      </w:r>
      <w:r>
        <w:t xml:space="preserve">	</w:t>
      </w:r>
      <w:r>
        <w:t xml:space="preserve">Hill, K. R., Wood, B. M., Baggio, J., Hurtado, A. M. &amp; Boyd, R. T.</w:t>
      </w:r>
      <w:r>
        <w:t xml:space="preserve"> </w:t>
      </w:r>
      <w:hyperlink r:id="rId201">
        <w:r>
          <w:rPr>
            <w:rStyle w:val="Hyperlink"/>
          </w:rPr>
          <w:t xml:space="preserve">Hunter-gatherer inter-band interaction rates: Implications for cumulative culture</w:t>
        </w:r>
      </w:hyperlink>
      <w:r>
        <w:t xml:space="preserve">.</w:t>
      </w:r>
      <w:r>
        <w:t xml:space="preserve"> </w:t>
      </w:r>
      <w:r>
        <w:rPr>
          <w:iCs/>
          <w:i/>
        </w:rPr>
        <w:t xml:space="preserve">PLOS ONE</w:t>
      </w:r>
      <w:r>
        <w:t xml:space="preserve"> </w:t>
      </w:r>
      <w:r>
        <w:rPr>
          <w:bCs/>
          <w:b/>
        </w:rPr>
        <w:t xml:space="preserve">9</w:t>
      </w:r>
      <w:r>
        <w:t xml:space="preserve">, 1–9 (2014).</w:t>
      </w:r>
    </w:p>
    <w:bookmarkEnd w:id="202"/>
    <w:bookmarkStart w:id="204" w:name="ref-Derex_Boyd_2016"/>
    <w:p>
      <w:pPr>
        <w:pStyle w:val="Bibliography"/>
      </w:pPr>
      <w:r>
        <w:t xml:space="preserve">82.</w:t>
      </w:r>
      <w:r>
        <w:t xml:space="preserve"> </w:t>
      </w:r>
      <w:r>
        <w:t xml:space="preserve">	</w:t>
      </w:r>
      <w:r>
        <w:t xml:space="preserve">Derex, M. &amp; Boyd, R.</w:t>
      </w:r>
      <w:r>
        <w:t xml:space="preserve"> </w:t>
      </w:r>
      <w:hyperlink r:id="rId203">
        <w:r>
          <w:rPr>
            <w:rStyle w:val="Hyperlink"/>
          </w:rPr>
          <w:t xml:space="preserve">Partial connectivity increases cultural accumulation within groups</w:t>
        </w:r>
      </w:hyperlink>
      <w:r>
        <w:t xml:space="preserve">.</w:t>
      </w:r>
      <w:r>
        <w:t xml:space="preserve"> </w:t>
      </w:r>
      <w:r>
        <w:rPr>
          <w:iCs/>
          <w:i/>
        </w:rPr>
        <w:t xml:space="preserve">Proceedings of the National Academy of Sciences</w:t>
      </w:r>
      <w:r>
        <w:t xml:space="preserve"> </w:t>
      </w:r>
      <w:r>
        <w:rPr>
          <w:bCs/>
          <w:b/>
        </w:rPr>
        <w:t xml:space="preserve">113</w:t>
      </w:r>
      <w:r>
        <w:t xml:space="preserve">, 2982–2987 (2016).</w:t>
      </w:r>
    </w:p>
    <w:bookmarkEnd w:id="204"/>
    <w:bookmarkStart w:id="206" w:name="ref-Foley_Gamble_2009"/>
    <w:p>
      <w:pPr>
        <w:pStyle w:val="Bibliography"/>
      </w:pPr>
      <w:r>
        <w:t xml:space="preserve">83.</w:t>
      </w:r>
      <w:r>
        <w:t xml:space="preserve"> </w:t>
      </w:r>
      <w:r>
        <w:t xml:space="preserve">	</w:t>
      </w:r>
      <w:r>
        <w:t xml:space="preserve">Foley, R. &amp; Gamble, C.</w:t>
      </w:r>
      <w:r>
        <w:t xml:space="preserve"> </w:t>
      </w:r>
      <w:hyperlink r:id="rId205">
        <w:r>
          <w:rPr>
            <w:rStyle w:val="Hyperlink"/>
          </w:rPr>
          <w:t xml:space="preserve">The ecology of social transitions in human evolution</w:t>
        </w:r>
      </w:hyperlink>
      <w:r>
        <w:t xml:space="preserve">.</w:t>
      </w:r>
      <w:r>
        <w:t xml:space="preserve"> </w:t>
      </w:r>
      <w:r>
        <w:rPr>
          <w:iCs/>
          <w:i/>
        </w:rPr>
        <w:t xml:space="preserve">Philosophical Transactions of the Royal Society B: Biological Sciences</w:t>
      </w:r>
      <w:r>
        <w:t xml:space="preserve"> </w:t>
      </w:r>
      <w:r>
        <w:rPr>
          <w:bCs/>
          <w:b/>
        </w:rPr>
        <w:t xml:space="preserve">364</w:t>
      </w:r>
      <w:r>
        <w:t xml:space="preserve">, 3267–3279 (2009).</w:t>
      </w:r>
    </w:p>
    <w:bookmarkEnd w:id="206"/>
    <w:bookmarkStart w:id="208" w:name="ref-Gravel-Miguel_Coward_2023"/>
    <w:p>
      <w:pPr>
        <w:pStyle w:val="Bibliography"/>
      </w:pPr>
      <w:r>
        <w:t xml:space="preserve">84.</w:t>
      </w:r>
      <w:r>
        <w:t xml:space="preserve"> </w:t>
      </w:r>
      <w:r>
        <w:t xml:space="preserve">	</w:t>
      </w:r>
      <w:r>
        <w:t xml:space="preserve">Gravel-Miguel, C. &amp; Coward, F. Paleolithic social networks and behavioral modernity. in</w:t>
      </w:r>
      <w:r>
        <w:t xml:space="preserve"> </w:t>
      </w:r>
      <w:r>
        <w:rPr>
          <w:iCs/>
          <w:i/>
        </w:rPr>
        <w:t xml:space="preserve">The oxford handbook of archaeological network research</w:t>
      </w:r>
      <w:r>
        <w:t xml:space="preserve"> </w:t>
      </w:r>
      <w:r>
        <w:t xml:space="preserve">(Oxford University Press, 2023). doi:</w:t>
      </w:r>
      <w:hyperlink r:id="rId207">
        <w:r>
          <w:rPr>
            <w:rStyle w:val="Hyperlink"/>
          </w:rPr>
          <w:t xml:space="preserve">10.1093/oxfordhb/9780198854265.013.31</w:t>
        </w:r>
      </w:hyperlink>
      <w:r>
        <w:t xml:space="preserve">.</w:t>
      </w:r>
    </w:p>
    <w:bookmarkEnd w:id="208"/>
    <w:bookmarkStart w:id="209" w:name="ref-Von_Petzinger_2009"/>
    <w:p>
      <w:pPr>
        <w:pStyle w:val="Bibliography"/>
      </w:pPr>
      <w:r>
        <w:t xml:space="preserve">85.</w:t>
      </w:r>
      <w:r>
        <w:t xml:space="preserve"> </w:t>
      </w:r>
      <w:r>
        <w:t xml:space="preserve">	</w:t>
      </w:r>
      <w:r>
        <w:t xml:space="preserve">Von Petzinger, G. Making the abstract concrete: The place of geometric signs in french upper paleolithic parietal art. (University of Victoria, 2009).</w:t>
      </w:r>
    </w:p>
    <w:bookmarkEnd w:id="209"/>
    <w:bookmarkStart w:id="211" w:name="ref-Hahsler_Hornik_Buchta"/>
    <w:p>
      <w:pPr>
        <w:pStyle w:val="Bibliography"/>
      </w:pPr>
      <w:r>
        <w:t xml:space="preserve">86.</w:t>
      </w:r>
      <w:r>
        <w:t xml:space="preserve"> </w:t>
      </w:r>
      <w:r>
        <w:t xml:space="preserve">	</w:t>
      </w:r>
      <w:r>
        <w:t xml:space="preserve">Hahsler, M., Hornik, K. &amp; Buchta, C.</w:t>
      </w:r>
      <w:r>
        <w:t xml:space="preserve"> </w:t>
      </w:r>
      <w:hyperlink r:id="rId210">
        <w:r>
          <w:rPr>
            <w:rStyle w:val="Hyperlink"/>
          </w:rPr>
          <w:t xml:space="preserve">Getting things in order: An introduction to the r package seriation</w:t>
        </w:r>
      </w:hyperlink>
      <w:r>
        <w:t xml:space="preserve">.</w:t>
      </w:r>
      <w:r>
        <w:t xml:space="preserve"> </w:t>
      </w:r>
      <w:r>
        <w:rPr>
          <w:iCs/>
          <w:i/>
        </w:rPr>
        <w:t xml:space="preserve">Journal of Statistical Software</w:t>
      </w:r>
      <w:r>
        <w:t xml:space="preserve"> </w:t>
      </w:r>
      <w:r>
        <w:rPr>
          <w:bCs/>
          <w:b/>
        </w:rPr>
        <w:t xml:space="preserve">25</w:t>
      </w:r>
      <w:r>
        <w:t xml:space="preserve">, 1–34 (2008).</w:t>
      </w:r>
    </w:p>
    <w:bookmarkEnd w:id="211"/>
    <w:bookmarkStart w:id="213" w:name="ref-Brower_Kile_1988"/>
    <w:p>
      <w:pPr>
        <w:pStyle w:val="Bibliography"/>
      </w:pPr>
      <w:r>
        <w:t xml:space="preserve">87.</w:t>
      </w:r>
      <w:r>
        <w:t xml:space="preserve"> </w:t>
      </w:r>
      <w:r>
        <w:t xml:space="preserve">	</w:t>
      </w:r>
      <w:r>
        <w:t xml:space="preserve">Brower, J. C. &amp; Kile, K. M.</w:t>
      </w:r>
      <w:r>
        <w:t xml:space="preserve"> </w:t>
      </w:r>
      <w:hyperlink r:id="rId212">
        <w:r>
          <w:rPr>
            <w:rStyle w:val="Hyperlink"/>
          </w:rPr>
          <w:t xml:space="preserve">Seriation of an original data matrix as applied to paleoecology</w:t>
        </w:r>
      </w:hyperlink>
      <w:r>
        <w:t xml:space="preserve">.</w:t>
      </w:r>
      <w:r>
        <w:t xml:space="preserve"> </w:t>
      </w:r>
      <w:r>
        <w:rPr>
          <w:iCs/>
          <w:i/>
        </w:rPr>
        <w:t xml:space="preserve">Lethaia</w:t>
      </w:r>
      <w:r>
        <w:t xml:space="preserve"> </w:t>
      </w:r>
      <w:r>
        <w:rPr>
          <w:bCs/>
          <w:b/>
        </w:rPr>
        <w:t xml:space="preserve">21</w:t>
      </w:r>
      <w:r>
        <w:t xml:space="preserve">, 79–93 (1988).</w:t>
      </w:r>
    </w:p>
    <w:bookmarkEnd w:id="213"/>
    <w:bookmarkStart w:id="214" w:name="ref-seriation_pckge"/>
    <w:p>
      <w:pPr>
        <w:pStyle w:val="Bibliography"/>
      </w:pPr>
      <w:r>
        <w:t xml:space="preserve">88.</w:t>
      </w:r>
      <w:r>
        <w:t xml:space="preserve"> </w:t>
      </w:r>
      <w:r>
        <w:t xml:space="preserve">	</w:t>
      </w:r>
      <w:r>
        <w:t xml:space="preserve">Hahsler, M., Hornik, K. &amp; Buchta, C.</w:t>
      </w:r>
      <w:r>
        <w:t xml:space="preserve"> </w:t>
      </w:r>
      <w:hyperlink r:id="rId210">
        <w:r>
          <w:rPr>
            <w:rStyle w:val="Hyperlink"/>
          </w:rPr>
          <w:t xml:space="preserve">Getting things in order: An introduction to the r package seriation</w:t>
        </w:r>
      </w:hyperlink>
      <w:r>
        <w:t xml:space="preserve">.</w:t>
      </w:r>
      <w:r>
        <w:t xml:space="preserve"> </w:t>
      </w:r>
      <w:r>
        <w:rPr>
          <w:iCs/>
          <w:i/>
        </w:rPr>
        <w:t xml:space="preserve">Journal of Statistical Software</w:t>
      </w:r>
      <w:r>
        <w:t xml:space="preserve"> </w:t>
      </w:r>
      <w:r>
        <w:rPr>
          <w:bCs/>
          <w:b/>
        </w:rPr>
        <w:t xml:space="preserve">25</w:t>
      </w:r>
      <w:r>
        <w:t xml:space="preserve">, 1–34 (2008).</w:t>
      </w:r>
    </w:p>
    <w:bookmarkEnd w:id="214"/>
    <w:bookmarkStart w:id="216" w:name="ref-Mills_2017"/>
    <w:p>
      <w:pPr>
        <w:pStyle w:val="Bibliography"/>
      </w:pPr>
      <w:r>
        <w:t xml:space="preserve">89.</w:t>
      </w:r>
      <w:r>
        <w:t xml:space="preserve"> </w:t>
      </w:r>
      <w:r>
        <w:t xml:space="preserve">	</w:t>
      </w:r>
      <w:r>
        <w:t xml:space="preserve">Mills, B. J.</w:t>
      </w:r>
      <w:r>
        <w:t xml:space="preserve"> </w:t>
      </w:r>
      <w:hyperlink r:id="rId215">
        <w:r>
          <w:rPr>
            <w:rStyle w:val="Hyperlink"/>
          </w:rPr>
          <w:t xml:space="preserve">Social network analysis in archaeology</w:t>
        </w:r>
      </w:hyperlink>
      <w:r>
        <w:t xml:space="preserve">.</w:t>
      </w:r>
      <w:r>
        <w:t xml:space="preserve"> </w:t>
      </w:r>
      <w:r>
        <w:rPr>
          <w:iCs/>
          <w:i/>
        </w:rPr>
        <w:t xml:space="preserve">Annual Review of Anthropology</w:t>
      </w:r>
      <w:r>
        <w:t xml:space="preserve"> </w:t>
      </w:r>
      <w:r>
        <w:rPr>
          <w:bCs/>
          <w:b/>
        </w:rPr>
        <w:t xml:space="preserve">46</w:t>
      </w:r>
      <w:r>
        <w:t xml:space="preserve">, 379–397 (2017).</w:t>
      </w:r>
    </w:p>
    <w:bookmarkEnd w:id="216"/>
    <w:bookmarkStart w:id="218" w:name="ref-Fruchterman_Reingold_1991"/>
    <w:p>
      <w:pPr>
        <w:pStyle w:val="Bibliography"/>
      </w:pPr>
      <w:r>
        <w:t xml:space="preserve">90.</w:t>
      </w:r>
      <w:r>
        <w:t xml:space="preserve"> </w:t>
      </w:r>
      <w:r>
        <w:t xml:space="preserve">	</w:t>
      </w:r>
      <w:r>
        <w:t xml:space="preserve">Fruchterman, T. M. J. &amp; Reingold, E. M.</w:t>
      </w:r>
      <w:r>
        <w:t xml:space="preserve"> </w:t>
      </w:r>
      <w:hyperlink r:id="rId217">
        <w:r>
          <w:rPr>
            <w:rStyle w:val="Hyperlink"/>
          </w:rPr>
          <w:t xml:space="preserve">Graph drawing by force-directed placement</w:t>
        </w:r>
      </w:hyperlink>
      <w:r>
        <w:t xml:space="preserve">.</w:t>
      </w:r>
      <w:r>
        <w:t xml:space="preserve"> </w:t>
      </w:r>
      <w:r>
        <w:rPr>
          <w:iCs/>
          <w:i/>
        </w:rPr>
        <w:t xml:space="preserve">Software: Practice and Experience</w:t>
      </w:r>
      <w:r>
        <w:t xml:space="preserve"> </w:t>
      </w:r>
      <w:r>
        <w:rPr>
          <w:bCs/>
          <w:b/>
        </w:rPr>
        <w:t xml:space="preserve">21</w:t>
      </w:r>
      <w:r>
        <w:t xml:space="preserve">, 1129–1164 (1991).</w:t>
      </w:r>
    </w:p>
    <w:bookmarkEnd w:id="218"/>
    <w:bookmarkStart w:id="220" w:name="ref-Vegan2001"/>
    <w:p>
      <w:pPr>
        <w:pStyle w:val="Bibliography"/>
      </w:pPr>
      <w:r>
        <w:t xml:space="preserve">91.</w:t>
      </w:r>
      <w:r>
        <w:t xml:space="preserve"> </w:t>
      </w:r>
      <w:r>
        <w:t xml:space="preserve">	</w:t>
      </w:r>
      <w:r>
        <w:t xml:space="preserve">Oksanen, J.</w:t>
      </w:r>
      <w:r>
        <w:t xml:space="preserve"> </w:t>
      </w:r>
      <w:r>
        <w:rPr>
          <w:iCs/>
          <w:i/>
        </w:rPr>
        <w:t xml:space="preserve">et al.</w:t>
      </w:r>
      <w:r>
        <w:t xml:space="preserve"> Vegan: Community ecology package. 25–31 (2001) doi:</w:t>
      </w:r>
      <w:hyperlink r:id="rId219">
        <w:r>
          <w:rPr>
            <w:rStyle w:val="Hyperlink"/>
          </w:rPr>
          <w:t xml:space="preserve">10.32614/CRAN.package.vegan</w:t>
        </w:r>
      </w:hyperlink>
      <w:r>
        <w:t xml:space="preserve">.</w:t>
      </w:r>
    </w:p>
    <w:bookmarkEnd w:id="220"/>
    <w:bookmarkStart w:id="222" w:name="ref-statnet_package"/>
    <w:p>
      <w:pPr>
        <w:pStyle w:val="Bibliography"/>
      </w:pPr>
      <w:r>
        <w:t xml:space="preserve">92.</w:t>
      </w:r>
      <w:r>
        <w:t xml:space="preserve"> </w:t>
      </w:r>
      <w:r>
        <w:t xml:space="preserve">	</w:t>
      </w:r>
      <w:r>
        <w:t xml:space="preserve">Pavel N. Krivitsky, M. S. H.</w:t>
      </w:r>
      <w:r>
        <w:t xml:space="preserve"> </w:t>
      </w:r>
      <w:r>
        <w:rPr>
          <w:iCs/>
          <w:i/>
        </w:rPr>
        <w:t xml:space="preserve">et al.</w:t>
      </w:r>
      <w:r>
        <w:t xml:space="preserve"> </w:t>
      </w:r>
      <w:hyperlink r:id="rId221">
        <w:r>
          <w:rPr>
            <w:rStyle w:val="Hyperlink"/>
          </w:rPr>
          <w:t xml:space="preserve">Statnet: Tools for the statistical modeling of network data</w:t>
        </w:r>
      </w:hyperlink>
      <w:r>
        <w:t xml:space="preserve">. Statnet Development Team (2003–2024).</w:t>
      </w:r>
    </w:p>
    <w:bookmarkEnd w:id="222"/>
    <w:bookmarkStart w:id="224" w:name="ref-igraph_package"/>
    <w:p>
      <w:pPr>
        <w:pStyle w:val="Bibliography"/>
      </w:pPr>
      <w:r>
        <w:t xml:space="preserve">93.</w:t>
      </w:r>
      <w:r>
        <w:t xml:space="preserve"> </w:t>
      </w:r>
      <w:r>
        <w:t xml:space="preserve">	</w:t>
      </w:r>
      <w:r>
        <w:t xml:space="preserve">Csardi, G. &amp; Nepusz, T.</w:t>
      </w:r>
      <w:r>
        <w:t xml:space="preserve"> </w:t>
      </w:r>
      <w:hyperlink r:id="rId223">
        <w:r>
          <w:rPr>
            <w:rStyle w:val="Hyperlink"/>
          </w:rPr>
          <w:t xml:space="preserve">The igraph software package for complex network research</w:t>
        </w:r>
      </w:hyperlink>
      <w:r>
        <w:t xml:space="preserve">.</w:t>
      </w:r>
      <w:r>
        <w:t xml:space="preserve"> </w:t>
      </w:r>
      <w:r>
        <w:rPr>
          <w:iCs/>
          <w:i/>
        </w:rPr>
        <w:t xml:space="preserve">InterJournal</w:t>
      </w:r>
      <w:r>
        <w:t xml:space="preserve"> </w:t>
      </w:r>
      <w:r>
        <w:t xml:space="preserve">vols Complex Systems 1695 (2006).</w:t>
      </w:r>
    </w:p>
    <w:bookmarkEnd w:id="224"/>
    <w:bookmarkStart w:id="226" w:name="ref-Anderson_2017"/>
    <w:p>
      <w:pPr>
        <w:pStyle w:val="Bibliography"/>
      </w:pPr>
      <w:r>
        <w:t xml:space="preserve">94.</w:t>
      </w:r>
      <w:r>
        <w:t xml:space="preserve"> </w:t>
      </w:r>
      <w:r>
        <w:t xml:space="preserve">	</w:t>
      </w:r>
      <w:r>
        <w:t xml:space="preserve">Anderson, M. J. Permutational multivariate analysis of variance (PERMANOVA). in</w:t>
      </w:r>
      <w:r>
        <w:t xml:space="preserve"> </w:t>
      </w:r>
      <w:r>
        <w:rPr>
          <w:iCs/>
          <w:i/>
        </w:rPr>
        <w:t xml:space="preserve">Wiley StatsRef: Statistics reference online</w:t>
      </w:r>
      <w:r>
        <w:t xml:space="preserve"> </w:t>
      </w:r>
      <w:r>
        <w:t xml:space="preserve">1–15 (John Wiley &amp; Sons, Ltd, 2017). doi:</w:t>
      </w:r>
      <w:hyperlink r:id="rId225">
        <w:r>
          <w:rPr>
            <w:rStyle w:val="Hyperlink"/>
          </w:rPr>
          <w:t xml:space="preserve">10.1002/9781118445112.stat07841</w:t>
        </w:r>
      </w:hyperlink>
      <w:r>
        <w:t xml:space="preserve">.</w:t>
      </w:r>
    </w:p>
    <w:bookmarkEnd w:id="226"/>
    <w:bookmarkStart w:id="228" w:name="ref-Shennan_Crema_Kerig_2015"/>
    <w:p>
      <w:pPr>
        <w:pStyle w:val="Bibliography"/>
      </w:pPr>
      <w:r>
        <w:t xml:space="preserve">95.</w:t>
      </w:r>
      <w:r>
        <w:t xml:space="preserve"> </w:t>
      </w:r>
      <w:r>
        <w:t xml:space="preserve">	</w:t>
      </w:r>
      <w:r>
        <w:t xml:space="preserve">Shennan, S. J., Crema, E. R. &amp; Kerig, T.</w:t>
      </w:r>
      <w:r>
        <w:t xml:space="preserve"> </w:t>
      </w:r>
      <w:hyperlink r:id="rId227">
        <w:r>
          <w:rPr>
            <w:rStyle w:val="Hyperlink"/>
          </w:rPr>
          <w:t xml:space="preserve">Isolation-by-distance, homophily, and</w:t>
        </w:r>
        <w:r>
          <w:rPr>
            <w:rStyle w:val="Hyperlink"/>
          </w:rPr>
          <w:t xml:space="preserve"> </w:t>
        </w:r>
        <w:r>
          <w:rPr>
            <w:rStyle w:val="Hyperlink"/>
          </w:rPr>
          <w:t xml:space="preserve">‘core’</w:t>
        </w:r>
        <w:r>
          <w:rPr>
            <w:rStyle w:val="Hyperlink"/>
          </w:rPr>
          <w:t xml:space="preserve"> </w:t>
        </w:r>
        <w:r>
          <w:rPr>
            <w:rStyle w:val="Hyperlink"/>
          </w:rPr>
          <w:t xml:space="preserve">vs.</w:t>
        </w:r>
        <w:r>
          <w:rPr>
            <w:rStyle w:val="Hyperlink"/>
          </w:rPr>
          <w:t xml:space="preserve"> </w:t>
        </w:r>
        <w:r>
          <w:rPr>
            <w:rStyle w:val="Hyperlink"/>
          </w:rPr>
          <w:t xml:space="preserve">‘Package’</w:t>
        </w:r>
        <w:r>
          <w:rPr>
            <w:rStyle w:val="Hyperlink"/>
          </w:rPr>
          <w:t xml:space="preserve"> </w:t>
        </w:r>
        <w:r>
          <w:rPr>
            <w:rStyle w:val="Hyperlink"/>
          </w:rPr>
          <w:t xml:space="preserve">cultural evolution models in neolithic europe</w:t>
        </w:r>
      </w:hyperlink>
      <w:r>
        <w:t xml:space="preserve">.</w:t>
      </w:r>
      <w:r>
        <w:t xml:space="preserve"> </w:t>
      </w:r>
      <w:r>
        <w:rPr>
          <w:iCs/>
          <w:i/>
        </w:rPr>
        <w:t xml:space="preserve">Evolution and Human Behavior</w:t>
      </w:r>
      <w:r>
        <w:t xml:space="preserve"> </w:t>
      </w:r>
      <w:r>
        <w:rPr>
          <w:bCs/>
          <w:b/>
        </w:rPr>
        <w:t xml:space="preserve">36</w:t>
      </w:r>
      <w:r>
        <w:t xml:space="preserve">, 103–109 (2015).</w:t>
      </w:r>
    </w:p>
    <w:bookmarkEnd w:id="228"/>
    <w:bookmarkStart w:id="230" w:name="ref-Mantel_Smouse"/>
    <w:p>
      <w:pPr>
        <w:pStyle w:val="Bibliography"/>
      </w:pPr>
      <w:r>
        <w:t xml:space="preserve">96.</w:t>
      </w:r>
      <w:r>
        <w:t xml:space="preserve"> </w:t>
      </w:r>
      <w:r>
        <w:t xml:space="preserve">	</w:t>
      </w:r>
      <w:r>
        <w:t xml:space="preserve">Smouse, P. E. &amp; Long, J. C.</w:t>
      </w:r>
      <w:r>
        <w:t xml:space="preserve"> </w:t>
      </w:r>
      <w:hyperlink r:id="rId229">
        <w:r>
          <w:rPr>
            <w:rStyle w:val="Hyperlink"/>
          </w:rPr>
          <w:t xml:space="preserve">Matrix correlation analysis in anthropology and genetics</w:t>
        </w:r>
      </w:hyperlink>
      <w:r>
        <w:t xml:space="preserve">.</w:t>
      </w:r>
      <w:r>
        <w:t xml:space="preserve"> </w:t>
      </w:r>
      <w:r>
        <w:rPr>
          <w:iCs/>
          <w:i/>
        </w:rPr>
        <w:t xml:space="preserve">American Journal of Physical Anthropology</w:t>
      </w:r>
      <w:r>
        <w:t xml:space="preserve"> </w:t>
      </w:r>
      <w:r>
        <w:rPr>
          <w:bCs/>
          <w:b/>
        </w:rPr>
        <w:t xml:space="preserve">35</w:t>
      </w:r>
      <w:r>
        <w:t xml:space="preserve">, 187–213 (1992).</w:t>
      </w:r>
    </w:p>
    <w:bookmarkEnd w:id="230"/>
    <w:bookmarkEnd w:id="231"/>
    <w:bookmarkEnd w:id="232"/>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2"/>
  </w:num>
  <w:num w:numId="2">
    <w:abstractNumId w:val="1"/>
  </w:num>
  <w:num w:numId="3">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46" Target="media/rId46.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30" Target="media/rId30.png" /><Relationship Type="http://schemas.openxmlformats.org/officeDocument/2006/relationships/hyperlink" Id="rId105" Target="http://www.jstor.org.offcampus.lib.washington.edu/stable/j.ctt1pk86rr.16" TargetMode="External" /><Relationship Type="http://schemas.openxmlformats.org/officeDocument/2006/relationships/hyperlink" Id="rId99" Target="http://www.jstor.org.offcampus.lib.washington.edu/stable/j.ctt1pk86rr.5" TargetMode="External" /><Relationship Type="http://schemas.openxmlformats.org/officeDocument/2006/relationships/hyperlink" Id="rId179" Target="http://www.jstor.org/stable/124852" TargetMode="External" /><Relationship Type="http://schemas.openxmlformats.org/officeDocument/2006/relationships/hyperlink" Id="rId165" Target="http://www.jstor.org/stable/2156023" TargetMode="External" /><Relationship Type="http://schemas.openxmlformats.org/officeDocument/2006/relationships/hyperlink" Id="rId154" Target="http://www.jstor.org/stable/2741828" TargetMode="External" /><Relationship Type="http://schemas.openxmlformats.org/officeDocument/2006/relationships/hyperlink" Id="rId129" Target="http://www.jstor.org/stable/279544" TargetMode="External" /><Relationship Type="http://schemas.openxmlformats.org/officeDocument/2006/relationships/hyperlink" Id="rId131" Target="http://www.jstor.org/stable/2800797" TargetMode="External" /><Relationship Type="http://schemas.openxmlformats.org/officeDocument/2006/relationships/hyperlink" Id="rId184" Target="http://www.jstor.org/stable/40287092" TargetMode="External" /><Relationship Type="http://schemas.openxmlformats.org/officeDocument/2006/relationships/hyperlink" Id="rId173" Target="http://www.jstor.org/stable/40287096" TargetMode="External" /><Relationship Type="http://schemas.openxmlformats.org/officeDocument/2006/relationships/hyperlink" Id="rId58" Target="https://books.google.com/books?id=XmrazQEACAAJ" TargetMode="External" /><Relationship Type="http://schemas.openxmlformats.org/officeDocument/2006/relationships/hyperlink" Id="rId225" Target="https://doi.org/10.1002/9781118445112.stat07841" TargetMode="External" /><Relationship Type="http://schemas.openxmlformats.org/officeDocument/2006/relationships/hyperlink" Id="rId229" Target="https://doi.org/10.1002/ajpa.1330350608" TargetMode="External" /><Relationship Type="http://schemas.openxmlformats.org/officeDocument/2006/relationships/hyperlink" Id="rId121" Target="https://doi.org/10.1002/ajpa.22832" TargetMode="External" /><Relationship Type="http://schemas.openxmlformats.org/officeDocument/2006/relationships/hyperlink" Id="rId217" Target="https://doi.org/10.1002/spe.4380211102" TargetMode="External" /><Relationship Type="http://schemas.openxmlformats.org/officeDocument/2006/relationships/hyperlink" Id="rId199" Target="https://doi.org/10.1007/978-1-4757-9945-3_4" TargetMode="External" /><Relationship Type="http://schemas.openxmlformats.org/officeDocument/2006/relationships/hyperlink" Id="rId77" Target="https://doi.org/10.1007/978-3-319-51726-1_3441-1" TargetMode="External" /><Relationship Type="http://schemas.openxmlformats.org/officeDocument/2006/relationships/hyperlink" Id="rId186" Target="https://doi.org/10.1007/978-4-431-55363-2_8" TargetMode="External" /><Relationship Type="http://schemas.openxmlformats.org/officeDocument/2006/relationships/hyperlink" Id="rId188" Target="https://doi.org/10.1007/978-981-13-8980-1_12" TargetMode="External" /><Relationship Type="http://schemas.openxmlformats.org/officeDocument/2006/relationships/hyperlink" Id="rId108" Target="https://doi.org/10.1007/s10814-013-9068-y" TargetMode="External" /><Relationship Type="http://schemas.openxmlformats.org/officeDocument/2006/relationships/hyperlink" Id="rId91" Target="https://doi.org/10.1007/s12520-018-0742-3" TargetMode="External" /><Relationship Type="http://schemas.openxmlformats.org/officeDocument/2006/relationships/hyperlink" Id="rId103" Target="https://doi.org/10.1016/B978-0-12-564750-2.50006-8" TargetMode="External" /><Relationship Type="http://schemas.openxmlformats.org/officeDocument/2006/relationships/hyperlink" Id="rId124" Target="https://doi.org/10.1016/B978-0-12-564750-2.50016-0" TargetMode="External" /><Relationship Type="http://schemas.openxmlformats.org/officeDocument/2006/relationships/hyperlink" Id="rId177" Target="https://doi.org/10.1016/B978-0-12-564750-2.50020-2" TargetMode="External" /><Relationship Type="http://schemas.openxmlformats.org/officeDocument/2006/relationships/hyperlink" Id="rId227" Target="https://doi.org/10.1016/j.evolhumbehav.2014.09.006" TargetMode="External" /><Relationship Type="http://schemas.openxmlformats.org/officeDocument/2006/relationships/hyperlink" Id="rId110" Target="https://doi.org/10.1016/j.evolhumbehav.2022.07.003" TargetMode="External" /><Relationship Type="http://schemas.openxmlformats.org/officeDocument/2006/relationships/hyperlink" Id="rId137" Target="https://doi.org/10.1016/j.jaa.2005.11.004" TargetMode="External" /><Relationship Type="http://schemas.openxmlformats.org/officeDocument/2006/relationships/hyperlink" Id="rId159" Target="https://doi.org/10.1016/j.jaa.2013.05.005" TargetMode="External" /><Relationship Type="http://schemas.openxmlformats.org/officeDocument/2006/relationships/hyperlink" Id="rId67" Target="https://doi.org/10.1016/j.jas.2005.11.017" TargetMode="External" /><Relationship Type="http://schemas.openxmlformats.org/officeDocument/2006/relationships/hyperlink" Id="rId73" Target="https://doi.org/10.1016/j.jas.2012.02.003" TargetMode="External" /><Relationship Type="http://schemas.openxmlformats.org/officeDocument/2006/relationships/hyperlink" Id="rId71" Target="https://doi.org/10.1016/j.jas.2015.05.003" TargetMode="External" /><Relationship Type="http://schemas.openxmlformats.org/officeDocument/2006/relationships/hyperlink" Id="rId191" Target="https://doi.org/10.1016/j.jasrep.2021.103118" TargetMode="External" /><Relationship Type="http://schemas.openxmlformats.org/officeDocument/2006/relationships/hyperlink" Id="rId135" Target="https://doi.org/10.1016/j.jasrep.2024.104798" TargetMode="External" /><Relationship Type="http://schemas.openxmlformats.org/officeDocument/2006/relationships/hyperlink" Id="rId83" Target="https://doi.org/10.1016/j.jhevol.2012.10.001" TargetMode="External" /><Relationship Type="http://schemas.openxmlformats.org/officeDocument/2006/relationships/hyperlink" Id="rId112" Target="https://doi.org/10.1016/j.quaint.2012.03.054" TargetMode="External" /><Relationship Type="http://schemas.openxmlformats.org/officeDocument/2006/relationships/hyperlink" Id="rId63" Target="https://doi.org/10.1016/j.quaint.2017.01.039" TargetMode="External" /><Relationship Type="http://schemas.openxmlformats.org/officeDocument/2006/relationships/hyperlink" Id="rId69" Target="https://doi.org/10.1016/j.quaint.2017.12.017" TargetMode="External" /><Relationship Type="http://schemas.openxmlformats.org/officeDocument/2006/relationships/hyperlink" Id="rId89" Target="https://doi.org/10.1016/j.quascirev.2009.11.015" TargetMode="External" /><Relationship Type="http://schemas.openxmlformats.org/officeDocument/2006/relationships/hyperlink" Id="rId195" Target="https://doi.org/10.1016/j.quascirev.2018.12.011" TargetMode="External" /><Relationship Type="http://schemas.openxmlformats.org/officeDocument/2006/relationships/hyperlink" Id="rId79" Target="https://doi.org/10.1016/j.quascirev.2021.106995" TargetMode="External" /><Relationship Type="http://schemas.openxmlformats.org/officeDocument/2006/relationships/hyperlink" Id="rId127" Target="https://doi.org/10.1017/CBO9780511558252.004" TargetMode="External" /><Relationship Type="http://schemas.openxmlformats.org/officeDocument/2006/relationships/hyperlink" Id="rId93" Target="https://doi.org/10.1017/RDC.2020.95" TargetMode="External" /><Relationship Type="http://schemas.openxmlformats.org/officeDocument/2006/relationships/hyperlink" Id="rId114" Target="https://doi.org/10.1017/S0079497X00006265" TargetMode="External" /><Relationship Type="http://schemas.openxmlformats.org/officeDocument/2006/relationships/hyperlink" Id="rId171" Target="https://doi.org/10.1038/s41467-024-51349-y" TargetMode="External" /><Relationship Type="http://schemas.openxmlformats.org/officeDocument/2006/relationships/hyperlink" Id="rId75" Target="https://doi.org/10.1038/s41597-020-00704-x" TargetMode="External" /><Relationship Type="http://schemas.openxmlformats.org/officeDocument/2006/relationships/hyperlink" Id="rId203" Target="https://doi.org/10.1073/pnas.1518798113" TargetMode="External" /><Relationship Type="http://schemas.openxmlformats.org/officeDocument/2006/relationships/hyperlink" Id="rId156" Target="https://doi.org/10.1086/701523" TargetMode="External" /><Relationship Type="http://schemas.openxmlformats.org/officeDocument/2006/relationships/hyperlink" Id="rId207" Target="https://doi.org/10.1093/oxfordhb/9780198854265.013.31" TargetMode="External" /><Relationship Type="http://schemas.openxmlformats.org/officeDocument/2006/relationships/hyperlink" Id="rId197" Target="https://doi.org/10.1098/rsif.2017.0171" TargetMode="External" /><Relationship Type="http://schemas.openxmlformats.org/officeDocument/2006/relationships/hyperlink" Id="rId205" Target="https://doi.org/10.1098/rstb.2009.0136" TargetMode="External" /><Relationship Type="http://schemas.openxmlformats.org/officeDocument/2006/relationships/hyperlink" Id="rId144" Target="https://doi.org/10.1098/rstb.2020.0318" TargetMode="External" /><Relationship Type="http://schemas.openxmlformats.org/officeDocument/2006/relationships/hyperlink" Id="rId212" Target="https://doi.org/10.1111/j.1502-3931.1988.tb01756.x" TargetMode="External" /><Relationship Type="http://schemas.openxmlformats.org/officeDocument/2006/relationships/hyperlink" Id="rId146" Target="https://doi.org/10.1111/tops.12762" TargetMode="External" /><Relationship Type="http://schemas.openxmlformats.org/officeDocument/2006/relationships/hyperlink" Id="rId215" Target="https://doi.org/10.1146/annurev-anthro-102116-041423" TargetMode="External" /><Relationship Type="http://schemas.openxmlformats.org/officeDocument/2006/relationships/hyperlink" Id="rId65" Target="https://doi.org/10.1177/0392192107076870" TargetMode="External" /><Relationship Type="http://schemas.openxmlformats.org/officeDocument/2006/relationships/hyperlink" Id="rId119" Target="https://doi.org/10.1179/sea.2010.29.1.013" TargetMode="External" /><Relationship Type="http://schemas.openxmlformats.org/officeDocument/2006/relationships/hyperlink" Id="rId201" Target="https://doi.org/10.1371/journal.pone.0102806" TargetMode="External" /><Relationship Type="http://schemas.openxmlformats.org/officeDocument/2006/relationships/hyperlink" Id="rId97" Target="https://doi.org/10.1371/journal.pone.0121166" TargetMode="External" /><Relationship Type="http://schemas.openxmlformats.org/officeDocument/2006/relationships/hyperlink" Id="rId85" Target="https://doi.org/10.1371/journal.pone.0189241" TargetMode="External" /><Relationship Type="http://schemas.openxmlformats.org/officeDocument/2006/relationships/hyperlink" Id="rId81" Target="https://doi.org/10.1371/journal.pone.0211562" TargetMode="External" /><Relationship Type="http://schemas.openxmlformats.org/officeDocument/2006/relationships/hyperlink" Id="rId152" Target="https://doi.org/10.1371/journal.pone.0265329" TargetMode="External" /><Relationship Type="http://schemas.openxmlformats.org/officeDocument/2006/relationships/hyperlink" Id="rId87" Target="https://doi.org/10.1371/journal.pone.0277444" TargetMode="External" /><Relationship Type="http://schemas.openxmlformats.org/officeDocument/2006/relationships/hyperlink" Id="rId60" Target="https://doi.org/10.1371/journal.pone.0323148" TargetMode="External" /><Relationship Type="http://schemas.openxmlformats.org/officeDocument/2006/relationships/hyperlink" Id="rId210" Target="https://doi.org/10.18637/jss.v025.i03" TargetMode="External" /><Relationship Type="http://schemas.openxmlformats.org/officeDocument/2006/relationships/hyperlink" Id="rId193" Target="https://doi.org/10.2307/2802103" TargetMode="External" /><Relationship Type="http://schemas.openxmlformats.org/officeDocument/2006/relationships/hyperlink" Id="rId169" Target="https://doi.org/10.2307/280511" TargetMode="External" /><Relationship Type="http://schemas.openxmlformats.org/officeDocument/2006/relationships/hyperlink" Id="rId101" Target="https://doi.org/10.2307/3034956" TargetMode="External" /><Relationship Type="http://schemas.openxmlformats.org/officeDocument/2006/relationships/hyperlink" Id="rId116" Target="https://doi.org/10.2307/j.ctv24q4z2g.5" TargetMode="External" /><Relationship Type="http://schemas.openxmlformats.org/officeDocument/2006/relationships/hyperlink" Id="rId142" Target="https://doi.org/10.2307/j.ctvdmwwz4.10" TargetMode="External" /><Relationship Type="http://schemas.openxmlformats.org/officeDocument/2006/relationships/hyperlink" Id="rId140" Target="https://doi.org/10.2307/j.ctvdmwwz4.7" TargetMode="External" /><Relationship Type="http://schemas.openxmlformats.org/officeDocument/2006/relationships/hyperlink" Id="rId148" Target="https://doi.org/10.3213/2191-5784-10243" TargetMode="External" /><Relationship Type="http://schemas.openxmlformats.org/officeDocument/2006/relationships/hyperlink" Id="rId219" Target="https://doi.org/10.32614/CRAN.package.vegan" TargetMode="External" /><Relationship Type="http://schemas.openxmlformats.org/officeDocument/2006/relationships/hyperlink" Id="rId95" Target="https://doi.org/10.3828/hgr.2023.12" TargetMode="External" /><Relationship Type="http://schemas.openxmlformats.org/officeDocument/2006/relationships/hyperlink" Id="rId161" Target="https://doi.org/10.4000/palethnologie.4945" TargetMode="External" /><Relationship Type="http://schemas.openxmlformats.org/officeDocument/2006/relationships/hyperlink" Id="rId167" Target="https://doi.org/10.5281/zenodo.15397990" TargetMode="External" /><Relationship Type="http://schemas.openxmlformats.org/officeDocument/2006/relationships/hyperlink" Id="rId223" Target="https://igraph.org" TargetMode="External" /><Relationship Type="http://schemas.openxmlformats.org/officeDocument/2006/relationships/hyperlink" Id="rId221" Target="https://statnet.org" TargetMode="External" /><Relationship Type="http://schemas.openxmlformats.org/officeDocument/2006/relationships/hyperlink" Id="rId150"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05" Target="http://www.jstor.org.offcampus.lib.washington.edu/stable/j.ctt1pk86rr.16" TargetMode="External" /><Relationship Type="http://schemas.openxmlformats.org/officeDocument/2006/relationships/hyperlink" Id="rId99" Target="http://www.jstor.org.offcampus.lib.washington.edu/stable/j.ctt1pk86rr.5" TargetMode="External" /><Relationship Type="http://schemas.openxmlformats.org/officeDocument/2006/relationships/hyperlink" Id="rId179" Target="http://www.jstor.org/stable/124852" TargetMode="External" /><Relationship Type="http://schemas.openxmlformats.org/officeDocument/2006/relationships/hyperlink" Id="rId165" Target="http://www.jstor.org/stable/2156023" TargetMode="External" /><Relationship Type="http://schemas.openxmlformats.org/officeDocument/2006/relationships/hyperlink" Id="rId154" Target="http://www.jstor.org/stable/2741828" TargetMode="External" /><Relationship Type="http://schemas.openxmlformats.org/officeDocument/2006/relationships/hyperlink" Id="rId129" Target="http://www.jstor.org/stable/279544" TargetMode="External" /><Relationship Type="http://schemas.openxmlformats.org/officeDocument/2006/relationships/hyperlink" Id="rId131" Target="http://www.jstor.org/stable/2800797" TargetMode="External" /><Relationship Type="http://schemas.openxmlformats.org/officeDocument/2006/relationships/hyperlink" Id="rId184" Target="http://www.jstor.org/stable/40287092" TargetMode="External" /><Relationship Type="http://schemas.openxmlformats.org/officeDocument/2006/relationships/hyperlink" Id="rId173" Target="http://www.jstor.org/stable/40287096" TargetMode="External" /><Relationship Type="http://schemas.openxmlformats.org/officeDocument/2006/relationships/hyperlink" Id="rId58" Target="https://books.google.com/books?id=XmrazQEACAAJ" TargetMode="External" /><Relationship Type="http://schemas.openxmlformats.org/officeDocument/2006/relationships/hyperlink" Id="rId225" Target="https://doi.org/10.1002/9781118445112.stat07841" TargetMode="External" /><Relationship Type="http://schemas.openxmlformats.org/officeDocument/2006/relationships/hyperlink" Id="rId229" Target="https://doi.org/10.1002/ajpa.1330350608" TargetMode="External" /><Relationship Type="http://schemas.openxmlformats.org/officeDocument/2006/relationships/hyperlink" Id="rId121" Target="https://doi.org/10.1002/ajpa.22832" TargetMode="External" /><Relationship Type="http://schemas.openxmlformats.org/officeDocument/2006/relationships/hyperlink" Id="rId217" Target="https://doi.org/10.1002/spe.4380211102" TargetMode="External" /><Relationship Type="http://schemas.openxmlformats.org/officeDocument/2006/relationships/hyperlink" Id="rId199" Target="https://doi.org/10.1007/978-1-4757-9945-3_4" TargetMode="External" /><Relationship Type="http://schemas.openxmlformats.org/officeDocument/2006/relationships/hyperlink" Id="rId77" Target="https://doi.org/10.1007/978-3-319-51726-1_3441-1" TargetMode="External" /><Relationship Type="http://schemas.openxmlformats.org/officeDocument/2006/relationships/hyperlink" Id="rId186" Target="https://doi.org/10.1007/978-4-431-55363-2_8" TargetMode="External" /><Relationship Type="http://schemas.openxmlformats.org/officeDocument/2006/relationships/hyperlink" Id="rId188" Target="https://doi.org/10.1007/978-981-13-8980-1_12" TargetMode="External" /><Relationship Type="http://schemas.openxmlformats.org/officeDocument/2006/relationships/hyperlink" Id="rId108" Target="https://doi.org/10.1007/s10814-013-9068-y" TargetMode="External" /><Relationship Type="http://schemas.openxmlformats.org/officeDocument/2006/relationships/hyperlink" Id="rId91" Target="https://doi.org/10.1007/s12520-018-0742-3" TargetMode="External" /><Relationship Type="http://schemas.openxmlformats.org/officeDocument/2006/relationships/hyperlink" Id="rId103" Target="https://doi.org/10.1016/B978-0-12-564750-2.50006-8" TargetMode="External" /><Relationship Type="http://schemas.openxmlformats.org/officeDocument/2006/relationships/hyperlink" Id="rId124" Target="https://doi.org/10.1016/B978-0-12-564750-2.50016-0" TargetMode="External" /><Relationship Type="http://schemas.openxmlformats.org/officeDocument/2006/relationships/hyperlink" Id="rId177" Target="https://doi.org/10.1016/B978-0-12-564750-2.50020-2" TargetMode="External" /><Relationship Type="http://schemas.openxmlformats.org/officeDocument/2006/relationships/hyperlink" Id="rId227" Target="https://doi.org/10.1016/j.evolhumbehav.2014.09.006" TargetMode="External" /><Relationship Type="http://schemas.openxmlformats.org/officeDocument/2006/relationships/hyperlink" Id="rId110" Target="https://doi.org/10.1016/j.evolhumbehav.2022.07.003" TargetMode="External" /><Relationship Type="http://schemas.openxmlformats.org/officeDocument/2006/relationships/hyperlink" Id="rId137" Target="https://doi.org/10.1016/j.jaa.2005.11.004" TargetMode="External" /><Relationship Type="http://schemas.openxmlformats.org/officeDocument/2006/relationships/hyperlink" Id="rId159" Target="https://doi.org/10.1016/j.jaa.2013.05.005" TargetMode="External" /><Relationship Type="http://schemas.openxmlformats.org/officeDocument/2006/relationships/hyperlink" Id="rId67" Target="https://doi.org/10.1016/j.jas.2005.11.017" TargetMode="External" /><Relationship Type="http://schemas.openxmlformats.org/officeDocument/2006/relationships/hyperlink" Id="rId73" Target="https://doi.org/10.1016/j.jas.2012.02.003" TargetMode="External" /><Relationship Type="http://schemas.openxmlformats.org/officeDocument/2006/relationships/hyperlink" Id="rId71" Target="https://doi.org/10.1016/j.jas.2015.05.003" TargetMode="External" /><Relationship Type="http://schemas.openxmlformats.org/officeDocument/2006/relationships/hyperlink" Id="rId191" Target="https://doi.org/10.1016/j.jasrep.2021.103118" TargetMode="External" /><Relationship Type="http://schemas.openxmlformats.org/officeDocument/2006/relationships/hyperlink" Id="rId135" Target="https://doi.org/10.1016/j.jasrep.2024.104798" TargetMode="External" /><Relationship Type="http://schemas.openxmlformats.org/officeDocument/2006/relationships/hyperlink" Id="rId83" Target="https://doi.org/10.1016/j.jhevol.2012.10.001" TargetMode="External" /><Relationship Type="http://schemas.openxmlformats.org/officeDocument/2006/relationships/hyperlink" Id="rId112" Target="https://doi.org/10.1016/j.quaint.2012.03.054" TargetMode="External" /><Relationship Type="http://schemas.openxmlformats.org/officeDocument/2006/relationships/hyperlink" Id="rId63" Target="https://doi.org/10.1016/j.quaint.2017.01.039" TargetMode="External" /><Relationship Type="http://schemas.openxmlformats.org/officeDocument/2006/relationships/hyperlink" Id="rId69" Target="https://doi.org/10.1016/j.quaint.2017.12.017" TargetMode="External" /><Relationship Type="http://schemas.openxmlformats.org/officeDocument/2006/relationships/hyperlink" Id="rId89" Target="https://doi.org/10.1016/j.quascirev.2009.11.015" TargetMode="External" /><Relationship Type="http://schemas.openxmlformats.org/officeDocument/2006/relationships/hyperlink" Id="rId195" Target="https://doi.org/10.1016/j.quascirev.2018.12.011" TargetMode="External" /><Relationship Type="http://schemas.openxmlformats.org/officeDocument/2006/relationships/hyperlink" Id="rId79" Target="https://doi.org/10.1016/j.quascirev.2021.106995" TargetMode="External" /><Relationship Type="http://schemas.openxmlformats.org/officeDocument/2006/relationships/hyperlink" Id="rId127" Target="https://doi.org/10.1017/CBO9780511558252.004" TargetMode="External" /><Relationship Type="http://schemas.openxmlformats.org/officeDocument/2006/relationships/hyperlink" Id="rId93" Target="https://doi.org/10.1017/RDC.2020.95" TargetMode="External" /><Relationship Type="http://schemas.openxmlformats.org/officeDocument/2006/relationships/hyperlink" Id="rId114" Target="https://doi.org/10.1017/S0079497X00006265" TargetMode="External" /><Relationship Type="http://schemas.openxmlformats.org/officeDocument/2006/relationships/hyperlink" Id="rId171" Target="https://doi.org/10.1038/s41467-024-51349-y" TargetMode="External" /><Relationship Type="http://schemas.openxmlformats.org/officeDocument/2006/relationships/hyperlink" Id="rId75" Target="https://doi.org/10.1038/s41597-020-00704-x" TargetMode="External" /><Relationship Type="http://schemas.openxmlformats.org/officeDocument/2006/relationships/hyperlink" Id="rId203" Target="https://doi.org/10.1073/pnas.1518798113" TargetMode="External" /><Relationship Type="http://schemas.openxmlformats.org/officeDocument/2006/relationships/hyperlink" Id="rId156" Target="https://doi.org/10.1086/701523" TargetMode="External" /><Relationship Type="http://schemas.openxmlformats.org/officeDocument/2006/relationships/hyperlink" Id="rId207" Target="https://doi.org/10.1093/oxfordhb/9780198854265.013.31" TargetMode="External" /><Relationship Type="http://schemas.openxmlformats.org/officeDocument/2006/relationships/hyperlink" Id="rId197" Target="https://doi.org/10.1098/rsif.2017.0171" TargetMode="External" /><Relationship Type="http://schemas.openxmlformats.org/officeDocument/2006/relationships/hyperlink" Id="rId205" Target="https://doi.org/10.1098/rstb.2009.0136" TargetMode="External" /><Relationship Type="http://schemas.openxmlformats.org/officeDocument/2006/relationships/hyperlink" Id="rId144" Target="https://doi.org/10.1098/rstb.2020.0318" TargetMode="External" /><Relationship Type="http://schemas.openxmlformats.org/officeDocument/2006/relationships/hyperlink" Id="rId212" Target="https://doi.org/10.1111/j.1502-3931.1988.tb01756.x" TargetMode="External" /><Relationship Type="http://schemas.openxmlformats.org/officeDocument/2006/relationships/hyperlink" Id="rId146" Target="https://doi.org/10.1111/tops.12762" TargetMode="External" /><Relationship Type="http://schemas.openxmlformats.org/officeDocument/2006/relationships/hyperlink" Id="rId215" Target="https://doi.org/10.1146/annurev-anthro-102116-041423" TargetMode="External" /><Relationship Type="http://schemas.openxmlformats.org/officeDocument/2006/relationships/hyperlink" Id="rId65" Target="https://doi.org/10.1177/0392192107076870" TargetMode="External" /><Relationship Type="http://schemas.openxmlformats.org/officeDocument/2006/relationships/hyperlink" Id="rId119" Target="https://doi.org/10.1179/sea.2010.29.1.013" TargetMode="External" /><Relationship Type="http://schemas.openxmlformats.org/officeDocument/2006/relationships/hyperlink" Id="rId201" Target="https://doi.org/10.1371/journal.pone.0102806" TargetMode="External" /><Relationship Type="http://schemas.openxmlformats.org/officeDocument/2006/relationships/hyperlink" Id="rId97" Target="https://doi.org/10.1371/journal.pone.0121166" TargetMode="External" /><Relationship Type="http://schemas.openxmlformats.org/officeDocument/2006/relationships/hyperlink" Id="rId85" Target="https://doi.org/10.1371/journal.pone.0189241" TargetMode="External" /><Relationship Type="http://schemas.openxmlformats.org/officeDocument/2006/relationships/hyperlink" Id="rId81" Target="https://doi.org/10.1371/journal.pone.0211562" TargetMode="External" /><Relationship Type="http://schemas.openxmlformats.org/officeDocument/2006/relationships/hyperlink" Id="rId152" Target="https://doi.org/10.1371/journal.pone.0265329" TargetMode="External" /><Relationship Type="http://schemas.openxmlformats.org/officeDocument/2006/relationships/hyperlink" Id="rId87" Target="https://doi.org/10.1371/journal.pone.0277444" TargetMode="External" /><Relationship Type="http://schemas.openxmlformats.org/officeDocument/2006/relationships/hyperlink" Id="rId60" Target="https://doi.org/10.1371/journal.pone.0323148" TargetMode="External" /><Relationship Type="http://schemas.openxmlformats.org/officeDocument/2006/relationships/hyperlink" Id="rId210" Target="https://doi.org/10.18637/jss.v025.i03" TargetMode="External" /><Relationship Type="http://schemas.openxmlformats.org/officeDocument/2006/relationships/hyperlink" Id="rId193" Target="https://doi.org/10.2307/2802103" TargetMode="External" /><Relationship Type="http://schemas.openxmlformats.org/officeDocument/2006/relationships/hyperlink" Id="rId169" Target="https://doi.org/10.2307/280511" TargetMode="External" /><Relationship Type="http://schemas.openxmlformats.org/officeDocument/2006/relationships/hyperlink" Id="rId101" Target="https://doi.org/10.2307/3034956" TargetMode="External" /><Relationship Type="http://schemas.openxmlformats.org/officeDocument/2006/relationships/hyperlink" Id="rId116" Target="https://doi.org/10.2307/j.ctv24q4z2g.5" TargetMode="External" /><Relationship Type="http://schemas.openxmlformats.org/officeDocument/2006/relationships/hyperlink" Id="rId142" Target="https://doi.org/10.2307/j.ctvdmwwz4.10" TargetMode="External" /><Relationship Type="http://schemas.openxmlformats.org/officeDocument/2006/relationships/hyperlink" Id="rId140" Target="https://doi.org/10.2307/j.ctvdmwwz4.7" TargetMode="External" /><Relationship Type="http://schemas.openxmlformats.org/officeDocument/2006/relationships/hyperlink" Id="rId148" Target="https://doi.org/10.3213/2191-5784-10243" TargetMode="External" /><Relationship Type="http://schemas.openxmlformats.org/officeDocument/2006/relationships/hyperlink" Id="rId219" Target="https://doi.org/10.32614/CRAN.package.vegan" TargetMode="External" /><Relationship Type="http://schemas.openxmlformats.org/officeDocument/2006/relationships/hyperlink" Id="rId95" Target="https://doi.org/10.3828/hgr.2023.12" TargetMode="External" /><Relationship Type="http://schemas.openxmlformats.org/officeDocument/2006/relationships/hyperlink" Id="rId161" Target="https://doi.org/10.4000/palethnologie.4945" TargetMode="External" /><Relationship Type="http://schemas.openxmlformats.org/officeDocument/2006/relationships/hyperlink" Id="rId167" Target="https://doi.org/10.5281/zenodo.15397990" TargetMode="External" /><Relationship Type="http://schemas.openxmlformats.org/officeDocument/2006/relationships/hyperlink" Id="rId223" Target="https://igraph.org" TargetMode="External" /><Relationship Type="http://schemas.openxmlformats.org/officeDocument/2006/relationships/hyperlink" Id="rId221" Target="https://statnet.org" TargetMode="External" /><Relationship Type="http://schemas.openxmlformats.org/officeDocument/2006/relationships/hyperlink" Id="rId150"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reveal changes in social structures and networks during the Western Eurasian Aurignacian</dc:title>
  <dc:creator>Sophie Cooper1, Aleah Rosner1, Eva Oryn1, Kenneth B. Vernon2, and Ben Marwick1,✉</dc:creator>
  <cp:keywords/>
  <dcterms:created xsi:type="dcterms:W3CDTF">2026-08-01T19:33:32Z</dcterms:created>
  <dcterms:modified xsi:type="dcterms:W3CDTF">2026-08-01T19:33:32Z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vt:lpwstr>
  </property>
  <property fmtid="{D5CDD505-2E9C-101B-9397-08002B2CF9AE}" pid="3" name="affiliation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csl">
    <vt:lpwstr>../templates/nature.csl</vt:lpwstr>
  </property>
  <property fmtid="{D5CDD505-2E9C-101B-9397-08002B2CF9AE}" pid="8" name="date">
    <vt:lpwstr>August 1,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title-block-published">
    <vt:lpwstr>Last updated</vt:lpwstr>
  </property>
  <property fmtid="{D5CDD505-2E9C-101B-9397-08002B2CF9AE}" pid="17" name="toc-title">
    <vt:lpwstr>Table of contents</vt:lpwstr>
  </property>
</Properties>
</file>