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§S9.3). In Aur-P2 the Bernoulli and Poisson models select a single block and only the Gaussian model selects two blocks, by a marginal 0.9 ICL points. We therefore consider the restricted/broad division as a dominant axis of sign type composition variation (rich vs. poor sign repertoires) with a stable small-block refinement in Aur-P1, rather than an exact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Beta disperion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a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Among the subset of sites that attain comparable coverage, broad-range sites remain richer, and a negative-binomial model with an estimated exponent finds the group contrast persists at equal object count (rate ratio = 2.31, p = 0.003; S1). However, this estimate is imprecise because the sample is small and group membership is strongly collinear with object count, and a negative-binomial model with a fixed exponent (offset) shows no effect (rate ratio = 0.72, p = 0.292). At the phase level, the Jaccard separation is not greater than expected under a fixed-margin null preserving site richness and sign-type frequencies, and no separation remains on Simpson turnover, which removes the nestedness component of Jaccard (S1).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having protocuneiform-like information density, suggesting notational function, or</w:t>
      </w:r>
      <w:r>
        <w:t xml:space="preserve"> </w:t>
      </w:r>
      <w:r>
        <w:t xml:space="preserve">[107]</w:t>
      </w:r>
      <w:r>
        <w:t xml:space="preserve">’s claim that some sign recording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while in Aur-P2 the Bernoulli and Poisson models select a single block and only the Gaussian model selects two blocks by a marginal 0.9 ICL points.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2026-09-07T02:11:40Z</dcterms:created>
  <dcterms:modified xsi:type="dcterms:W3CDTF">2026-09-07T02:11:40Z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