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216.png" ContentType="image/png"/>
  <Override PartName="/word/media/rId225.png" ContentType="image/png"/>
  <Override PartName="/word/media/rId50.png" ContentType="image/png"/>
  <Override PartName="/word/media/rId158.png" ContentType="image/png"/>
  <Override PartName="/word/media/rId46.png" ContentType="image/png"/>
  <Override PartName="/word/media/rId29.png" ContentType="image/png"/>
  <Override PartName="/word/media/rId130.png" ContentType="image/png"/>
  <Override PartName="/word/media/rId65.png" ContentType="image/png"/>
  <Override PartName="/word/media/rId239.png" ContentType="image/png"/>
  <Override PartName="/word/media/rId268.png" ContentType="image/png"/>
  <Override PartName="/word/media/rId289.png" ContentType="image/png"/>
  <Override PartName="/word/media/rId256.png" ContentType="image/png"/>
  <Override PartName="/word/media/rId248.png" ContentType="image/png"/>
  <Override PartName="/word/media/rId177.png" ContentType="image/png"/>
  <Override PartName="/word/media/rId186.png" ContentType="image/png"/>
  <Override PartName="/word/media/rId19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42"/>
              <w:gridCol w:w="792"/>
              <w:gridCol w:w="1425"/>
              <w:gridCol w:w="1108"/>
              <w:gridCol w:w="2851"/>
            </w:tblGrid>
            <w:tr>
              <w:trPr>
                <w:tblHeader w:val="true"/>
              </w:trPr>
              <w:tc>
                <w:tcPr/>
                <w:p>
                  <w:pPr>
                    <w:pStyle w:val="Compact"/>
                    <w:jc w:val="left"/>
                    <w:jc w:val="left"/>
                  </w:pPr>
                  <w:r>
                    <w:t xml:space="preserve">Site</w:t>
                  </w:r>
                </w:p>
              </w:tc>
              <w:tc>
                <w:tcPr/>
                <w:p>
                  <w:pPr>
                    <w:pStyle w:val="Compact"/>
                    <w:jc w:val="left"/>
                    <w:jc w:val="left"/>
                  </w:pPr>
                  <w:r>
                    <w:t xml:space="preserve">Signed objects</w:t>
                  </w:r>
                </w:p>
              </w:tc>
              <w:tc>
                <w:tcPr/>
                <w:p>
                  <w:pPr>
                    <w:pStyle w:val="Compact"/>
                    <w:jc w:val="left"/>
                    <w:jc w:val="left"/>
                  </w:pPr>
                  <w:r>
                    <w:t xml:space="preserve">date_bp_max_min (example)</w:t>
                  </w:r>
                </w:p>
              </w:tc>
              <w:tc>
                <w:tcPr/>
                <w:p>
                  <w:pPr>
                    <w:pStyle w:val="Compact"/>
                    <w:jc w:val="left"/>
                    <w:jc w:val="left"/>
                  </w:pPr>
                  <w:r>
                    <w:t xml:space="preserve">dating_method (example)</w:t>
                  </w:r>
                </w:p>
              </w:tc>
              <w:tc>
                <w:tcPr/>
                <w:p>
                  <w:pPr>
                    <w:pStyle w:val="Compact"/>
                    <w:jc w:val="left"/>
                    <w:jc w:val="left"/>
                  </w:pPr>
                  <w:r>
                    <w:t xml:space="preserve">Reason</w:t>
                  </w:r>
                </w:p>
              </w:tc>
            </w:tr>
            <w:tr>
              <w:tc>
                <w:tcPr/>
                <w:p>
                  <w:pPr>
                    <w:pStyle w:val="Compact"/>
                    <w:jc w:val="left"/>
                    <w:jc w:val="left"/>
                  </w:pPr>
                  <w:r>
                    <w:t xml:space="preserve">Grotte de Goyet</w:t>
                  </w:r>
                </w:p>
              </w:tc>
              <w:tc>
                <w:tcPr/>
                <w:p>
                  <w:pPr>
                    <w:pStyle w:val="Compact"/>
                    <w:jc w:val="left"/>
                    <w:jc w:val="left"/>
                  </w:pPr>
                  <w:r>
                    <w:t xml:space="preserve">12</w:t>
                  </w:r>
                </w:p>
              </w:tc>
              <w:tc>
                <w:tcPr/>
                <w:p>
                  <w:pPr>
                    <w:pStyle w:val="Compact"/>
                    <w:jc w:val="left"/>
                    <w:jc w:val="left"/>
                  </w:pPr>
                  <w:r>
                    <w:t xml:space="preserve">35160 - 33140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Maisières-Canal</w:t>
                  </w:r>
                </w:p>
              </w:tc>
              <w:tc>
                <w:tcPr/>
                <w:p>
                  <w:pPr>
                    <w:pStyle w:val="Compact"/>
                    <w:jc w:val="left"/>
                    <w:jc w:val="left"/>
                  </w:pPr>
                  <w:r>
                    <w:t xml:space="preserve">5</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de Laussel</w:t>
                  </w:r>
                </w:p>
              </w:tc>
              <w:tc>
                <w:tcPr/>
                <w:p>
                  <w:pPr>
                    <w:pStyle w:val="Compact"/>
                    <w:jc w:val="left"/>
                    <w:jc w:val="left"/>
                  </w:pPr>
                  <w:r>
                    <w:t xml:space="preserve">4</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Brassempouy</w:t>
                  </w:r>
                </w:p>
              </w:tc>
              <w:tc>
                <w:tcPr/>
                <w:p>
                  <w:pPr>
                    <w:pStyle w:val="Compact"/>
                    <w:jc w:val="left"/>
                    <w:jc w:val="left"/>
                  </w:pPr>
                  <w:r>
                    <w:t xml:space="preserve">3</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Istállóskő Cave</w:t>
                  </w:r>
                </w:p>
              </w:tc>
              <w:tc>
                <w:tcPr/>
                <w:p>
                  <w:pPr>
                    <w:pStyle w:val="Compact"/>
                    <w:jc w:val="left"/>
                    <w:jc w:val="left"/>
                  </w:pPr>
                  <w:r>
                    <w:t xml:space="preserve">3</w:t>
                  </w:r>
                </w:p>
              </w:tc>
              <w:tc>
                <w:tcPr/>
                <w:p>
                  <w:pPr>
                    <w:pStyle w:val="Compact"/>
                    <w:jc w:val="left"/>
                    <w:jc w:val="left"/>
                  </w:pPr>
                  <w:r>
                    <w:t xml:space="preserve">35000 - 32000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Nová Dědina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Žlutava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Abri Lartet/Gorge d’Enfer</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La Souquette</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Trou Du Renard</w:t>
                  </w:r>
                </w:p>
              </w:tc>
              <w:tc>
                <w:tcPr/>
                <w:p>
                  <w:pPr>
                    <w:pStyle w:val="Compact"/>
                    <w:jc w:val="left"/>
                    <w:jc w:val="left"/>
                  </w:pPr>
                  <w:r>
                    <w:t xml:space="preserve">2</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Menton/Grottes du Grimaldi</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Tuto de Camalhot</w:t>
                  </w:r>
                </w:p>
              </w:tc>
              <w:tc>
                <w:tcPr/>
                <w:p>
                  <w:pPr>
                    <w:pStyle w:val="Compact"/>
                    <w:jc w:val="left"/>
                    <w:jc w:val="left"/>
                  </w:pPr>
                  <w:r>
                    <w:t xml:space="preserve">2</w:t>
                  </w:r>
                </w:p>
              </w:tc>
              <w:tc>
                <w:tcPr/>
                <w:p>
                  <w:pPr>
                    <w:pStyle w:val="Compact"/>
                    <w:jc w:val="left"/>
                    <w:jc w:val="left"/>
                  </w:pPr>
                  <w:r>
                    <w:t xml:space="preserve">34750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du Poisson</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Aurignac</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Breitenbach</w:t>
                  </w:r>
                </w:p>
              </w:tc>
              <w:tc>
                <w:tcPr/>
                <w:p>
                  <w:pPr>
                    <w:pStyle w:val="Compact"/>
                    <w:jc w:val="left"/>
                    <w:jc w:val="left"/>
                  </w:pPr>
                  <w:r>
                    <w:t xml:space="preserve">1</w:t>
                  </w:r>
                </w:p>
              </w:tc>
              <w:tc>
                <w:tcPr/>
                <w:p>
                  <w:pPr>
                    <w:pStyle w:val="Compact"/>
                    <w:jc w:val="left"/>
                    <w:jc w:val="left"/>
                  </w:pPr>
                  <w:r>
                    <w:t xml:space="preserve">30000 - 27000</w:t>
                  </w:r>
                </w:p>
              </w:tc>
              <w:tc>
                <w:tcPr/>
                <w:p>
                  <w:pPr>
                    <w:pStyle w:val="Compact"/>
                  </w:pPr>
                </w:p>
              </w:tc>
              <w:tc>
                <w:tcPr/>
                <w:p>
                  <w:pPr>
                    <w:pStyle w:val="Compact"/>
                  </w:pPr>
                </w:p>
              </w:tc>
            </w:tr>
            <w:tr>
              <w:tc>
                <w:tcPr/>
                <w:p>
                  <w:pPr>
                    <w:pStyle w:val="Compact"/>
                    <w:jc w:val="left"/>
                    <w:jc w:val="left"/>
                  </w:pPr>
                  <w:r>
                    <w:t xml:space="preserve">26000 - 28 000 BP</w:t>
                  </w:r>
                </w:p>
              </w:tc>
              <w:tc>
                <w:tcPr/>
                <w:p>
                  <w:pPr>
                    <w:pStyle w:val="Compact"/>
                    <w:jc w:val="left"/>
                    <w:jc w:val="left"/>
                  </w:pPr>
                  <w:r>
                    <w:t xml:space="preserve">C14</w:t>
                  </w:r>
                </w:p>
              </w:tc>
              <w:tc>
                <w:tcPr/>
                <w:p>
                  <w:pPr>
                    <w:pStyle w:val="Compact"/>
                    <w:jc w:val="left"/>
                    <w:jc w:val="left"/>
                  </w:pPr>
                  <w:r>
                    <w:t xml:space="preserve">plain interval without ±</w:t>
                  </w:r>
                </w:p>
              </w:tc>
              <w:tc>
                <w:tcPr/>
                <w:p>
                  <w:pPr>
                    <w:pStyle w:val="Compact"/>
                  </w:pPr>
                </w:p>
              </w:tc>
              <w:tc>
                <w:tcPr/>
                <w:p>
                  <w:pPr>
                    <w:pStyle w:val="Compact"/>
                  </w:pPr>
                </w:p>
              </w:tc>
            </w:tr>
            <w:tr>
              <w:tc>
                <w:tcPr/>
                <w:p>
                  <w:pPr>
                    <w:pStyle w:val="Compact"/>
                    <w:jc w:val="left"/>
                    <w:jc w:val="left"/>
                  </w:pPr>
                  <w:r>
                    <w:t xml:space="preserve">El Rascaño</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Göpfelsteinhöhle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C14</w:t>
                  </w:r>
                </w:p>
              </w:tc>
              <w:tc>
                <w:tcPr/>
                <w:p>
                  <w:pPr>
                    <w:pStyle w:val="Compact"/>
                    <w:jc w:val="left"/>
                    <w:jc w:val="left"/>
                  </w:pPr>
                  <w:r>
                    <w:t xml:space="preserve">no date</w:t>
                  </w:r>
                </w:p>
              </w:tc>
            </w:tr>
            <w:tr>
              <w:tc>
                <w:tcPr/>
                <w:p>
                  <w:pPr>
                    <w:pStyle w:val="Compact"/>
                    <w:jc w:val="left"/>
                    <w:jc w:val="left"/>
                  </w:pPr>
                  <w:r>
                    <w:t xml:space="preserve">Hornos de la Pena</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Kvasice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Terme Pialat</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Lhotka</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Otaslavice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Peskő Cave</w:t>
                  </w:r>
                </w:p>
              </w:tc>
              <w:tc>
                <w:tcPr/>
                <w:p>
                  <w:pPr>
                    <w:pStyle w:val="Compact"/>
                    <w:jc w:val="left"/>
                    <w:jc w:val="left"/>
                  </w:pPr>
                  <w:r>
                    <w:t xml:space="preserve">1</w:t>
                  </w:r>
                </w:p>
              </w:tc>
              <w:tc>
                <w:tcPr/>
                <w:p>
                  <w:pPr>
                    <w:pStyle w:val="Compact"/>
                    <w:jc w:val="left"/>
                    <w:jc w:val="left"/>
                  </w:pPr>
                  <w:r>
                    <w:t xml:space="preserve">38300 - 33500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Shelter Birów IV</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Slatinice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Wildscheuer</w:t>
                  </w:r>
                </w:p>
              </w:tc>
              <w:tc>
                <w:tcPr/>
                <w:p>
                  <w:pPr>
                    <w:pStyle w:val="Compact"/>
                    <w:jc w:val="left"/>
                    <w:jc w:val="left"/>
                  </w:pPr>
                  <w:r>
                    <w:t xml:space="preserve">1</w:t>
                  </w:r>
                </w:p>
              </w:tc>
              <w:tc>
                <w:tcPr/>
                <w:p>
                  <w:pPr>
                    <w:pStyle w:val="Compact"/>
                    <w:jc w:val="left"/>
                    <w:jc w:val="left"/>
                  </w:pPr>
                  <w:r>
                    <w:t xml:space="preserve">34300 - 30000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d’Engihoul</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bl>
          <w:p>
            <w:pPr>
              <w:jc w:val="left"/>
            </w:pPr>
            <w:pPr>
              <w:jc w:val="start"/>
              <w:spacing w:before="200"/>
              <w:pStyle w:val="ImageCaption"/>
            </w:pPr>
            <w:r>
              <w:t xml:space="preserve">Table S 1: Sites omitted for data quality reasons. Archaeological phase rationale is in Supplement 2.</w:t>
            </w:r>
          </w:p>
          <w:bookmarkEnd w:id="22"/>
        </w:tc>
      </w:tr>
    </w:tbl>
    <w:p>
      <w:pPr>
        <w:pStyle w:val="BodyText"/>
      </w:pPr>
      <w:r>
        <w:t xml:space="preserve">The 11 plain-range dates in</w:t>
      </w:r>
      <w:r>
        <w:t xml:space="preserve"> </w:t>
      </w:r>
      <w:hyperlink w:anchor="tbl-dropped-sites">
        <w:r>
          <w:rPr>
            <w:rStyle w:val="Hyperlink"/>
          </w:rPr>
          <w:t xml:space="preserve">Table S 1</w:t>
        </w:r>
      </w:hyperlink>
      <w:r>
        <w:t xml:space="preserve"> </w:t>
      </w:r>
      <w:r>
        <w:t xml:space="preserve">are radiocarbon ages with no stated error, so the date parser cannot calibrate them. To estimate the phase of these sites, we calibrated the older end of each range, which is the end that the main analysis uses, with the IntCal20 curve and a nominal error of ±300 years. This is a sensitivity check only, because the true errors are not known.</w:t>
      </w:r>
    </w:p>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Phase assignment then removes 29 objects from Spy, whose assemblage is mixed, from El Castillo, whose Aurignacian attribution is debated, and from the mixed Hohle Fels layer IIIa-V (S2).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Not clearly. The 11 sites whose date strings have no error term have uncalibrated ¹⁴C ages, not calendar ages. The main analysis uses the older end of each date range. With a nominal error of ±300 years, the older ends of 8 of these 11 ranges calibrate to more than 37,799 cal BP, that is, to Aur-P1. These include the largest of these assemblages, Grotte de Goyet (12 objects; 40,302 cal BP). The loss of these sites therefore does not explain the small size of the Aur-P2 sample. The phase of the 16 dropped sites that have no date string is not known.</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and hiding real similarities between site repertoires.</w:t>
      </w:r>
    </w:p>
    <w:p>
      <w:pPr>
        <w:pStyle w:val="BodyText"/>
      </w:pPr>
      <w:r>
        <w:t xml:space="preserve">To confirm that the primary findings reported in the main text are not an artefact of this specific cutoff, we repeated all network analyses at two alternative thresholds, 0.1 (permissive) and 0.3 (conservative),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1029"/>
              <w:gridCol w:w="712"/>
              <w:gridCol w:w="633"/>
              <w:gridCol w:w="792"/>
              <w:gridCol w:w="792"/>
              <w:gridCol w:w="1029"/>
              <w:gridCol w:w="1029"/>
              <w:gridCol w:w="1029"/>
              <w:gridCol w:w="871"/>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125</w:t>
                  </w:r>
                </w:p>
              </w:tc>
              <w:tc>
                <w:tcPr/>
                <w:p>
                  <w:pPr>
                    <w:pStyle w:val="Compact"/>
                    <w:jc w:val="left"/>
                    <w:jc w:val="left"/>
                  </w:pPr>
                  <w:r>
                    <w:t xml:space="preserve">0.658</w:t>
                  </w:r>
                </w:p>
              </w:tc>
              <w:tc>
                <w:tcPr/>
                <w:p>
                  <w:pPr>
                    <w:pStyle w:val="Compact"/>
                    <w:jc w:val="left"/>
                    <w:jc w:val="left"/>
                  </w:pPr>
                  <w:r>
                    <w:t xml:space="preserve">0</w:t>
                  </w:r>
                </w:p>
              </w:tc>
              <w:tc>
                <w:tcPr/>
                <w:p>
                  <w:pPr>
                    <w:pStyle w:val="Compact"/>
                    <w:jc w:val="left"/>
                    <w:jc w:val="left"/>
                  </w:pPr>
                  <w:r>
                    <w:t xml:space="preserve">12.50</w:t>
                  </w:r>
                </w:p>
              </w:tc>
              <w:tc>
                <w:tcPr/>
                <w:p>
                  <w:pPr>
                    <w:pStyle w:val="Compact"/>
                    <w:jc w:val="left"/>
                    <w:jc w:val="left"/>
                  </w:pPr>
                  <w:r>
                    <w:t xml:space="preserve">0.830</w:t>
                  </w:r>
                </w:p>
              </w:tc>
              <w:tc>
                <w:tcPr/>
                <w:p>
                  <w:pPr>
                    <w:pStyle w:val="Compact"/>
                    <w:jc w:val="left"/>
                    <w:jc w:val="left"/>
                  </w:pPr>
                  <w:r>
                    <w:t xml:space="preserve">0.223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0.093</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56</w:t>
                  </w:r>
                </w:p>
              </w:tc>
              <w:tc>
                <w:tcPr/>
                <w:p>
                  <w:pPr>
                    <w:pStyle w:val="Compact"/>
                    <w:jc w:val="left"/>
                    <w:jc w:val="left"/>
                  </w:pPr>
                  <w:r>
                    <w:t xml:space="preserve">0.295</w:t>
                  </w:r>
                </w:p>
              </w:tc>
              <w:tc>
                <w:tcPr/>
                <w:p>
                  <w:pPr>
                    <w:pStyle w:val="Compact"/>
                    <w:jc w:val="left"/>
                    <w:jc w:val="left"/>
                  </w:pPr>
                  <w:r>
                    <w:t xml:space="preserve">2</w:t>
                  </w:r>
                </w:p>
              </w:tc>
              <w:tc>
                <w:tcPr/>
                <w:p>
                  <w:pPr>
                    <w:pStyle w:val="Compact"/>
                    <w:jc w:val="left"/>
                    <w:jc w:val="left"/>
                  </w:pPr>
                  <w:r>
                    <w:t xml:space="preserve">5.60</w:t>
                  </w:r>
                </w:p>
              </w:tc>
              <w:tc>
                <w:tcPr/>
                <w:p>
                  <w:pPr>
                    <w:pStyle w:val="Compact"/>
                    <w:jc w:val="left"/>
                    <w:jc w:val="left"/>
                  </w:pPr>
                  <w:r>
                    <w:t xml:space="preserve">0.666</w:t>
                  </w:r>
                </w:p>
              </w:tc>
              <w:tc>
                <w:tcPr/>
                <w:p>
                  <w:pPr>
                    <w:pStyle w:val="Compact"/>
                    <w:jc w:val="left"/>
                    <w:jc w:val="left"/>
                  </w:pPr>
                  <w:r>
                    <w:t xml:space="preserve">0.347</w:t>
                  </w:r>
                </w:p>
              </w:tc>
              <w:tc>
                <w:tcPr/>
                <w:p>
                  <w:pPr>
                    <w:pStyle w:val="Compact"/>
                    <w:jc w:val="left"/>
                    <w:jc w:val="left"/>
                  </w:pPr>
                  <w:r>
                    <w:t xml:space="preserve">5</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13</w:t>
                  </w:r>
                </w:p>
              </w:tc>
              <w:tc>
                <w:tcPr/>
                <w:p>
                  <w:pPr>
                    <w:pStyle w:val="Compact"/>
                    <w:jc w:val="left"/>
                    <w:jc w:val="left"/>
                  </w:pPr>
                  <w:r>
                    <w:t xml:space="preserve">0.361</w:t>
                  </w:r>
                </w:p>
              </w:tc>
              <w:tc>
                <w:tcPr/>
                <w:p>
                  <w:pPr>
                    <w:pStyle w:val="Compact"/>
                    <w:jc w:val="left"/>
                    <w:jc w:val="left"/>
                  </w:pPr>
                  <w:r>
                    <w:t xml:space="preserve">2</w:t>
                  </w:r>
                </w:p>
              </w:tc>
              <w:tc>
                <w:tcPr/>
                <w:p>
                  <w:pPr>
                    <w:pStyle w:val="Compact"/>
                    <w:jc w:val="left"/>
                    <w:jc w:val="left"/>
                  </w:pPr>
                  <w:r>
                    <w:t xml:space="preserve">2.89</w:t>
                  </w:r>
                </w:p>
              </w:tc>
              <w:tc>
                <w:tcPr/>
                <w:p>
                  <w:pPr>
                    <w:pStyle w:val="Compact"/>
                    <w:jc w:val="left"/>
                    <w:jc w:val="left"/>
                  </w:pPr>
                  <w:r>
                    <w:t xml:space="preserve">0.628</w:t>
                  </w:r>
                </w:p>
              </w:tc>
              <w:tc>
                <w:tcPr/>
                <w:p>
                  <w:pPr>
                    <w:pStyle w:val="Compact"/>
                    <w:jc w:val="left"/>
                    <w:jc w:val="left"/>
                  </w:pPr>
                  <w:r>
                    <w:t xml:space="preserve">0.122</w:t>
                  </w:r>
                </w:p>
              </w:tc>
              <w:tc>
                <w:tcPr/>
                <w:p>
                  <w:pPr>
                    <w:pStyle w:val="Compact"/>
                    <w:jc w:val="left"/>
                    <w:jc w:val="left"/>
                  </w:pPr>
                  <w:r>
                    <w:t xml:space="preserve">4</w:t>
                  </w:r>
                </w:p>
              </w:tc>
            </w:tr>
          </w:tbl>
          <w:p>
            <w:pPr>
              <w:jc w:val="left"/>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left"/>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pct" w:w="5000"/>
              <w:tblLook w:firstRow="1" w:lastRow="0" w:firstColumn="0" w:lastColumn="0" w:noHBand="0" w:noVBand="0" w:val="0020"/>
              <w:jc w:val="start"/>
              <w:tblLayout w:type="fixed"/>
            </w:tblPr>
            <w:tblGrid>
              <w:gridCol w:w="1742"/>
              <w:gridCol w:w="1188"/>
              <w:gridCol w:w="1188"/>
              <w:gridCol w:w="1900"/>
              <w:gridCol w:w="1900"/>
            </w:tblGrid>
            <w:tr>
              <w:trPr>
                <w:tblHeader w:val="true"/>
              </w:trPr>
              <w:tc>
                <w:tcPr/>
                <w:p>
                  <w:pPr>
                    <w:pStyle w:val="Compact"/>
                    <w:jc w:val="left"/>
                    <w:jc w:val="left"/>
                  </w:pPr>
                  <w:r>
                    <w:t xml:space="preserve">Phase</w:t>
                  </w:r>
                </w:p>
              </w:tc>
              <w:tc>
                <w:tcPr/>
                <w:p>
                  <w:pPr>
                    <w:pStyle w:val="Compact"/>
                    <w:jc w:val="left"/>
                    <w:jc w:val="left"/>
                  </w:pPr>
                  <w:r>
                    <w:t xml:space="preserve">Threshold 1</w:t>
                  </w:r>
                </w:p>
              </w:tc>
              <w:tc>
                <w:tcPr/>
                <w:p>
                  <w:pPr>
                    <w:pStyle w:val="Compact"/>
                    <w:jc w:val="left"/>
                    <w:jc w:val="left"/>
                  </w:pPr>
                  <w:r>
                    <w:t xml:space="preserve">Threshold 2</w:t>
                  </w:r>
                </w:p>
              </w:tc>
              <w:tc>
                <w:tcPr/>
                <w:p>
                  <w:pPr>
                    <w:pStyle w:val="Compact"/>
                    <w:jc w:val="left"/>
                    <w:jc w:val="left"/>
                  </w:pPr>
                  <w:r>
                    <w:t xml:space="preserve">Edge Jaccard</w:t>
                  </w:r>
                </w:p>
              </w:tc>
              <w:tc>
                <w:tcPr/>
                <w:p>
                  <w:pPr>
                    <w:pStyle w:val="Compact"/>
                    <w:jc w:val="left"/>
                    <w:jc w:val="left"/>
                  </w:pPr>
                  <w:r>
                    <w:t xml:space="preserve">Adj. correlation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0.600</w:t>
                  </w:r>
                </w:p>
              </w:tc>
              <w:tc>
                <w:tcPr/>
                <w:p>
                  <w:pPr>
                    <w:pStyle w:val="Compact"/>
                    <w:jc w:val="left"/>
                    <w:jc w:val="left"/>
                  </w:pPr>
                  <w:r>
                    <w:t xml:space="preserve">0.961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0.655</w:t>
                  </w:r>
                </w:p>
              </w:tc>
              <w:tc>
                <w:tcPr/>
                <w:p>
                  <w:pPr>
                    <w:pStyle w:val="Compact"/>
                    <w:jc w:val="left"/>
                    <w:jc w:val="left"/>
                  </w:pPr>
                  <w:r>
                    <w:t xml:space="preserve">0.959</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0.747</w:t>
                  </w:r>
                </w:p>
              </w:tc>
              <w:tc>
                <w:tcPr/>
                <w:p>
                  <w:pPr>
                    <w:pStyle w:val="Compact"/>
                    <w:jc w:val="left"/>
                    <w:jc w:val="left"/>
                  </w:pPr>
                  <w:r>
                    <w:t xml:space="preserve">0.956</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0.684</w:t>
                  </w:r>
                </w:p>
              </w:tc>
              <w:tc>
                <w:tcPr/>
                <w:p>
                  <w:pPr>
                    <w:pStyle w:val="Compact"/>
                    <w:jc w:val="left"/>
                    <w:jc w:val="left"/>
                  </w:pPr>
                  <w:r>
                    <w:t xml:space="preserve">0.938</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0.932</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0.928</w:t>
                  </w:r>
                </w:p>
              </w:tc>
            </w:tr>
          </w:tbl>
          <w:p>
            <w:pPr>
              <w:jc w:val="left"/>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left"/>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for the raw statistics. Aur-P1 has more edges and a higher mean degree than Aur-P2 at every threshold, while Aur-P2 has the higher edge density because it has far fewer nodes (</w:t>
      </w:r>
      <w:hyperlink w:anchor="tbl-sens-stats">
        <w:r>
          <w:rPr>
            <w:rStyle w:val="Hyperlink"/>
          </w:rPr>
          <w:t xml:space="preserve">Table S 2</w:t>
        </w:r>
      </w:hyperlink>
      <w:r>
        <w:t xml:space="preserve">). Aur-P1 modularity stays in the range 0.223–0.347 across thresholds. These raw values do not show that either phase has more connectivity or community structure than chance;</w:t>
      </w:r>
      <w:r>
        <w:t xml:space="preserve"> </w:t>
      </w:r>
      <w:r>
        <w:t xml:space="preserve">Section S1.7.2</w:t>
      </w:r>
      <w:r>
        <w:t xml:space="preserve"> </w:t>
      </w:r>
      <w:r>
        <w:t xml:space="preserve">and</w:t>
      </w:r>
      <w:r>
        <w:t xml:space="preserve"> </w:t>
      </w:r>
      <w:r>
        <w:t xml:space="preserve">Section S1.7.6</w:t>
      </w:r>
      <w:r>
        <w:t xml:space="preserve"> </w:t>
      </w:r>
      <w:r>
        <w:t xml:space="preserve">test this.</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(Aur-P1 density 0.658), and the 2 Aur-P1 sites that are isolated at 0.2 become connected. At 0.3 the graph is sparser: Aur-P2 gains 2 isolates, and the number of Aur-P1 isolates stays at 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for Aur-P2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p>
    <w:p>
      <w:pPr>
        <w:numPr>
          <w:ilvl w:val="0"/>
          <w:numId w:val="1002"/>
        </w:numPr>
        <w:pStyle w:val="Compact"/>
      </w:pP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p>
    <w:p>
      <w:pPr>
        <w:numPr>
          <w:ilvl w:val="0"/>
          <w:numId w:val="1002"/>
        </w:numPr>
        <w:pStyle w:val="Compact"/>
      </w:pP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p>
    <w:p>
      <w:pPr>
        <w:numPr>
          <w:ilvl w:val="0"/>
          <w:numId w:val="1002"/>
        </w:numPr>
        <w:pStyle w:val="Compact"/>
      </w:pP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FirstParagraph"/>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Sørensen-Dice change community structure relative to Jaccard?</w:t>
      </w:r>
    </w:p>
    <w:p>
      <w:pPr>
        <w:pStyle w:val="BodyText"/>
      </w:pPr>
      <w:r>
        <w:rPr>
          <w:bCs/>
          <w:b/>
        </w:rPr>
        <w:t xml:space="preserve">Question: does the raw mean-degree difference between Aur-P1 and Aur-P2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871"/>
              <w:gridCol w:w="1188"/>
              <w:gridCol w:w="633"/>
              <w:gridCol w:w="792"/>
              <w:gridCol w:w="792"/>
              <w:gridCol w:w="950"/>
              <w:gridCol w:w="950"/>
              <w:gridCol w:w="950"/>
              <w:gridCol w:w="792"/>
            </w:tblGrid>
            <w:tr>
              <w:trPr>
                <w:tblHeader w:val="true"/>
              </w:trPr>
              <w:tc>
                <w:tcPr/>
                <w:p>
                  <w:pPr>
                    <w:pStyle w:val="Compact"/>
                    <w:jc w:val="left"/>
                    <w:jc w:val="left"/>
                  </w:pPr>
                  <w:r>
                    <w:t xml:space="preserve">Phase</w:t>
                  </w:r>
                </w:p>
              </w:tc>
              <w:tc>
                <w:tcPr/>
                <w:p>
                  <w:pPr>
                    <w:pStyle w:val="Compact"/>
                    <w:jc w:val="left"/>
                    <w:jc w:val="left"/>
                  </w:pPr>
                  <w:r>
                    <w:t xml:space="preserve">Metric</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jaccard</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jaccard</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sorensen</w:t>
                  </w:r>
                </w:p>
              </w:tc>
              <w:tc>
                <w:tcPr/>
                <w:p>
                  <w:pPr>
                    <w:pStyle w:val="Compact"/>
                    <w:jc w:val="left"/>
                    <w:jc w:val="left"/>
                  </w:pPr>
                  <w:r>
                    <w:t xml:space="preserve">113</w:t>
                  </w:r>
                </w:p>
              </w:tc>
              <w:tc>
                <w:tcPr/>
                <w:p>
                  <w:pPr>
                    <w:pStyle w:val="Compact"/>
                    <w:jc w:val="left"/>
                    <w:jc w:val="left"/>
                  </w:pPr>
                  <w:r>
                    <w:t xml:space="preserve">0.595</w:t>
                  </w:r>
                </w:p>
              </w:tc>
              <w:tc>
                <w:tcPr/>
                <w:p>
                  <w:pPr>
                    <w:pStyle w:val="Compact"/>
                    <w:jc w:val="left"/>
                    <w:jc w:val="left"/>
                  </w:pPr>
                  <w:r>
                    <w:t xml:space="preserve">1</w:t>
                  </w:r>
                </w:p>
              </w:tc>
              <w:tc>
                <w:tcPr/>
                <w:p>
                  <w:pPr>
                    <w:pStyle w:val="Compact"/>
                    <w:jc w:val="left"/>
                    <w:jc w:val="left"/>
                  </w:pPr>
                  <w:r>
                    <w:t xml:space="preserve">11.30</w:t>
                  </w:r>
                </w:p>
              </w:tc>
              <w:tc>
                <w:tcPr/>
                <w:p>
                  <w:pPr>
                    <w:pStyle w:val="Compact"/>
                    <w:jc w:val="left"/>
                    <w:jc w:val="left"/>
                  </w:pPr>
                  <w:r>
                    <w:t xml:space="preserve">0.798</w:t>
                  </w:r>
                </w:p>
              </w:tc>
              <w:tc>
                <w:tcPr/>
                <w:p>
                  <w:pPr>
                    <w:pStyle w:val="Compact"/>
                    <w:jc w:val="left"/>
                    <w:jc w:val="left"/>
                  </w:pPr>
                  <w:r>
                    <w:t xml:space="preserve">0.199</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sorensen</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0.058</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simpson</w:t>
                  </w:r>
                </w:p>
              </w:tc>
              <w:tc>
                <w:tcPr/>
                <w:p>
                  <w:pPr>
                    <w:pStyle w:val="Compact"/>
                    <w:jc w:val="left"/>
                    <w:jc w:val="left"/>
                  </w:pPr>
                  <w:r>
                    <w:t xml:space="preserve">148</w:t>
                  </w:r>
                </w:p>
              </w:tc>
              <w:tc>
                <w:tcPr/>
                <w:p>
                  <w:pPr>
                    <w:pStyle w:val="Compact"/>
                    <w:jc w:val="left"/>
                    <w:jc w:val="left"/>
                  </w:pPr>
                  <w:r>
                    <w:t xml:space="preserve">0.779</w:t>
                  </w:r>
                </w:p>
              </w:tc>
              <w:tc>
                <w:tcPr/>
                <w:p>
                  <w:pPr>
                    <w:pStyle w:val="Compact"/>
                    <w:jc w:val="left"/>
                    <w:jc w:val="left"/>
                  </w:pPr>
                  <w:r>
                    <w:t xml:space="preserve">0</w:t>
                  </w:r>
                </w:p>
              </w:tc>
              <w:tc>
                <w:tcPr/>
                <w:p>
                  <w:pPr>
                    <w:pStyle w:val="Compact"/>
                    <w:jc w:val="left"/>
                    <w:jc w:val="left"/>
                  </w:pPr>
                  <w:r>
                    <w:t xml:space="preserve">14.80</w:t>
                  </w:r>
                </w:p>
              </w:tc>
              <w:tc>
                <w:tcPr/>
                <w:p>
                  <w:pPr>
                    <w:pStyle w:val="Compact"/>
                    <w:jc w:val="left"/>
                    <w:jc w:val="left"/>
                  </w:pPr>
                  <w:r>
                    <w:t xml:space="preserve">0.921</w:t>
                  </w:r>
                </w:p>
              </w:tc>
              <w:tc>
                <w:tcPr/>
                <w:p>
                  <w:pPr>
                    <w:pStyle w:val="Compact"/>
                    <w:jc w:val="left"/>
                    <w:jc w:val="left"/>
                  </w:pPr>
                  <w:r>
                    <w:t xml:space="preserve">0.030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simpson</w:t>
                  </w:r>
                </w:p>
              </w:tc>
              <w:tc>
                <w:tcPr/>
                <w:p>
                  <w:pPr>
                    <w:pStyle w:val="Compact"/>
                    <w:jc w:val="left"/>
                    <w:jc w:val="left"/>
                  </w:pPr>
                  <w:r>
                    <w:t xml:space="preserve">32</w:t>
                  </w:r>
                </w:p>
              </w:tc>
              <w:tc>
                <w:tcPr/>
                <w:p>
                  <w:pPr>
                    <w:pStyle w:val="Compact"/>
                    <w:jc w:val="left"/>
                    <w:jc w:val="left"/>
                  </w:pPr>
                  <w:r>
                    <w:t xml:space="preserve">0.889</w:t>
                  </w:r>
                </w:p>
              </w:tc>
              <w:tc>
                <w:tcPr/>
                <w:p>
                  <w:pPr>
                    <w:pStyle w:val="Compact"/>
                    <w:jc w:val="left"/>
                    <w:jc w:val="left"/>
                  </w:pPr>
                  <w:r>
                    <w:t xml:space="preserve">0</w:t>
                  </w:r>
                </w:p>
              </w:tc>
              <w:tc>
                <w:tcPr/>
                <w:p>
                  <w:pPr>
                    <w:pStyle w:val="Compact"/>
                    <w:jc w:val="left"/>
                    <w:jc w:val="left"/>
                  </w:pPr>
                  <w:r>
                    <w:t xml:space="preserve">7.11</w:t>
                  </w:r>
                </w:p>
              </w:tc>
              <w:tc>
                <w:tcPr/>
                <w:p>
                  <w:pPr>
                    <w:pStyle w:val="Compact"/>
                    <w:jc w:val="left"/>
                    <w:jc w:val="left"/>
                  </w:pPr>
                  <w:r>
                    <w:t xml:space="preserve">0.900</w:t>
                  </w:r>
                </w:p>
              </w:tc>
              <w:tc>
                <w:tcPr/>
                <w:p>
                  <w:pPr>
                    <w:pStyle w:val="Compact"/>
                    <w:jc w:val="left"/>
                    <w:jc w:val="left"/>
                  </w:pPr>
                  <w:r>
                    <w:t xml:space="preserve">0.024</w:t>
                  </w:r>
                </w:p>
              </w:tc>
              <w:tc>
                <w:tcPr/>
                <w:p>
                  <w:pPr>
                    <w:pStyle w:val="Compact"/>
                    <w:jc w:val="left"/>
                    <w:jc w:val="left"/>
                  </w:pPr>
                  <w:r>
                    <w:t xml:space="preserve">2</w:t>
                  </w:r>
                </w:p>
              </w:tc>
            </w:tr>
          </w:tbl>
          <w:p>
            <w:pPr>
              <w:jc w:val="left"/>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left"/>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left"/>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for the raw edge count and mean degree. Aur-P1 has more edges and a higher mean degree than Aur-P2 under Jaccard, Sørensen-Dice and Simpson similarity. Aur-P2 has the higher edge density under all three metrics: 0.528 against 0.395 for Jaccard, 0.806 against 0.595 for Sørensen-Dice and 0.889 against 0.779 for Simpson. The higher edge count of Aur-P1 therefore comes from its larger number of sites (20 against 9)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Sørensen-Dice change community structure relative to Jaccard?</w:t>
      </w:r>
      <w:r>
        <w:t xml:space="preserve"> </w:t>
      </w:r>
      <w:r>
        <w:t xml:space="preserve">Yes. Sørensen-Dice similarity weakens the community structure. The double weight on shared presences raises more similarity scores above the 0.2 threshold, so Aur-P1 has 113 edges under Sørensen-Dice against 75 under Jaccard. Modularity falls from 0.336 to 0.199 in Aur-P1 and from 0.161 to 0.058 in Aur-P2. The number of communities falls from 4 to 3 in Aur-P1 and from 3 to 2 in Aur-P2 (</w:t>
      </w:r>
      <w:hyperlink w:anchor="tbl-metric-stats">
        <w:r>
          <w:rPr>
            <w:rStyle w:val="Hyperlink"/>
          </w:rPr>
          <w:t xml:space="preserve">Table S 4</w:t>
        </w:r>
      </w:hyperlink>
      <w:r>
        <w:t xml:space="preserve">). We did not compare hub sites between the two metrics.</w:t>
      </w:r>
    </w:p>
    <w:p>
      <w:pPr>
        <w:pStyle w:val="BodyText"/>
      </w:pPr>
      <w:r>
        <w:rPr>
          <w:bCs/>
          <w:b/>
        </w:rPr>
        <w:t xml:space="preserve">Question: does the raw mean-degree difference between Aur-P1 and Aur-P2 survive under Simpson similarity, which controls for richness asymmetry?</w:t>
      </w:r>
      <w:r>
        <w:t xml:space="preserve"> </w:t>
      </w:r>
      <w:r>
        <w:t xml:space="preserve">Yes. Under Simpson similarity, Aur-P1 has a mean degree of 14.80 and Aur-P2 has a mean degree of 7.11. Simpson similarity is J/min(A,B). A poor assemblage that is nested inside a rich one therefore gets a high score by construction (</w:t>
      </w:r>
      <w:r>
        <w:t xml:space="preserve">Section S1.10.3</w:t>
      </w:r>
      <w:r>
        <w:t xml:space="preserve">). This nestedness makes both Simpson networks dense: the edge density is 0.779 in Aur-P1 and 0.889 in Aur-P2. Aur-P2 is the denser network. The higher mean degree of Aur-P1 therefore comes from its larger number of sites (20 against 9), as under the other two metrics.</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left"/>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950"/>
              <w:gridCol w:w="554"/>
              <w:gridCol w:w="792"/>
              <w:gridCol w:w="950"/>
              <w:gridCol w:w="871"/>
              <w:gridCol w:w="1029"/>
              <w:gridCol w:w="950"/>
              <w:gridCol w:w="950"/>
              <w:gridCol w:w="871"/>
            </w:tblGrid>
            <w:tr>
              <w:trPr>
                <w:tblHeader w:val="true"/>
              </w:trPr>
              <w:tc>
                <w:tcPr/>
                <w:p>
                  <w:pPr>
                    <w:pStyle w:val="Compact"/>
                    <w:jc w:val="left"/>
                    <w:jc w:val="left"/>
                  </w:pPr>
                  <w:r>
                    <w:t xml:space="preserve">Phase</w:t>
                  </w:r>
                </w:p>
              </w:tc>
              <w:tc>
                <w:tcPr/>
                <w:p>
                  <w:pPr>
                    <w:pStyle w:val="Compact"/>
                    <w:jc w:val="left"/>
                    <w:jc w:val="left"/>
                  </w:pPr>
                  <w:r>
                    <w:t xml:space="preserve">n</w:t>
                  </w:r>
                </w:p>
              </w:tc>
              <w:tc>
                <w:tcPr/>
                <w:p>
                  <w:pPr>
                    <w:pStyle w:val="Compact"/>
                    <w:jc w:val="left"/>
                    <w:jc w:val="left"/>
                  </w:pPr>
                  <w:r>
                    <w:t xml:space="preserve">R² adj</w:t>
                  </w:r>
                </w:p>
              </w:tc>
              <w:tc>
                <w:tcPr/>
                <w:p>
                  <w:pPr>
                    <w:pStyle w:val="Compact"/>
                    <w:jc w:val="left"/>
                    <w:jc w:val="left"/>
                  </w:pPr>
                  <w:r>
                    <w:t xml:space="preserve">Richness coef</w:t>
                  </w:r>
                </w:p>
              </w:tc>
              <w:tc>
                <w:tcPr/>
                <w:p>
                  <w:pPr>
                    <w:pStyle w:val="Compact"/>
                    <w:jc w:val="left"/>
                    <w:jc w:val="left"/>
                  </w:pPr>
                  <w:r>
                    <w:t xml:space="preserve">Richness p</w:t>
                  </w:r>
                </w:p>
              </w:tc>
              <w:tc>
                <w:tcPr/>
                <w:p>
                  <w:pPr>
                    <w:pStyle w:val="Compact"/>
                    <w:jc w:val="left"/>
                    <w:jc w:val="left"/>
                  </w:pPr>
                  <w:r>
                    <w:t xml:space="preserve">Longitude coef</w:t>
                  </w:r>
                </w:p>
              </w:tc>
              <w:tc>
                <w:tcPr/>
                <w:p>
                  <w:pPr>
                    <w:pStyle w:val="Compact"/>
                    <w:jc w:val="left"/>
                    <w:jc w:val="left"/>
                  </w:pPr>
                  <w:r>
                    <w:t xml:space="preserve">Longitude p</w:t>
                  </w:r>
                </w:p>
              </w:tc>
              <w:tc>
                <w:tcPr/>
                <w:p>
                  <w:pPr>
                    <w:pStyle w:val="Compact"/>
                    <w:jc w:val="left"/>
                    <w:jc w:val="left"/>
                  </w:pPr>
                  <w:r>
                    <w:t xml:space="preserve">Latitude coef</w:t>
                  </w:r>
                </w:p>
              </w:tc>
              <w:tc>
                <w:tcPr/>
                <w:p>
                  <w:pPr>
                    <w:pStyle w:val="Compact"/>
                    <w:jc w:val="left"/>
                    <w:jc w:val="left"/>
                  </w:pPr>
                  <w:r>
                    <w:t xml:space="preserve">Latitude 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0.644</w:t>
                  </w:r>
                </w:p>
              </w:tc>
              <w:tc>
                <w:tcPr/>
                <w:p>
                  <w:pPr>
                    <w:pStyle w:val="Compact"/>
                    <w:jc w:val="left"/>
                    <w:jc w:val="left"/>
                  </w:pPr>
                  <w:r>
                    <w:t xml:space="preserve">-0.051</w:t>
                  </w:r>
                </w:p>
              </w:tc>
              <w:tc>
                <w:tcPr/>
                <w:p>
                  <w:pPr>
                    <w:pStyle w:val="Compact"/>
                    <w:jc w:val="left"/>
                    <w:jc w:val="left"/>
                  </w:pPr>
                  <w:r>
                    <w:t xml:space="preserve">&lt; 0.001</w:t>
                  </w:r>
                </w:p>
              </w:tc>
              <w:tc>
                <w:tcPr/>
                <w:p>
                  <w:pPr>
                    <w:pStyle w:val="Compact"/>
                    <w:jc w:val="left"/>
                    <w:jc w:val="left"/>
                  </w:pPr>
                  <w:r>
                    <w:t xml:space="preserve">0.040</w:t>
                  </w:r>
                </w:p>
              </w:tc>
              <w:tc>
                <w:tcPr/>
                <w:p>
                  <w:pPr>
                    <w:pStyle w:val="Compact"/>
                    <w:jc w:val="left"/>
                    <w:jc w:val="left"/>
                  </w:pPr>
                  <w:r>
                    <w:t xml:space="preserve">0.003</w:t>
                  </w:r>
                </w:p>
              </w:tc>
              <w:tc>
                <w:tcPr/>
                <w:p>
                  <w:pPr>
                    <w:pStyle w:val="Compact"/>
                    <w:jc w:val="left"/>
                    <w:jc w:val="left"/>
                  </w:pPr>
                  <w:r>
                    <w:t xml:space="preserve">-0.049</w:t>
                  </w:r>
                </w:p>
              </w:tc>
              <w:tc>
                <w:tcPr/>
                <w:p>
                  <w:pPr>
                    <w:pStyle w:val="Compact"/>
                    <w:jc w:val="left"/>
                    <w:jc w:val="left"/>
                  </w:pPr>
                  <w:r>
                    <w:t xml:space="preserve">0.061</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-0.214</w:t>
                  </w:r>
                </w:p>
              </w:tc>
              <w:tc>
                <w:tcPr/>
                <w:p>
                  <w:pPr>
                    <w:pStyle w:val="Compact"/>
                    <w:jc w:val="left"/>
                    <w:jc w:val="left"/>
                  </w:pPr>
                  <w:r>
                    <w:t xml:space="preserve">0.049</w:t>
                  </w:r>
                </w:p>
              </w:tc>
              <w:tc>
                <w:tcPr/>
                <w:p>
                  <w:pPr>
                    <w:pStyle w:val="Compact"/>
                    <w:jc w:val="left"/>
                    <w:jc w:val="left"/>
                  </w:pPr>
                  <w:r>
                    <w:t xml:space="preserve">0.376</w:t>
                  </w:r>
                </w:p>
              </w:tc>
              <w:tc>
                <w:tcPr/>
                <w:p>
                  <w:pPr>
                    <w:pStyle w:val="Compact"/>
                    <w:jc w:val="left"/>
                    <w:jc w:val="left"/>
                  </w:pPr>
                  <w:r>
                    <w:t xml:space="preserve">0.024</w:t>
                  </w:r>
                </w:p>
              </w:tc>
              <w:tc>
                <w:tcPr/>
                <w:p>
                  <w:pPr>
                    <w:pStyle w:val="Compact"/>
                    <w:jc w:val="left"/>
                    <w:jc w:val="left"/>
                  </w:pPr>
                  <w:r>
                    <w:t xml:space="preserve">0.388</w:t>
                  </w:r>
                </w:p>
              </w:tc>
              <w:tc>
                <w:tcPr/>
                <w:p>
                  <w:pPr>
                    <w:pStyle w:val="Compact"/>
                    <w:jc w:val="left"/>
                    <w:jc w:val="left"/>
                  </w:pPr>
                  <w:r>
                    <w:t xml:space="preserve">-0.059</w:t>
                  </w:r>
                </w:p>
              </w:tc>
              <w:tc>
                <w:tcPr/>
                <w:p>
                  <w:pPr>
                    <w:pStyle w:val="Compact"/>
                    <w:jc w:val="left"/>
                    <w:jc w:val="left"/>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higher raw mean degree of Aur-P1 does not depend on the similarity metric: Jaccard, Sørensen-Dice and Simpson similarity all give Aur-P1 more edges and a higher mean degree than Aur-P2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The community structure does depend on the metric: Aur-P1 modularity is 0.336 under Jaccard, 0.199 under Sørensen-Dice and 0.030 under Simpson. Under Simpson similarity a poor assemblage nested inside a rich one scores high by construction (</w:t>
      </w:r>
      <w:r>
        <w:t xml:space="preserve">Section S1.10.3</w:t>
      </w:r>
      <w:r>
        <w:t xml:space="preserve">), so the network becomes much denser and its community structure almost disappears. Nestedness, in which rich sites share most of the sign types of poor sites, explains why the Simpson networks are dense. It does not explain the phase difference in mean degree. Under all three metrics, that difference comes from the number of sites (20 in Aur-P1 against 9 in Aur-P2). In Aur-P1, the PCoA1 regression (</w:t>
      </w:r>
      <w:hyperlink w:anchor="tbl-pc1-axis-test">
        <w:r>
          <w:rPr>
            <w:rStyle w:val="Hyperlink"/>
          </w:rPr>
          <w:t xml:space="preserve">Table S 5</w:t>
        </w:r>
      </w:hyperlink>
      <w:r>
        <w:t xml:space="preserve">) also links the main gradient of sign-type composition to richness.</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 text reports this east–west component together with the weak dbRDA trend (</w:t>
      </w:r>
      <w:r>
        <w:t xml:space="preserve">Section S1.4.4</w:t>
      </w:r>
      <w:r>
        <w:t xml:space="preserve">).</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the choice of distance measure and the use of a single global correlation can each affect this result. This section checks the result in three ways: a comparison of geodesic and flat-coordinate distances,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These tests measure geographic distance as</w:t>
      </w:r>
      <w:r>
        <w:t xml:space="preserve"> </w:t>
      </w:r>
      <w:r>
        <w:rPr>
          <w:bCs/>
          <w:b/>
        </w:rPr>
        <w:t xml:space="preserve">geodesic distance in kilometres</w:t>
      </w:r>
      <w:r>
        <w:t xml:space="preserve">, computed with</w:t>
      </w:r>
      <w:r>
        <w:t xml:space="preserve"> </w:t>
      </w:r>
      <w:r>
        <w:rPr>
          <w:rStyle w:val="VerbatimChar"/>
        </w:rPr>
        <w:t xml:space="preserve">sf::st_distance()</w:t>
      </w:r>
      <w:r>
        <w:t xml:space="preserve">. A simpler alternative is the Euclidean distance between flat longitude and latitude coordinates (</w:t>
      </w:r>
      <w:r>
        <w:rPr>
          <w:rStyle w:val="VerbatimChar"/>
        </w:rPr>
        <w:t xml:space="preserve">dist(cbind(lon, lat))</w:t>
      </w:r>
      <w:r>
        <w:t xml:space="preserve">), which distorts east–west distances across European latitudes. Here we repeat the Mantel tests with both distance measures, to check that the result does not depend on the distance measure.</w:t>
      </w:r>
    </w:p>
    <w:p>
      <w:pPr>
        <w:pStyle w:val="BodyText"/>
      </w:pPr>
      <w:r>
        <w:rPr>
          <w:bCs/>
          <w:b/>
        </w:rPr>
        <w:t xml:space="preserve">Question: does the non-significant Mantel result hold under both geodesic and flat Euclidean distances?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pct" w:w="5000"/>
              <w:tblLook w:firstRow="1" w:lastRow="0" w:firstColumn="0" w:lastColumn="0" w:noHBand="0" w:noVBand="0" w:val="0020"/>
              <w:jc w:val="start"/>
              <w:tblLayout w:type="fixed"/>
            </w:tblPr>
            <w:tblGrid>
              <w:gridCol w:w="1742"/>
              <w:gridCol w:w="1504"/>
              <w:gridCol w:w="1504"/>
              <w:gridCol w:w="1663"/>
              <w:gridCol w:w="1504"/>
            </w:tblGrid>
            <w:tr>
              <w:trPr>
                <w:tblHeader w:val="true"/>
              </w:trPr>
              <w:tc>
                <w:tcPr/>
                <w:p>
                  <w:pPr>
                    <w:pStyle w:val="Compact"/>
                    <w:jc w:val="left"/>
                    <w:jc w:val="left"/>
                  </w:pPr>
                  <w:r>
                    <w:t xml:space="preserve">Phase</w:t>
                  </w:r>
                </w:p>
              </w:tc>
              <w:tc>
                <w:tcPr/>
                <w:p>
                  <w:pPr>
                    <w:pStyle w:val="Compact"/>
                    <w:jc w:val="left"/>
                    <w:jc w:val="left"/>
                  </w:pPr>
                  <w:r>
                    <w:t xml:space="preserve">Euclidean R</w:t>
                  </w:r>
                </w:p>
              </w:tc>
              <w:tc>
                <w:tcPr/>
                <w:p>
                  <w:pPr>
                    <w:pStyle w:val="Compact"/>
                    <w:jc w:val="left"/>
                    <w:jc w:val="left"/>
                  </w:pPr>
                  <w:r>
                    <w:t xml:space="preserve">Euclidean p</w:t>
                  </w:r>
                </w:p>
              </w:tc>
              <w:tc>
                <w:tcPr/>
                <w:p>
                  <w:pPr>
                    <w:pStyle w:val="Compact"/>
                    <w:jc w:val="left"/>
                    <w:jc w:val="left"/>
                  </w:pPr>
                  <w:r>
                    <w:t xml:space="preserve">Geodesic R (km)</w:t>
                  </w:r>
                </w:p>
              </w:tc>
              <w:tc>
                <w:tcPr/>
                <w:p>
                  <w:pPr>
                    <w:pStyle w:val="Compact"/>
                    <w:jc w:val="left"/>
                    <w:jc w:val="left"/>
                  </w:pPr>
                  <w:r>
                    <w:t xml:space="preserve">Geodesic p (km)</w:t>
                  </w:r>
                </w:p>
              </w:tc>
            </w:tr>
            <w:tr>
              <w:tc>
                <w:tcPr/>
                <w:p>
                  <w:pPr>
                    <w:pStyle w:val="Compact"/>
                    <w:jc w:val="left"/>
                    <w:jc w:val="left"/>
                  </w:pPr>
                  <w:r>
                    <w:t xml:space="preserve">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0.046</w:t>
                  </w:r>
                </w:p>
              </w:tc>
              <w:tc>
                <w:tcPr/>
                <w:p>
                  <w:pPr>
                    <w:pStyle w:val="Compact"/>
                    <w:jc w:val="left"/>
                    <w:jc w:val="left"/>
                  </w:pPr>
                  <w:r>
                    <w:t xml:space="preserve">0.301</w:t>
                  </w:r>
                </w:p>
              </w:tc>
            </w:tr>
            <w:tr>
              <w:tc>
                <w:tcPr/>
                <w:p>
                  <w:pPr>
                    <w:pStyle w:val="Compact"/>
                    <w:jc w:val="left"/>
                    <w:jc w:val="left"/>
                  </w:pPr>
                  <w:r>
                    <w:t xml:space="preserve">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-0.299</w:t>
                  </w:r>
                </w:p>
              </w:tc>
              <w:tc>
                <w:tcPr/>
                <w:p>
                  <w:pPr>
                    <w:pStyle w:val="Compact"/>
                    <w:jc w:val="left"/>
                    <w:jc w:val="left"/>
                  </w:pPr>
                  <w:r>
                    <w:t xml:space="preserve">0.967</w:t>
                  </w:r>
                </w:p>
              </w:tc>
            </w:tr>
          </w:tbl>
          <w:p>
            <w:pPr>
              <w:jc w:val="left"/>
            </w:pPr>
            <w:pPr>
              <w:jc w:val="start"/>
              <w:spacing w:before="200"/>
              <w:pStyle w:val="ImageCaption"/>
            </w:pPr>
            <w:r>
              <w:t xml:space="preserve">Table S 6: Comparison of Mantel test results (Mantel R and p-value) evaluating sign assemblage dissimilarity vs. spatial distance using flat coordinate Euclidean distance vs. geodesic distance in kilometres (the distance measure used in the main text).</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under both geodesic and flat Euclidean distances?</w:t>
      </w:r>
      <w:r>
        <w:t xml:space="preserve"> </w:t>
      </w:r>
      <w:r>
        <w:t xml:space="preserve">Yes. Neither distance measure gives a significant correlation in either phase:</w:t>
      </w:r>
    </w:p>
    <w:p>
      <w:pPr>
        <w:numPr>
          <w:ilvl w:val="0"/>
          <w:numId w:val="1003"/>
        </w:numPr>
        <w:pStyle w:val="Compact"/>
      </w:pPr>
      <w:r>
        <w:t xml:space="preserve">In</w:t>
      </w:r>
      <w:r>
        <w:t xml:space="preserve"> </w:t>
      </w:r>
      <w:r>
        <w:rPr>
          <w:bCs/>
          <w:b/>
        </w:rPr>
        <w:t xml:space="preserve">Aur-P1</w:t>
      </w:r>
      <w:r>
        <w:t xml:space="preserve">, the geodesic test gives</w:t>
      </w:r>
      <w:r>
        <w:t xml:space="preserve"> </w:t>
      </w:r>
      <m:oMath>
        <m:r>
          <m:t>R</m:t>
        </m:r>
      </m:oMath>
      <w:r>
        <w:t xml:space="preserve"> </w:t>
      </w:r>
      <w:r>
        <w:t xml:space="preserve">= 0.046 (p = 0.301) and the flat-coordinate test gives</w:t>
      </w:r>
      <w:r>
        <w:t xml:space="preserve"> </w:t>
      </w:r>
      <m:oMath>
        <m:r>
          <m:t>R</m:t>
        </m:r>
      </m:oMath>
      <w:r>
        <w:t xml:space="preserve"> </w:t>
      </w:r>
      <w:r>
        <w:t xml:space="preserve">= 0.026 (p = 0.371).</w:t>
      </w:r>
    </w:p>
    <w:p>
      <w:pPr>
        <w:numPr>
          <w:ilvl w:val="0"/>
          <w:numId w:val="1003"/>
        </w:numPr>
        <w:pStyle w:val="Compact"/>
      </w:pPr>
      <w:r>
        <w:t xml:space="preserve">In</w:t>
      </w:r>
      <w:r>
        <w:t xml:space="preserve"> </w:t>
      </w:r>
      <w:r>
        <w:rPr>
          <w:bCs/>
          <w:b/>
        </w:rPr>
        <w:t xml:space="preserve">Aur-P2</w:t>
      </w:r>
      <w:r>
        <w:t xml:space="preserve">, the geodesic test gives</w:t>
      </w:r>
      <w:r>
        <w:t xml:space="preserve"> </w:t>
      </w:r>
      <m:oMath>
        <m:r>
          <m:t>R</m:t>
        </m:r>
      </m:oMath>
      <w:r>
        <w:t xml:space="preserve"> </w:t>
      </w:r>
      <w:r>
        <w:t xml:space="preserve">= -0.299 (p = 0.967) and the flat-coordinate test gives</w:t>
      </w:r>
      <w:r>
        <w:t xml:space="preserve"> </w:t>
      </w:r>
      <m:oMath>
        <m:r>
          <m:t>R</m:t>
        </m:r>
      </m:oMath>
      <w:r>
        <w:t xml:space="preserve"> </w:t>
      </w:r>
      <w:r>
        <w:t xml:space="preserve">= -0.294 (p = 0.965).</w:t>
      </w:r>
    </w:p>
    <w:p>
      <w:pPr>
        <w:pStyle w:val="FirstParagraph"/>
      </w:pPr>
      <w:r>
        <w:t xml:space="preserve">The geodesic R values are the same as in the main-text Mantel tests. The p-values can differ slightly from the main text, because the two analyses use different random permutations.</w:t>
      </w:r>
    </w:p>
    <w:p>
      <w:pPr>
        <w:pStyle w:val="BodyText"/>
      </w:pPr>
      <w:r>
        <w:rPr>
          <w:bCs/>
          <w:b/>
        </w:rPr>
        <w:t xml:space="preserve">Implication for the main text.</w:t>
      </w:r>
      <w:r>
        <w:t xml:space="preserve"> </w:t>
      </w:r>
      <w:r>
        <w:t xml:space="preserve">The main-text Mantel tests already use geodesic kilometres. Flat coordinates give the same non-significant result in both phases, so the null result does not depend on the distance measure.</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95% interval on the single global Mantel R reported for each phase, by resampling objects within each site. This interval shows how stable R is when objects are resampled. It does not include the uncertainty that comes from the small number of sites, so it cannot measure statistical power. We therefore assess power separately, with the design calculations in</w:t>
      </w:r>
      <w:r>
        <w:t xml:space="preserve"> </w:t>
      </w:r>
      <w:r>
        <w:t xml:space="preserve">Section S1.13</w:t>
      </w:r>
      <w:r>
        <w:t xml:space="preserv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left"/>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left"/>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its bootstrap interval excludes zero. In Aur-P1 the bootstrap intervals of 2 lags also exclude zero, at mean distances of 380 and 536 km. These lags have small Mantel r values (-0.077 and 0.078), and their permutation p-values (0.318 and 0.393) are not significant. These limits come from the ecodist bootstrap, which recomputes r on random subsets of 90% of the sites. They show how much r varies between subsets of sites. The permutation p-value is the test of each lag. The correlograms therefore show no clear scale-dependent structure. This agrees with the global Mantel tests, which find no isolation-by-distance correlation in either phase. The trend-surface model in</w:t>
      </w:r>
      <w:r>
        <w:t xml:space="preserve"> </w:t>
      </w:r>
      <w:r>
        <w:t xml:space="preserve">Section S1.4.4</w:t>
      </w:r>
      <w:r>
        <w:t xml:space="preserve"> </w:t>
      </w:r>
      <w:r>
        <w:t xml:space="preserve">finds only a weak linear trend in Aur-P1.</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the object-within-site bootstrap is [-0.022, 0.086] for Aur-P1 and [-0.355, -0.231] for Aur-P2. Both intervals are narrow, because this bootstrap keeps the same sites and the same distances and resamples only the objects within each site. The intervals therefore show that each R is stable when objects are resampled. They do not include the uncertainty that comes from the small number of sites, and they do not measure statistical power. The Aur-P2 interval is entirely negative: in this phase, sites that are further apart tend to have more similar repertoires, which is the opposite of isolation by distance. The Mantel test is one-sided (it tests for a positive correlation), so its p-value does not test this negative association. We do not resample sites with replacement, because duplicate sites create pairs with distance 0 and dissimilarity 0. Statistical power is assessed with the design calculations in</w:t>
      </w:r>
      <w:r>
        <w:t xml:space="preserve"> </w:t>
      </w:r>
      <w:r>
        <w:t xml:space="preserve">Section S1.13</w:t>
      </w:r>
      <w:r>
        <w:t xml:space="preserve">. The non-significant Mantel results are therefore a lack of evidence for geographic structure, not evidence that it is absent, and they provide no support for any alternative cultural process (</w:t>
      </w:r>
      <w:r>
        <w:t xml:space="preserve">Section S1.8.2</w:t>
      </w:r>
      <w:r>
        <w:t xml:space="preserve">).</w:t>
      </w:r>
    </w:p>
    <w:p>
      <w:pPr>
        <w:pStyle w:val="BodyText"/>
      </w:pPr>
      <w:r>
        <w:rPr>
          <w:bCs/>
          <w:b/>
        </w:rPr>
        <w:t xml:space="preserve">Implication for the main text.</w:t>
      </w:r>
      <w:r>
        <w:t xml:space="preserve"> </w:t>
      </w:r>
      <w:r>
        <w:t xml:space="preserve">No short-lag structure in either phase; one nominally significant long-range lag in Aur-P2. The bootstrap intervals show that the Mantel R values are stable under object resampling; power is assessed in</w:t>
      </w:r>
      <w:r>
        <w:t xml:space="preserve"> </w:t>
      </w:r>
      <w:r>
        <w:t xml:space="preserve">Section S1.13</w:t>
      </w:r>
      <w:r>
        <w:t xml:space="preserv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pct" w:w="5000"/>
              <w:tblLook w:firstRow="1" w:lastRow="0" w:firstColumn="0" w:lastColumn="0" w:noHBand="0" w:noVBand="0" w:val="0020"/>
              <w:jc w:val="start"/>
              <w:tblLayout w:type="fixed"/>
            </w:tblPr>
            <w:tblGrid>
              <w:gridCol w:w="1900"/>
              <w:gridCol w:w="1504"/>
              <w:gridCol w:w="1504"/>
              <w:gridCol w:w="1504"/>
              <w:gridCol w:w="1504"/>
            </w:tblGrid>
            <w:tr>
              <w:trPr>
                <w:tblHeader w:val="true"/>
              </w:trPr>
              <w:tc>
                <w:tcPr/>
                <w:p>
                  <w:pPr>
                    <w:pStyle w:val="Compact"/>
                    <w:jc w:val="left"/>
                    <w:jc w:val="left"/>
                  </w:pPr>
                  <w:r>
                    <w:t xml:space="preserve">Phase</w:t>
                  </w:r>
                </w:p>
              </w:tc>
              <w:tc>
                <w:tcPr/>
                <w:p>
                  <w:pPr>
                    <w:pStyle w:val="Compact"/>
                    <w:jc w:val="left"/>
                    <w:jc w:val="left"/>
                  </w:pPr>
                  <w:r>
                    <w:t xml:space="preserve">dbRDA R2</w:t>
                  </w:r>
                </w:p>
              </w:tc>
              <w:tc>
                <w:tcPr/>
                <w:p>
                  <w:pPr>
                    <w:pStyle w:val="Compact"/>
                    <w:jc w:val="left"/>
                    <w:jc w:val="left"/>
                  </w:pPr>
                  <w:r>
                    <w:t xml:space="preserve">dbRDA adjR2</w:t>
                  </w:r>
                </w:p>
              </w:tc>
              <w:tc>
                <w:tcPr/>
                <w:p>
                  <w:pPr>
                    <w:pStyle w:val="Compact"/>
                    <w:jc w:val="left"/>
                    <w:jc w:val="left"/>
                  </w:pPr>
                  <w:r>
                    <w:t xml:space="preserve">dbRDA F</w:t>
                  </w:r>
                </w:p>
              </w:tc>
              <w:tc>
                <w:tcPr/>
                <w:p>
                  <w:pPr>
                    <w:pStyle w:val="Compact"/>
                    <w:jc w:val="left"/>
                    <w:jc w:val="left"/>
                  </w:pPr>
                  <w:r>
                    <w:t xml:space="preserve">dbRDA p</w:t>
                  </w:r>
                </w:p>
              </w:tc>
            </w:tr>
            <w:tr>
              <w:tc>
                <w:tcPr/>
                <w:p>
                  <w:pPr>
                    <w:pStyle w:val="Compact"/>
                    <w:jc w:val="left"/>
                    <w:jc w:val="left"/>
                  </w:pPr>
                  <w:r>
                    <w:t xml:space="preserve">Aur-P1</w:t>
                  </w:r>
                </w:p>
              </w:tc>
              <w:tc>
                <w:tcPr/>
                <w:p>
                  <w:pPr>
                    <w:pStyle w:val="Compact"/>
                    <w:jc w:val="left"/>
                    <w:jc w:val="left"/>
                  </w:pPr>
                  <w:r>
                    <w:t xml:space="preserve">0.156</w:t>
                  </w:r>
                </w:p>
              </w:tc>
              <w:tc>
                <w:tcPr/>
                <w:p>
                  <w:pPr>
                    <w:pStyle w:val="Compact"/>
                    <w:jc w:val="left"/>
                    <w:jc w:val="left"/>
                  </w:pPr>
                  <w:r>
                    <w:t xml:space="preserve">0.057</w:t>
                  </w:r>
                </w:p>
              </w:tc>
              <w:tc>
                <w:tcPr/>
                <w:p>
                  <w:pPr>
                    <w:pStyle w:val="Compact"/>
                    <w:jc w:val="left"/>
                    <w:jc w:val="left"/>
                  </w:pPr>
                  <w:r>
                    <w:t xml:space="preserve">1.573</w:t>
                  </w:r>
                </w:p>
              </w:tc>
              <w:tc>
                <w:tcPr/>
                <w:p>
                  <w:pPr>
                    <w:pStyle w:val="Compact"/>
                    <w:jc w:val="left"/>
                    <w:jc w:val="left"/>
                  </w:pPr>
                  <w:r>
                    <w:t xml:space="preserve">0.038</w:t>
                  </w:r>
                </w:p>
              </w:tc>
            </w:tr>
            <w:tr>
              <w:tc>
                <w:tcPr/>
                <w:p>
                  <w:pPr>
                    <w:pStyle w:val="Compact"/>
                    <w:jc w:val="left"/>
                    <w:jc w:val="left"/>
                  </w:pPr>
                  <w:r>
                    <w:t xml:space="preserve">Aur-P2</w:t>
                  </w:r>
                </w:p>
              </w:tc>
              <w:tc>
                <w:tcPr/>
                <w:p>
                  <w:pPr>
                    <w:pStyle w:val="Compact"/>
                    <w:jc w:val="left"/>
                    <w:jc w:val="left"/>
                  </w:pPr>
                  <w:r>
                    <w:t xml:space="preserve">0.191</w:t>
                  </w:r>
                </w:p>
              </w:tc>
              <w:tc>
                <w:tcPr/>
                <w:p>
                  <w:pPr>
                    <w:pStyle w:val="Compact"/>
                    <w:jc w:val="left"/>
                    <w:jc w:val="left"/>
                  </w:pPr>
                  <w:r>
                    <w:t xml:space="preserve">-0.078</w:t>
                  </w:r>
                </w:p>
              </w:tc>
              <w:tc>
                <w:tcPr/>
                <w:p>
                  <w:pPr>
                    <w:pStyle w:val="Compact"/>
                    <w:jc w:val="left"/>
                    <w:jc w:val="left"/>
                  </w:pPr>
                  <w:r>
                    <w:t xml:space="preserve">0.709</w:t>
                  </w:r>
                </w:p>
              </w:tc>
              <w:tc>
                <w:tcPr/>
                <w:p>
                  <w:pPr>
                    <w:pStyle w:val="Compact"/>
                    <w:jc w:val="left"/>
                    <w:jc w:val="left"/>
                  </w:pPr>
                  <w:r>
                    <w:t xml:space="preserve">0.850</w:t>
                  </w:r>
                </w:p>
              </w:tc>
            </w:tr>
          </w:tbl>
          <w:p>
            <w:pPr>
              <w:jc w:val="left"/>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R² is small (0.057): longitude and latitude explain only about 6% of the variation in sign composition.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 Shao et al.</w:t>
      </w:r>
      <w:r>
        <w:t xml:space="preserve"> </w:t>
      </w:r>
      <w:r>
        <w:t xml:space="preserve">[3]</w:t>
      </w:r>
      <w:r>
        <w:t xml:space="preserve">, which merges the Proto- and Early Aurignacian into a single early phase (Aur-P1, 43–37 ka cal BP) and treats the Evolved/Late Aurignacian as a single late phase (Aur-P2, 37–32 ka cal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 Teyssandier and Zilhão</w:t>
      </w:r>
      <w:r>
        <w:t xml:space="preserve"> </w:t>
      </w:r>
      <w:r>
        <w:t xml:space="preserve">[4]</w:t>
      </w:r>
      <w:r>
        <w:t xml:space="preserve">, with the Evolved–Late boundary at 35 ka cal BP. This section answers three specific questions:</w:t>
      </w:r>
    </w:p>
    <w:p>
      <w:pPr>
        <w:pStyle w:val="BodyText"/>
      </w:pPr>
      <w:r>
        <w:rPr>
          <w:bCs/>
          <w:b/>
        </w:rPr>
        <w:t xml:space="preserve">Question: which technology-assigned component carries the raw mean-degree difference between Aur-P1 and Aur-P2?</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217"/>
              <w:gridCol w:w="792"/>
              <w:gridCol w:w="871"/>
              <w:gridCol w:w="950"/>
              <w:gridCol w:w="1108"/>
              <w:gridCol w:w="1029"/>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 (Proto + Early)</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 (Evolved)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376"/>
              <w:gridCol w:w="712"/>
              <w:gridCol w:w="871"/>
              <w:gridCol w:w="871"/>
              <w:gridCol w:w="1029"/>
              <w:gridCol w:w="1029"/>
              <w:gridCol w:w="1029"/>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raw mean-degree difference between Aur-P1 and Aur-P2?</w:t>
      </w:r>
      <w:r>
        <w:t xml:space="preserve"> </w:t>
      </w:r>
      <w:r>
        <w:t xml:space="preserve">The Early component. Decomposing the two-phase baseline into its technology-assigned components shows that the Early Aurignacian (mean degree = 5.38, 35 edges across 13 sites) has the highest mean degree, higher than that of Aur-P2 (4.22, 19 edges). The relict Proto-Aurignacian, the component that survives after technology-based reassignment moved the well-sampled Swabian and Périgord sites to the Early Aurignacian (</w:t>
      </w:r>
      <w:r>
        <w:t xml:space="preserve">Section S1.5.5</w:t>
      </w:r>
      <w:r>
        <w:t xml:space="preserve">), is the least connected of the three (mean degree 2.57 across 7 sites and 9 edges). The reclassified Proto-Aurignacian sample is too small and too weakly connected to support network-level claims of its own, which is one reason for merging it with the Early Aurignacian. The merged Aur-P1 mean degree (7.50) comes mainly from the Early component.</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raw mean-degree difference between the early and late Aurignacian persists whether the early sequence is analysed as a single phase or as its separate Proto and Early components.</w:t>
      </w:r>
      <w:r>
        <w:t xml:space="preserve"> </w:t>
      </w:r>
      <w:r>
        <w:t xml:space="preserve">Section S1.7.6</w:t>
      </w:r>
      <w:r>
        <w:t xml:space="preserve"> </w:t>
      </w:r>
      <w:r>
        <w:t xml:space="preserve">shows that this raw difference reflects network size.</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Modularity keeps the same raw order as in the two-phase scheme.</w:t>
      </w:r>
      <w:r>
        <w:t xml:space="preserve"> </w:t>
      </w:r>
      <w:r>
        <w:t xml:space="preserve">Modularity is highest in the Early component (0.307), lower in the Evolved component (0.161) and lowest in the relict Proto component (0.108). In the two-phase scheme, Aur-P1 modularity (0.336) is also higher than Aur-P2 modularity (0.161) (</w:t>
      </w:r>
      <w:hyperlink w:anchor="tbl-two-phase-ref">
        <w:r>
          <w:rPr>
            <w:rStyle w:val="Hyperlink"/>
          </w:rPr>
          <w:t xml:space="preserve">Table S 8</w:t>
        </w:r>
      </w:hyperlink>
      <w:r>
        <w:t xml:space="preserve">). These are raw values. They do not show that either phase has more community structure than chance.</w:t>
      </w:r>
      <w:r>
        <w:t xml:space="preserve"> </w:t>
      </w:r>
      <w:r>
        <w:t xml:space="preserve">Section S1.7.2</w:t>
      </w:r>
      <w:r>
        <w:t xml:space="preserve"> </w:t>
      </w:r>
      <w:r>
        <w:t xml:space="preserve">finds that the modularity of neither phase is higher than its null expectation, and</w:t>
      </w:r>
      <w:r>
        <w:t xml:space="preserve"> </w:t>
      </w:r>
      <w:r>
        <w:t xml:space="preserve">Section S1.5.5</w:t>
      </w:r>
      <w:r>
        <w:t xml:space="preserve"> </w:t>
      </w:r>
      <w:r>
        <w:t xml:space="preserve">shows that the order of the two phases reverses under date-based assignment.</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2534"/>
              <w:gridCol w:w="712"/>
              <w:gridCol w:w="871"/>
              <w:gridCol w:w="871"/>
              <w:gridCol w:w="1029"/>
              <w:gridCol w:w="950"/>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(37.8-35 ka cal BP)</w:t>
                  </w:r>
                </w:p>
              </w:tc>
              <w:tc>
                <w:tcPr/>
                <w:p>
                  <w:pPr>
                    <w:pStyle w:val="Compact"/>
                    <w:jc w:val="left"/>
                    <w:jc w:val="left"/>
                  </w:pPr>
                  <w:r>
                    <w:t xml:space="preserve">7</w:t>
                  </w:r>
                </w:p>
              </w:tc>
              <w:tc>
                <w:tcPr/>
                <w:p>
                  <w:pPr>
                    <w:pStyle w:val="Compact"/>
                    <w:jc w:val="left"/>
                    <w:jc w:val="left"/>
                  </w:pPr>
                  <w:r>
                    <w:t xml:space="preserve">13</w:t>
                  </w:r>
                </w:p>
              </w:tc>
              <w:tc>
                <w:tcPr/>
                <w:p>
                  <w:pPr>
                    <w:pStyle w:val="Compact"/>
                    <w:jc w:val="left"/>
                    <w:jc w:val="left"/>
                  </w:pPr>
                  <w:r>
                    <w:t xml:space="preserve">0.619</w:t>
                  </w:r>
                </w:p>
              </w:tc>
              <w:tc>
                <w:tcPr/>
                <w:p>
                  <w:pPr>
                    <w:pStyle w:val="Compact"/>
                    <w:jc w:val="left"/>
                    <w:jc w:val="left"/>
                  </w:pPr>
                  <w:r>
                    <w:t xml:space="preserve">3.71</w:t>
                  </w:r>
                </w:p>
              </w:tc>
              <w:tc>
                <w:tcPr/>
                <w:p>
                  <w:pPr>
                    <w:pStyle w:val="Compact"/>
                    <w:jc w:val="left"/>
                    <w:jc w:val="left"/>
                  </w:pPr>
                  <w:r>
                    <w:t xml:space="preserve">0.659</w:t>
                  </w:r>
                </w:p>
              </w:tc>
              <w:tc>
                <w:tcPr/>
                <w:p>
                  <w:pPr>
                    <w:pStyle w:val="Compact"/>
                    <w:jc w:val="left"/>
                    <w:jc w:val="left"/>
                  </w:pPr>
                  <w:r>
                    <w:t xml:space="preserve">0.128</w:t>
                  </w:r>
                </w:p>
              </w:tc>
            </w:tr>
            <w:tr>
              <w:tc>
                <w:tcPr/>
                <w:p>
                  <w:pPr>
                    <w:pStyle w:val="Compact"/>
                    <w:jc w:val="left"/>
                    <w:jc w:val="left"/>
                  </w:pPr>
                  <w:r>
                    <w:t xml:space="preserve">Late Aurignacian (35-32 ka cal BP)</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0.000</w:t>
                  </w:r>
                </w:p>
              </w:tc>
              <w:tc>
                <w:tcPr/>
                <w:p>
                  <w:pPr>
                    <w:pStyle w:val="Compact"/>
                    <w:jc w:val="left"/>
                    <w:jc w:val="left"/>
                  </w:pPr>
                  <w:r>
                    <w:t xml:space="preserve">0.00</w:t>
                  </w:r>
                </w:p>
              </w:tc>
              <w:tc>
                <w:tcPr/>
                <w:p>
                  <w:pPr>
                    <w:pStyle w:val="Compact"/>
                    <w:jc w:val="left"/>
                    <w:jc w:val="left"/>
                  </w:pPr>
                  <w:r>
                    <w:t xml:space="preserve">NaN</w:t>
                  </w:r>
                </w:p>
              </w:tc>
              <w:tc>
                <w:tcPr/>
                <w:p>
                  <w:pPr>
                    <w:pStyle w:val="Compact"/>
                    <w:jc w:val="left"/>
                    <w:jc w:val="left"/>
                  </w:pPr>
                  <w:r>
                    <w:t xml:space="preserve">NaN</w:t>
                  </w:r>
                </w:p>
              </w:tc>
            </w:tr>
          </w:tbl>
          <w:p>
            <w:pPr>
              <w:jc w:val="left"/>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 Teyssandier and Zilhão</w:t>
            </w:r>
            <w:r>
              <w:t xml:space="preserve"> </w:t>
            </w:r>
            <w:r>
              <w:t xml:space="preserve">[4]</w:t>
            </w:r>
            <w:r>
              <w:t xml:space="preserve">, with the boundary at 35 ka cal BP.</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 Teyssandier and Zilhão</w:t>
      </w:r>
      <w:r>
        <w:t xml:space="preserve"> </w:t>
      </w:r>
      <w:r>
        <w:t xml:space="preserve">[4]</w:t>
      </w:r>
      <w:r>
        <w:t xml:space="preserve"> </w:t>
      </w:r>
      <w:r>
        <w:t xml:space="preserve">distinguishes Proto, Early (Aurignacian I), Evolved (Aurignacian II), and Late (Aurignacian III-IV) phases. The Early–Evolved transition has been dated to 37.0–36.5 ka cal BP, and the Late Aurignacian is associated with the terminal phase of the technocomplex before the onset of the Gravettian. Splitting the Evolved Aurignacian (Aur-P2) at 35 ka cal BP into Evolved and Late sub-phases tests whether Aur-P2’s connectivity is internally differentiated. The Evolved Aurignacian (37.8–35 ka cal BP) retains moderate connectivity with 13 edges and a mean degree of 3.71 across 7 sites, while the Late Aurignacian (35–32 ka cal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Under the date rule alone, with one median date per site, the older end assigns 19 sites to Aur-P1 and 9 to Aur-P2. The technology-based baseline instead has 20 Aur-P1 units and 9 Aur-P2 units: the technology-based overrides move La Ferrassie to Aur-P1 and Mladeč to Aur-P2, and the layer-level override places the AH V assemblage of Hohle Fels in Aur-P1 and its upper horizons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84"/>
              <w:gridCol w:w="950"/>
              <w:gridCol w:w="950"/>
              <w:gridCol w:w="950"/>
              <w:gridCol w:w="950"/>
              <w:gridCol w:w="950"/>
              <w:gridCol w:w="950"/>
              <w:gridCol w:w="633"/>
            </w:tblGrid>
            <w:tr>
              <w:trPr>
                <w:tblHeader w:val="true"/>
              </w:trPr>
              <w:tc>
                <w:tcPr/>
                <w:p>
                  <w:pPr>
                    <w:pStyle w:val="Compact"/>
                    <w:jc w:val="left"/>
                    <w:jc w:val="left"/>
                  </w:pPr>
                  <w:r>
                    <w:t xml:space="preserve">Site</w:t>
                  </w:r>
                </w:p>
              </w:tc>
              <w:tc>
                <w:tcPr/>
                <w:p>
                  <w:pPr>
                    <w:pStyle w:val="Compact"/>
                    <w:jc w:val="left"/>
                    <w:jc w:val="left"/>
                  </w:pPr>
                  <w:r>
                    <w:t xml:space="preserve">MedianBP (older)</w:t>
                  </w:r>
                </w:p>
              </w:tc>
              <w:tc>
                <w:tcPr/>
                <w:p>
                  <w:pPr>
                    <w:pStyle w:val="Compact"/>
                    <w:jc w:val="left"/>
                    <w:jc w:val="left"/>
                  </w:pPr>
                  <w:r>
                    <w:t xml:space="preserve">Phase (older)</w:t>
                  </w:r>
                </w:p>
              </w:tc>
              <w:tc>
                <w:tcPr/>
                <w:p>
                  <w:pPr>
                    <w:pStyle w:val="Compact"/>
                    <w:jc w:val="left"/>
                    <w:jc w:val="left"/>
                  </w:pPr>
                  <w:r>
                    <w:t xml:space="preserve">MedianBP (midpoint)</w:t>
                  </w:r>
                </w:p>
              </w:tc>
              <w:tc>
                <w:tcPr/>
                <w:p>
                  <w:pPr>
                    <w:pStyle w:val="Compact"/>
                    <w:jc w:val="left"/>
                    <w:jc w:val="left"/>
                  </w:pPr>
                  <w:r>
                    <w:t xml:space="preserve">Phase (midpoint)</w:t>
                  </w:r>
                </w:p>
              </w:tc>
              <w:tc>
                <w:tcPr/>
                <w:p>
                  <w:pPr>
                    <w:pStyle w:val="Compact"/>
                    <w:jc w:val="left"/>
                    <w:jc w:val="left"/>
                  </w:pPr>
                  <w:r>
                    <w:t xml:space="preserve">MedianBP (younger)</w:t>
                  </w:r>
                </w:p>
              </w:tc>
              <w:tc>
                <w:tcPr/>
                <w:p>
                  <w:pPr>
                    <w:pStyle w:val="Compact"/>
                    <w:jc w:val="left"/>
                    <w:jc w:val="left"/>
                  </w:pPr>
                  <w:r>
                    <w:t xml:space="preserve">Phase (younger)</w:t>
                  </w:r>
                </w:p>
              </w:tc>
              <w:tc>
                <w:tcPr/>
                <w:p>
                  <w:pPr>
                    <w:pStyle w:val="Compact"/>
                    <w:jc w:val="left"/>
                    <w:jc w:val="left"/>
                  </w:pPr>
                  <w:r>
                    <w:t xml:space="preserve">Changes</w:t>
                  </w:r>
                </w:p>
              </w:tc>
            </w:tr>
            <w:tr>
              <w:tc>
                <w:tcPr/>
                <w:p>
                  <w:pPr>
                    <w:pStyle w:val="Compact"/>
                    <w:jc w:val="left"/>
                    <w:jc w:val="left"/>
                  </w:pPr>
                  <w:r>
                    <w:t xml:space="preserve">Abri Pataud</w:t>
                  </w:r>
                </w:p>
              </w:tc>
              <w:tc>
                <w:tcPr/>
                <w:p>
                  <w:pPr>
                    <w:pStyle w:val="Compact"/>
                    <w:jc w:val="left"/>
                    <w:jc w:val="left"/>
                  </w:pPr>
                  <w:r>
                    <w:t xml:space="preserve">40127</w:t>
                  </w:r>
                </w:p>
              </w:tc>
              <w:tc>
                <w:tcPr/>
                <w:p>
                  <w:pPr>
                    <w:pStyle w:val="Compact"/>
                    <w:jc w:val="left"/>
                    <w:jc w:val="left"/>
                  </w:pPr>
                  <w:r>
                    <w:t xml:space="preserve">Aur-P1</w:t>
                  </w:r>
                </w:p>
              </w:tc>
              <w:tc>
                <w:tcPr/>
                <w:p>
                  <w:pPr>
                    <w:pStyle w:val="Compact"/>
                    <w:jc w:val="left"/>
                    <w:jc w:val="left"/>
                  </w:pPr>
                  <w:r>
                    <w:t xml:space="preserve">37854</w:t>
                  </w:r>
                </w:p>
              </w:tc>
              <w:tc>
                <w:tcPr/>
                <w:p>
                  <w:pPr>
                    <w:pStyle w:val="Compact"/>
                    <w:jc w:val="left"/>
                    <w:jc w:val="left"/>
                  </w:pPr>
                  <w:r>
                    <w:t xml:space="preserve">Aur-P1</w:t>
                  </w:r>
                </w:p>
              </w:tc>
              <w:tc>
                <w:tcPr/>
                <w:p>
                  <w:pPr>
                    <w:pStyle w:val="Compact"/>
                    <w:jc w:val="left"/>
                    <w:jc w:val="left"/>
                  </w:pPr>
                  <w:r>
                    <w:t xml:space="preserve">35580</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Bockstein-Törle</w:t>
                  </w:r>
                </w:p>
              </w:tc>
              <w:tc>
                <w:tcPr/>
                <w:p>
                  <w:pPr>
                    <w:pStyle w:val="Compact"/>
                    <w:jc w:val="left"/>
                    <w:jc w:val="left"/>
                  </w:pPr>
                  <w:r>
                    <w:t xml:space="preserve">35872</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Castanet</w:t>
                  </w:r>
                </w:p>
              </w:tc>
              <w:tc>
                <w:tcPr/>
                <w:p>
                  <w:pPr>
                    <w:pStyle w:val="Compact"/>
                    <w:jc w:val="left"/>
                    <w:jc w:val="left"/>
                  </w:pPr>
                  <w:r>
                    <w:t xml:space="preserve">39413</w:t>
                  </w:r>
                </w:p>
              </w:tc>
              <w:tc>
                <w:tcPr/>
                <w:p>
                  <w:pPr>
                    <w:pStyle w:val="Compact"/>
                    <w:jc w:val="left"/>
                    <w:jc w:val="left"/>
                  </w:pPr>
                  <w:r>
                    <w:t xml:space="preserve">Aur-P1</w:t>
                  </w:r>
                </w:p>
              </w:tc>
              <w:tc>
                <w:tcPr/>
                <w:p>
                  <w:pPr>
                    <w:pStyle w:val="Compact"/>
                    <w:jc w:val="left"/>
                    <w:jc w:val="left"/>
                  </w:pPr>
                  <w:r>
                    <w:t xml:space="preserve">37829</w:t>
                  </w:r>
                </w:p>
              </w:tc>
              <w:tc>
                <w:tcPr/>
                <w:p>
                  <w:pPr>
                    <w:pStyle w:val="Compact"/>
                    <w:jc w:val="left"/>
                    <w:jc w:val="left"/>
                  </w:pPr>
                  <w:r>
                    <w:t xml:space="preserve">Aur-P1</w:t>
                  </w:r>
                </w:p>
              </w:tc>
              <w:tc>
                <w:tcPr/>
                <w:p>
                  <w:pPr>
                    <w:pStyle w:val="Compact"/>
                    <w:jc w:val="left"/>
                    <w:jc w:val="left"/>
                  </w:pPr>
                  <w:r>
                    <w:t xml:space="preserve">36245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37624</w:t>
                  </w:r>
                </w:p>
              </w:tc>
              <w:tc>
                <w:tcPr/>
                <w:p>
                  <w:pPr>
                    <w:pStyle w:val="Compact"/>
                    <w:jc w:val="left"/>
                    <w:jc w:val="left"/>
                  </w:pPr>
                  <w:r>
                    <w:t xml:space="preserve">Aur-P2</w:t>
                  </w:r>
                </w:p>
              </w:tc>
              <w:tc>
                <w:tcPr/>
                <w:p>
                  <w:pPr>
                    <w:pStyle w:val="Compact"/>
                    <w:jc w:val="left"/>
                    <w:jc w:val="left"/>
                  </w:pPr>
                  <w:r>
                    <w:t xml:space="preserve">36855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42561</w:t>
                  </w:r>
                </w:p>
              </w:tc>
              <w:tc>
                <w:tcPr/>
                <w:p>
                  <w:pPr>
                    <w:pStyle w:val="Compact"/>
                    <w:jc w:val="left"/>
                    <w:jc w:val="left"/>
                  </w:pPr>
                  <w:r>
                    <w:t xml:space="preserve">Aur-P1</w:t>
                  </w:r>
                </w:p>
              </w:tc>
              <w:tc>
                <w:tcPr/>
                <w:p>
                  <w:pPr>
                    <w:pStyle w:val="Compact"/>
                    <w:jc w:val="left"/>
                    <w:jc w:val="left"/>
                  </w:pPr>
                  <w:r>
                    <w:t xml:space="preserve">39406</w:t>
                  </w:r>
                </w:p>
              </w:tc>
              <w:tc>
                <w:tcPr/>
                <w:p>
                  <w:pPr>
                    <w:pStyle w:val="Compact"/>
                    <w:jc w:val="left"/>
                    <w:jc w:val="left"/>
                  </w:pPr>
                  <w:r>
                    <w:t xml:space="preserve">Aur-P1</w:t>
                  </w:r>
                </w:p>
              </w:tc>
              <w:tc>
                <w:tcPr/>
                <w:p>
                  <w:pPr>
                    <w:pStyle w:val="Compact"/>
                    <w:jc w:val="left"/>
                    <w:jc w:val="left"/>
                  </w:pPr>
                  <w:r>
                    <w:t xml:space="preserve">36252</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Geissenklösterle</w:t>
                  </w:r>
                </w:p>
              </w:tc>
              <w:tc>
                <w:tcPr/>
                <w:p>
                  <w:pPr>
                    <w:pStyle w:val="Compact"/>
                    <w:jc w:val="left"/>
                    <w:jc w:val="left"/>
                  </w:pPr>
                  <w:r>
                    <w:t xml:space="preserve">40747</w:t>
                  </w:r>
                </w:p>
              </w:tc>
              <w:tc>
                <w:tcPr/>
                <w:p>
                  <w:pPr>
                    <w:pStyle w:val="Compact"/>
                    <w:jc w:val="left"/>
                    <w:jc w:val="left"/>
                  </w:pPr>
                  <w:r>
                    <w:t xml:space="preserve">Aur-P1</w:t>
                  </w:r>
                </w:p>
              </w:tc>
              <w:tc>
                <w:tcPr/>
                <w:p>
                  <w:pPr>
                    <w:pStyle w:val="Compact"/>
                    <w:jc w:val="left"/>
                    <w:jc w:val="left"/>
                  </w:pPr>
                  <w:r>
                    <w:t xml:space="preserve">37898</w:t>
                  </w:r>
                </w:p>
              </w:tc>
              <w:tc>
                <w:tcPr/>
                <w:p>
                  <w:pPr>
                    <w:pStyle w:val="Compact"/>
                    <w:jc w:val="left"/>
                    <w:jc w:val="left"/>
                  </w:pPr>
                  <w:r>
                    <w:t xml:space="preserve">Aur-P1</w:t>
                  </w:r>
                </w:p>
              </w:tc>
              <w:tc>
                <w:tcPr/>
                <w:p>
                  <w:pPr>
                    <w:pStyle w:val="Compact"/>
                    <w:jc w:val="left"/>
                    <w:jc w:val="left"/>
                  </w:pPr>
                  <w:r>
                    <w:t xml:space="preserve">35049</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 de la Verpillière I</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Grottes de Fonds-de-Forêt</w:t>
                  </w:r>
                </w:p>
              </w:tc>
              <w:tc>
                <w:tcPr/>
                <w:p>
                  <w:pPr>
                    <w:pStyle w:val="Compact"/>
                    <w:jc w:val="left"/>
                    <w:jc w:val="left"/>
                  </w:pPr>
                  <w:r>
                    <w:t xml:space="preserve">38509</w:t>
                  </w:r>
                </w:p>
              </w:tc>
              <w:tc>
                <w:tcPr/>
                <w:p>
                  <w:pPr>
                    <w:pStyle w:val="Compact"/>
                    <w:jc w:val="left"/>
                    <w:jc w:val="left"/>
                  </w:pPr>
                  <w:r>
                    <w:t xml:space="preserve">Aur-P1</w:t>
                  </w:r>
                </w:p>
              </w:tc>
              <w:tc>
                <w:tcPr/>
                <w:p>
                  <w:pPr>
                    <w:pStyle w:val="Compact"/>
                    <w:jc w:val="left"/>
                    <w:jc w:val="left"/>
                  </w:pPr>
                  <w:r>
                    <w:t xml:space="preserve">36168</w:t>
                  </w:r>
                </w:p>
              </w:tc>
              <w:tc>
                <w:tcPr/>
                <w:p>
                  <w:pPr>
                    <w:pStyle w:val="Compact"/>
                    <w:jc w:val="left"/>
                    <w:jc w:val="left"/>
                  </w:pPr>
                  <w:r>
                    <w:t xml:space="preserve">Aur-P2</w:t>
                  </w:r>
                </w:p>
              </w:tc>
              <w:tc>
                <w:tcPr/>
                <w:p>
                  <w:pPr>
                    <w:pStyle w:val="Compact"/>
                    <w:jc w:val="left"/>
                    <w:jc w:val="left"/>
                  </w:pPr>
                  <w:r>
                    <w:t xml:space="preserve">33827</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Les Cottés</w:t>
                  </w:r>
                </w:p>
              </w:tc>
              <w:tc>
                <w:tcPr/>
                <w:p>
                  <w:pPr>
                    <w:pStyle w:val="Compact"/>
                    <w:jc w:val="left"/>
                    <w:jc w:val="left"/>
                  </w:pPr>
                  <w:r>
                    <w:t xml:space="preserve">40037</w:t>
                  </w:r>
                </w:p>
              </w:tc>
              <w:tc>
                <w:tcPr/>
                <w:p>
                  <w:pPr>
                    <w:pStyle w:val="Compact"/>
                    <w:jc w:val="left"/>
                    <w:jc w:val="left"/>
                  </w:pPr>
                  <w:r>
                    <w:t xml:space="preserve">Aur-P1</w:t>
                  </w:r>
                </w:p>
              </w:tc>
              <w:tc>
                <w:tcPr/>
                <w:p>
                  <w:pPr>
                    <w:pStyle w:val="Compact"/>
                    <w:jc w:val="left"/>
                    <w:jc w:val="left"/>
                  </w:pPr>
                  <w:r>
                    <w:t xml:space="preserve">38002</w:t>
                  </w:r>
                </w:p>
              </w:tc>
              <w:tc>
                <w:tcPr/>
                <w:p>
                  <w:pPr>
                    <w:pStyle w:val="Compact"/>
                    <w:jc w:val="left"/>
                    <w:jc w:val="left"/>
                  </w:pPr>
                  <w:r>
                    <w:t xml:space="preserve">Aur-P1</w:t>
                  </w:r>
                </w:p>
              </w:tc>
              <w:tc>
                <w:tcPr/>
                <w:p>
                  <w:pPr>
                    <w:pStyle w:val="Compact"/>
                    <w:jc w:val="left"/>
                    <w:jc w:val="left"/>
                  </w:pPr>
                  <w:r>
                    <w:t xml:space="preserve">35968</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Mladeč</w:t>
                  </w:r>
                </w:p>
              </w:tc>
              <w:tc>
                <w:tcPr/>
                <w:p>
                  <w:pPr>
                    <w:pStyle w:val="Compact"/>
                    <w:jc w:val="left"/>
                    <w:jc w:val="left"/>
                  </w:pPr>
                  <w:r>
                    <w:t xml:space="preserve">40091</w:t>
                  </w:r>
                </w:p>
              </w:tc>
              <w:tc>
                <w:tcPr/>
                <w:p>
                  <w:pPr>
                    <w:pStyle w:val="Compact"/>
                    <w:jc w:val="left"/>
                    <w:jc w:val="left"/>
                  </w:pPr>
                  <w:r>
                    <w:t xml:space="preserve">Aur-P1</w:t>
                  </w:r>
                </w:p>
              </w:tc>
              <w:tc>
                <w:tcPr/>
                <w:p>
                  <w:pPr>
                    <w:pStyle w:val="Compact"/>
                    <w:jc w:val="left"/>
                    <w:jc w:val="left"/>
                  </w:pPr>
                  <w:r>
                    <w:t xml:space="preserve">37831</w:t>
                  </w:r>
                </w:p>
              </w:tc>
              <w:tc>
                <w:tcPr/>
                <w:p>
                  <w:pPr>
                    <w:pStyle w:val="Compact"/>
                    <w:jc w:val="left"/>
                    <w:jc w:val="left"/>
                  </w:pPr>
                  <w:r>
                    <w:t xml:space="preserve">Aur-P1</w:t>
                  </w:r>
                </w:p>
              </w:tc>
              <w:tc>
                <w:tcPr/>
                <w:p>
                  <w:pPr>
                    <w:pStyle w:val="Compact"/>
                    <w:jc w:val="left"/>
                    <w:jc w:val="left"/>
                  </w:pPr>
                  <w:r>
                    <w:t xml:space="preserve">35571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Pod Hradem</w:t>
                  </w:r>
                </w:p>
              </w:tc>
              <w:tc>
                <w:tcPr/>
                <w:p>
                  <w:pPr>
                    <w:pStyle w:val="Compact"/>
                    <w:jc w:val="left"/>
                    <w:jc w:val="left"/>
                  </w:pPr>
                  <w:r>
                    <w:t xml:space="preserve">44778</w:t>
                  </w:r>
                </w:p>
              </w:tc>
              <w:tc>
                <w:tcPr/>
                <w:p>
                  <w:pPr>
                    <w:pStyle w:val="Compact"/>
                    <w:jc w:val="left"/>
                    <w:jc w:val="left"/>
                  </w:pPr>
                  <w:r>
                    <w:t xml:space="preserve">Aur-P1</w:t>
                  </w:r>
                </w:p>
              </w:tc>
              <w:tc>
                <w:tcPr/>
                <w:p>
                  <w:pPr>
                    <w:pStyle w:val="Compact"/>
                    <w:jc w:val="left"/>
                    <w:jc w:val="left"/>
                  </w:pPr>
                  <w:r>
                    <w:t xml:space="preserve">38556</w:t>
                  </w:r>
                </w:p>
              </w:tc>
              <w:tc>
                <w:tcPr/>
                <w:p>
                  <w:pPr>
                    <w:pStyle w:val="Compact"/>
                    <w:jc w:val="left"/>
                    <w:jc w:val="left"/>
                  </w:pPr>
                  <w:r>
                    <w:t xml:space="preserve">Aur-P1</w:t>
                  </w:r>
                </w:p>
              </w:tc>
              <w:tc>
                <w:tcPr/>
                <w:p>
                  <w:pPr>
                    <w:pStyle w:val="Compact"/>
                    <w:jc w:val="left"/>
                    <w:jc w:val="left"/>
                  </w:pPr>
                  <w:r>
                    <w:t xml:space="preserve">32334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Sirgenstein Cave</w:t>
                  </w:r>
                </w:p>
              </w:tc>
              <w:tc>
                <w:tcPr/>
                <w:p>
                  <w:pPr>
                    <w:pStyle w:val="Compact"/>
                    <w:jc w:val="left"/>
                    <w:jc w:val="left"/>
                  </w:pPr>
                  <w:r>
                    <w:t xml:space="preserve">34773</w:t>
                  </w:r>
                </w:p>
              </w:tc>
              <w:tc>
                <w:tcPr/>
                <w:p>
                  <w:pPr>
                    <w:pStyle w:val="Compact"/>
                    <w:jc w:val="left"/>
                    <w:jc w:val="left"/>
                  </w:pPr>
                  <w:r>
                    <w:t xml:space="preserve">Aur-P2</w:t>
                  </w:r>
                </w:p>
              </w:tc>
              <w:tc>
                <w:tcPr/>
                <w:p>
                  <w:pPr>
                    <w:pStyle w:val="Compact"/>
                    <w:jc w:val="left"/>
                    <w:jc w:val="left"/>
                  </w:pPr>
                  <w:r>
                    <w:t xml:space="preserve">32874</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Solutré</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Trou Magrite</w:t>
                  </w:r>
                </w:p>
              </w:tc>
              <w:tc>
                <w:tcPr/>
                <w:p>
                  <w:pPr>
                    <w:pStyle w:val="Compact"/>
                    <w:jc w:val="left"/>
                    <w:jc w:val="left"/>
                  </w:pPr>
                  <w:r>
                    <w:t xml:space="preserve">32893</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Trou al’Wesse</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36778</w:t>
                  </w:r>
                </w:p>
              </w:tc>
              <w:tc>
                <w:tcPr/>
                <w:p>
                  <w:pPr>
                    <w:pStyle w:val="Compact"/>
                    <w:jc w:val="left"/>
                    <w:jc w:val="left"/>
                  </w:pPr>
                  <w:r>
                    <w:t xml:space="preserve">Aur-P2</w:t>
                  </w:r>
                </w:p>
              </w:tc>
              <w:tc>
                <w:tcPr/>
                <w:p>
                  <w:pPr>
                    <w:pStyle w:val="Compact"/>
                    <w:jc w:val="left"/>
                    <w:jc w:val="left"/>
                  </w:pPr>
                  <w:r>
                    <w:t xml:space="preserve">35164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Vogelherd</w:t>
                  </w:r>
                </w:p>
              </w:tc>
              <w:tc>
                <w:tcPr/>
                <w:p>
                  <w:pPr>
                    <w:pStyle w:val="Compact"/>
                    <w:jc w:val="left"/>
                    <w:jc w:val="left"/>
                  </w:pPr>
                  <w:r>
                    <w:t xml:space="preserve">40840</w:t>
                  </w:r>
                </w:p>
              </w:tc>
              <w:tc>
                <w:tcPr/>
                <w:p>
                  <w:pPr>
                    <w:pStyle w:val="Compact"/>
                    <w:jc w:val="left"/>
                    <w:jc w:val="left"/>
                  </w:pPr>
                  <w:r>
                    <w:t xml:space="preserve">Aur-P1</w:t>
                  </w:r>
                </w:p>
              </w:tc>
              <w:tc>
                <w:tcPr/>
                <w:p>
                  <w:pPr>
                    <w:pStyle w:val="Compact"/>
                    <w:jc w:val="left"/>
                    <w:jc w:val="left"/>
                  </w:pPr>
                  <w:r>
                    <w:t xml:space="preserve">35516</w:t>
                  </w:r>
                </w:p>
              </w:tc>
              <w:tc>
                <w:tcPr/>
                <w:p>
                  <w:pPr>
                    <w:pStyle w:val="Compact"/>
                    <w:jc w:val="left"/>
                    <w:jc w:val="left"/>
                  </w:pPr>
                  <w:r>
                    <w:t xml:space="preserve">Aur-P2</w:t>
                  </w:r>
                </w:p>
              </w:tc>
              <w:tc>
                <w:tcPr/>
                <w:p>
                  <w:pPr>
                    <w:pStyle w:val="Compact"/>
                    <w:jc w:val="left"/>
                    <w:jc w:val="left"/>
                  </w:pPr>
                  <w:r>
                    <w:t xml:space="preserve">30193</w:t>
                  </w:r>
                </w:p>
              </w:tc>
              <w:tc>
                <w:tcPr/>
                <w:p>
                  <w:pPr>
                    <w:pStyle w:val="Compact"/>
                    <w:jc w:val="left"/>
                    <w:jc w:val="left"/>
                  </w:pPr>
                  <w:r>
                    <w:t xml:space="preserve">Aur-P2</w:t>
                  </w:r>
                </w:p>
              </w:tc>
              <w:tc>
                <w:tcPr/>
                <w:p>
                  <w:pPr>
                    <w:pStyle w:val="Compact"/>
                    <w:jc w:val="left"/>
                    <w:jc w:val="left"/>
                  </w:pPr>
                  <w:r>
                    <w:t xml:space="preserve">Yes</w:t>
                  </w:r>
                </w:p>
              </w:tc>
            </w:tr>
          </w:tbl>
          <w:p>
            <w:pPr>
              <w:jc w:val="left"/>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3 more fail date parsing altogether under the alternative ends (</w:t>
      </w:r>
      <w:hyperlink w:anchor="tbl-date-variant-comparison">
        <w:r>
          <w:rPr>
            <w:rStyle w:val="Hyperlink"/>
          </w:rPr>
          <w:t xml:space="preserve">Table S 11</w:t>
        </w:r>
      </w:hyperlink>
      <w:r>
        <w:t xml:space="preserve">). Between the older and midpoint variants, 6 sites switch phase: Cellier, Grotte de la Verpillière I, Grottes de Fonds-de-Forêt, Solutré, Trou al’Wesse and Vogelherd all move from Aur-P1 to Aur-P2. A further 7 sites,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cal BP) from Aur-P2 (37.8–32.0 ka cal BP).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with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raw mean-degree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pct" w:w="5000"/>
              <w:tblLook w:firstRow="1" w:lastRow="0" w:firstColumn="0" w:lastColumn="0" w:noHBand="0" w:noVBand="0" w:val="0020"/>
              <w:jc w:val="start"/>
              <w:tblLayout w:type="fixed"/>
            </w:tblPr>
            <w:tblGrid>
              <w:gridCol w:w="3168"/>
              <w:gridCol w:w="1900"/>
              <w:gridCol w:w="1425"/>
              <w:gridCol w:w="1425"/>
            </w:tblGrid>
            <w:tr>
              <w:trPr>
                <w:tblHeader w:val="true"/>
              </w:trPr>
              <w:tc>
                <w:tcPr/>
                <w:p>
                  <w:pPr>
                    <w:pStyle w:val="Compact"/>
                    <w:jc w:val="left"/>
                    <w:jc w:val="left"/>
                  </w:pPr>
                  <w:r>
                    <w:t xml:space="preserve">Boundary</w:t>
                  </w:r>
                </w:p>
              </w:tc>
              <w:tc>
                <w:tcPr/>
                <w:p>
                  <w:pPr>
                    <w:pStyle w:val="Compact"/>
                    <w:jc w:val="left"/>
                    <w:jc w:val="left"/>
                  </w:pPr>
                  <w:r>
                    <w:t xml:space="preserve">Window</w:t>
                  </w:r>
                </w:p>
              </w:tc>
              <w:tc>
                <w:tcPr/>
                <w:p>
                  <w:pPr>
                    <w:pStyle w:val="Compact"/>
                    <w:jc w:val="left"/>
                    <w:jc w:val="left"/>
                  </w:pPr>
                  <w:r>
                    <w:t xml:space="preserve">Objects</w:t>
                  </w:r>
                </w:p>
              </w:tc>
              <w:tc>
                <w:tcPr/>
                <w:p>
                  <w:pPr>
                    <w:pStyle w:val="Compact"/>
                    <w:jc w:val="left"/>
                    <w:jc w:val="left"/>
                  </w:pPr>
                  <w:r>
                    <w:t xml:space="preserve">Sites</w:t>
                  </w:r>
                </w:p>
              </w:tc>
            </w:tr>
            <w:tr>
              <w:tc>
                <w:tcPr/>
                <w:p>
                  <w:pPr>
                    <w:pStyle w:val="Compact"/>
                    <w:jc w:val="left"/>
                    <w:jc w:val="left"/>
                  </w:pPr>
                  <w:r>
                    <w:t xml:space="preserve">Aur-P1/Aur-P2 (37799 cal BP)</w:t>
                  </w:r>
                </w:p>
              </w:tc>
              <w:tc>
                <w:tcPr/>
                <w:p>
                  <w:pPr>
                    <w:pStyle w:val="Compact"/>
                    <w:jc w:val="left"/>
                    <w:jc w:val="left"/>
                  </w:pPr>
                  <w:r>
                    <w:t xml:space="preserve">±500 years</w:t>
                  </w:r>
                </w:p>
              </w:tc>
              <w:tc>
                <w:tcPr/>
                <w:p>
                  <w:pPr>
                    <w:pStyle w:val="Compact"/>
                    <w:jc w:val="left"/>
                    <w:jc w:val="left"/>
                  </w:pPr>
                  <w:r>
                    <w:t xml:space="preserve">33</w:t>
                  </w:r>
                </w:p>
              </w:tc>
              <w:tc>
                <w:tcPr/>
                <w:p>
                  <w:pPr>
                    <w:pStyle w:val="Compact"/>
                    <w:jc w:val="left"/>
                    <w:jc w:val="left"/>
                  </w:pPr>
                  <w:r>
                    <w:t xml:space="preserve">3</w:t>
                  </w:r>
                </w:p>
              </w:tc>
            </w:tr>
            <w:tr>
              <w:tc>
                <w:tcPr/>
                <w:p>
                  <w:pPr>
                    <w:pStyle w:val="Compact"/>
                    <w:jc w:val="left"/>
                    <w:jc w:val="left"/>
                  </w:pPr>
                  <w:r>
                    <w:t xml:space="preserve">Aur-P1/Aur-P2 (37799 cal BP)</w:t>
                  </w:r>
                </w:p>
              </w:tc>
              <w:tc>
                <w:tcPr/>
                <w:p>
                  <w:pPr>
                    <w:pStyle w:val="Compact"/>
                    <w:jc w:val="left"/>
                    <w:jc w:val="left"/>
                  </w:pPr>
                  <w:r>
                    <w:t xml:space="preserve">±1000 years</w:t>
                  </w:r>
                </w:p>
              </w:tc>
              <w:tc>
                <w:tcPr/>
                <w:p>
                  <w:pPr>
                    <w:pStyle w:val="Compact"/>
                    <w:jc w:val="left"/>
                    <w:jc w:val="left"/>
                  </w:pPr>
                  <w:r>
                    <w:t xml:space="preserve">85</w:t>
                  </w:r>
                </w:p>
              </w:tc>
              <w:tc>
                <w:tcPr/>
                <w:p>
                  <w:pPr>
                    <w:pStyle w:val="Compact"/>
                    <w:jc w:val="left"/>
                    <w:jc w:val="left"/>
                  </w:pPr>
                  <w:r>
                    <w:t xml:space="preserve">7</w:t>
                  </w:r>
                </w:p>
              </w:tc>
            </w:tr>
          </w:tbl>
          <w:p>
            <w:pPr>
              <w:jc w:val="left"/>
            </w:pPr>
            <w:pPr>
              <w:jc w:val="start"/>
              <w:spacing w:before="200"/>
              <w:pStyle w:val="ImageCaption"/>
            </w:pPr>
            <w:r>
              <w:t xml:space="preserve">Table S 12: Number of objects and sites within ±500 and ±1000 calibrated years of the single periodisation boundary at 37799 cal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pct" w:w="5000"/>
              <w:tblLook w:firstRow="1" w:lastRow="0" w:firstColumn="0" w:lastColumn="0" w:noHBand="0" w:noVBand="0" w:val="0020"/>
              <w:jc w:val="start"/>
              <w:tblLayout w:type="fixed"/>
            </w:tblPr>
            <w:tblGrid>
              <w:gridCol w:w="1584"/>
              <w:gridCol w:w="1188"/>
              <w:gridCol w:w="1108"/>
              <w:gridCol w:w="1108"/>
              <w:gridCol w:w="1504"/>
              <w:gridCol w:w="1425"/>
            </w:tblGrid>
            <w:tr>
              <w:trPr>
                <w:tblHeader w:val="true"/>
              </w:trPr>
              <w:tc>
                <w:tcPr/>
                <w:p>
                  <w:pPr>
                    <w:pStyle w:val="Compact"/>
                    <w:jc w:val="left"/>
                    <w:jc w:val="left"/>
                  </w:pPr>
                  <w:r>
                    <w:t xml:space="preserve">Shift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Baseline</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Baseline</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16</w:t>
                  </w:r>
                </w:p>
              </w:tc>
              <w:tc>
                <w:tcPr/>
                <w:p>
                  <w:pPr>
                    <w:pStyle w:val="Compact"/>
                    <w:jc w:val="left"/>
                    <w:jc w:val="left"/>
                  </w:pPr>
                  <w:r>
                    <w:t xml:space="preserve">53</w:t>
                  </w:r>
                </w:p>
              </w:tc>
              <w:tc>
                <w:tcPr/>
                <w:p>
                  <w:pPr>
                    <w:pStyle w:val="Compact"/>
                    <w:jc w:val="left"/>
                    <w:jc w:val="left"/>
                  </w:pPr>
                  <w:r>
                    <w:t xml:space="preserve">6.62</w:t>
                  </w:r>
                </w:p>
              </w:tc>
              <w:tc>
                <w:tcPr/>
                <w:p>
                  <w:pPr>
                    <w:pStyle w:val="Compact"/>
                    <w:jc w:val="left"/>
                    <w:jc w:val="left"/>
                  </w:pPr>
                  <w:r>
                    <w:t xml:space="preserve">0.343</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13</w:t>
                  </w:r>
                </w:p>
              </w:tc>
              <w:tc>
                <w:tcPr/>
                <w:p>
                  <w:pPr>
                    <w:pStyle w:val="Compact"/>
                    <w:jc w:val="left"/>
                    <w:jc w:val="left"/>
                  </w:pPr>
                  <w:r>
                    <w:t xml:space="preserve">32</w:t>
                  </w:r>
                </w:p>
              </w:tc>
              <w:tc>
                <w:tcPr/>
                <w:p>
                  <w:pPr>
                    <w:pStyle w:val="Compact"/>
                    <w:jc w:val="left"/>
                    <w:jc w:val="left"/>
                  </w:pPr>
                  <w:r>
                    <w:t xml:space="preserve">4.92</w:t>
                  </w:r>
                </w:p>
              </w:tc>
              <w:tc>
                <w:tcPr/>
                <w:p>
                  <w:pPr>
                    <w:pStyle w:val="Compact"/>
                    <w:jc w:val="left"/>
                    <w:jc w:val="left"/>
                  </w:pPr>
                  <w:r>
                    <w:t xml:space="preserve">0.200</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19</w:t>
                  </w:r>
                </w:p>
              </w:tc>
              <w:tc>
                <w:tcPr/>
                <w:p>
                  <w:pPr>
                    <w:pStyle w:val="Compact"/>
                    <w:jc w:val="left"/>
                    <w:jc w:val="left"/>
                  </w:pPr>
                  <w:r>
                    <w:t xml:space="preserve">66</w:t>
                  </w:r>
                </w:p>
              </w:tc>
              <w:tc>
                <w:tcPr/>
                <w:p>
                  <w:pPr>
                    <w:pStyle w:val="Compact"/>
                    <w:jc w:val="left"/>
                    <w:jc w:val="left"/>
                  </w:pPr>
                  <w:r>
                    <w:t xml:space="preserve">6.95</w:t>
                  </w:r>
                </w:p>
              </w:tc>
              <w:tc>
                <w:tcPr/>
                <w:p>
                  <w:pPr>
                    <w:pStyle w:val="Compact"/>
                    <w:jc w:val="left"/>
                    <w:jc w:val="left"/>
                  </w:pPr>
                  <w:r>
                    <w:t xml:space="preserve">0.330</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24</w:t>
                  </w:r>
                </w:p>
              </w:tc>
              <w:tc>
                <w:tcPr/>
                <w:p>
                  <w:pPr>
                    <w:pStyle w:val="Compact"/>
                    <w:jc w:val="left"/>
                    <w:jc w:val="left"/>
                  </w:pPr>
                  <w:r>
                    <w:t xml:space="preserve">4.80</w:t>
                  </w:r>
                </w:p>
              </w:tc>
              <w:tc>
                <w:tcPr/>
                <w:p>
                  <w:pPr>
                    <w:pStyle w:val="Compact"/>
                    <w:jc w:val="left"/>
                    <w:jc w:val="left"/>
                  </w:pPr>
                  <w:r>
                    <w:t xml:space="preserve">0.171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bl>
          <w:p>
            <w:pPr>
              <w:jc w:val="left"/>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cal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raw mean-degree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raw mean-degree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5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4"/>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4"/>
        </w:numPr>
        <w:pStyle w:val="Compact"/>
      </w:pPr>
      <w:r>
        <w:rPr>
          <w:bCs/>
          <w:b/>
        </w:rPr>
        <w:t xml:space="preserve">La Ferrassie</w:t>
      </w:r>
      <w:r>
        <w:t xml:space="preserve">: The Aurignacian at La Ferrassie begins in Layer 7, directly overlying the Châtelperronian (Layer 6). Talamo et al.</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 and Late Aurignacian components.</w:t>
      </w:r>
    </w:p>
    <w:p>
      <w:pPr>
        <w:numPr>
          <w:ilvl w:val="0"/>
          <w:numId w:val="1004"/>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ka cal BP) are too young for Proto-Aurignacian</w:t>
      </w:r>
      <w:r>
        <w:t xml:space="preserve"> </w:t>
      </w:r>
      <w:r>
        <w:t xml:space="preserve">[10]</w:t>
      </w:r>
      <w:r>
        <w:t xml:space="preserve">.</w:t>
      </w:r>
    </w:p>
    <w:p>
      <w:pPr>
        <w:numPr>
          <w:ilvl w:val="0"/>
          <w:numId w:val="1004"/>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a purely date-based assignment, in which each object is assigned to a phase by its calibrated date alone, and (B) excluding Vogelherd entirely, given its documented stratigraphic mixing. This section answers two specific questions:</w:t>
      </w:r>
    </w:p>
    <w:p>
      <w:pPr>
        <w:pStyle w:val="BodyText"/>
      </w:pPr>
      <w:r>
        <w:rPr>
          <w:bCs/>
          <w:b/>
        </w:rPr>
        <w:t xml:space="preserve">Question: does the Aur-P1 greater than Aur-P2 raw mean-degree ordering survive under purely date-based assignment?</w:t>
      </w:r>
    </w:p>
    <w:p>
      <w:pPr>
        <w:pStyle w:val="BodyText"/>
      </w:pPr>
      <w:r>
        <w:rPr>
          <w:bCs/>
          <w:b/>
        </w:rPr>
        <w:t xml:space="preserve">Question: does the Aur-P1 greater than Aur-P2 raw mean-degree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871"/>
              <w:gridCol w:w="1900"/>
              <w:gridCol w:w="633"/>
              <w:gridCol w:w="633"/>
              <w:gridCol w:w="712"/>
              <w:gridCol w:w="950"/>
              <w:gridCol w:w="1108"/>
              <w:gridCol w:w="1108"/>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w:t>
                  </w:r>
                </w:p>
              </w:tc>
              <w:tc>
                <w:tcPr/>
                <w:p>
                  <w:pPr>
                    <w:pStyle w:val="Compact"/>
                    <w:jc w:val="left"/>
                    <w:jc w:val="left"/>
                  </w:pPr>
                  <w:r>
                    <w:t xml:space="preserve">Baseline (technology-based)</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w:t>
                  </w:r>
                </w:p>
              </w:tc>
              <w:tc>
                <w:tcPr/>
                <w:p>
                  <w:pPr>
                    <w:pStyle w:val="Compact"/>
                    <w:jc w:val="left"/>
                    <w:jc w:val="left"/>
                  </w:pPr>
                  <w:r>
                    <w:t xml:space="preserve">Baseline (technology-based)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Date-based</w:t>
                  </w:r>
                </w:p>
              </w:tc>
              <w:tc>
                <w:tcPr/>
                <w:p>
                  <w:pPr>
                    <w:pStyle w:val="Compact"/>
                    <w:jc w:val="left"/>
                    <w:jc w:val="left"/>
                  </w:pPr>
                  <w:r>
                    <w:t xml:space="preserve">20</w:t>
                  </w:r>
                </w:p>
              </w:tc>
              <w:tc>
                <w:tcPr/>
                <w:p>
                  <w:pPr>
                    <w:pStyle w:val="Compact"/>
                    <w:jc w:val="left"/>
                    <w:jc w:val="left"/>
                  </w:pPr>
                  <w:r>
                    <w:t xml:space="preserve">80</w:t>
                  </w:r>
                </w:p>
              </w:tc>
              <w:tc>
                <w:tcPr/>
                <w:p>
                  <w:pPr>
                    <w:pStyle w:val="Compact"/>
                    <w:jc w:val="left"/>
                    <w:jc w:val="left"/>
                  </w:pPr>
                  <w:r>
                    <w:t xml:space="preserve">0.421</w:t>
                  </w:r>
                </w:p>
              </w:tc>
              <w:tc>
                <w:tcPr/>
                <w:p>
                  <w:pPr>
                    <w:pStyle w:val="Compact"/>
                    <w:jc w:val="left"/>
                    <w:jc w:val="left"/>
                  </w:pPr>
                  <w:r>
                    <w:t xml:space="preserve">8.00</w:t>
                  </w:r>
                </w:p>
              </w:tc>
              <w:tc>
                <w:tcPr/>
                <w:p>
                  <w:pPr>
                    <w:pStyle w:val="Compact"/>
                    <w:jc w:val="left"/>
                    <w:jc w:val="left"/>
                  </w:pPr>
                  <w:r>
                    <w:t xml:space="preserve">0.735</w:t>
                  </w:r>
                </w:p>
              </w:tc>
              <w:tc>
                <w:tcPr/>
                <w:p>
                  <w:pPr>
                    <w:pStyle w:val="Compact"/>
                    <w:jc w:val="left"/>
                    <w:jc w:val="left"/>
                  </w:pPr>
                  <w:r>
                    <w:t xml:space="preserve">0.290</w:t>
                  </w:r>
                </w:p>
              </w:tc>
            </w:tr>
            <w:tr>
              <w:tc>
                <w:tcPr/>
                <w:p>
                  <w:pPr>
                    <w:pStyle w:val="Compact"/>
                    <w:jc w:val="left"/>
                    <w:jc w:val="left"/>
                  </w:pPr>
                  <w:r>
                    <w:t xml:space="preserve">Aur-P2</w:t>
                  </w:r>
                </w:p>
              </w:tc>
              <w:tc>
                <w:tcPr/>
                <w:p>
                  <w:pPr>
                    <w:pStyle w:val="Compact"/>
                    <w:jc w:val="left"/>
                    <w:jc w:val="left"/>
                  </w:pPr>
                  <w:r>
                    <w:t xml:space="preserve">Date-based</w:t>
                  </w:r>
                </w:p>
              </w:tc>
              <w:tc>
                <w:tcPr/>
                <w:p>
                  <w:pPr>
                    <w:pStyle w:val="Compact"/>
                    <w:jc w:val="left"/>
                    <w:jc w:val="left"/>
                  </w:pPr>
                  <w:r>
                    <w:t xml:space="preserve">10</w:t>
                  </w:r>
                </w:p>
              </w:tc>
              <w:tc>
                <w:tcPr/>
                <w:p>
                  <w:pPr>
                    <w:pStyle w:val="Compact"/>
                    <w:jc w:val="left"/>
                    <w:jc w:val="left"/>
                  </w:pPr>
                  <w:r>
                    <w:t xml:space="preserve">18</w:t>
                  </w:r>
                </w:p>
              </w:tc>
              <w:tc>
                <w:tcPr/>
                <w:p>
                  <w:pPr>
                    <w:pStyle w:val="Compact"/>
                    <w:jc w:val="left"/>
                    <w:jc w:val="left"/>
                  </w:pPr>
                  <w:r>
                    <w:t xml:space="preserve">0.400</w:t>
                  </w:r>
                </w:p>
              </w:tc>
              <w:tc>
                <w:tcPr/>
                <w:p>
                  <w:pPr>
                    <w:pStyle w:val="Compact"/>
                    <w:jc w:val="left"/>
                    <w:jc w:val="left"/>
                  </w:pPr>
                  <w:r>
                    <w:t xml:space="preserve">3.60</w:t>
                  </w:r>
                </w:p>
              </w:tc>
              <w:tc>
                <w:tcPr/>
                <w:p>
                  <w:pPr>
                    <w:pStyle w:val="Compact"/>
                    <w:jc w:val="left"/>
                    <w:jc w:val="left"/>
                  </w:pPr>
                  <w:r>
                    <w:t xml:space="preserve">0.500</w:t>
                  </w:r>
                </w:p>
              </w:tc>
              <w:tc>
                <w:tcPr/>
                <w:p>
                  <w:pPr>
                    <w:pStyle w:val="Compact"/>
                    <w:jc w:val="left"/>
                    <w:jc w:val="left"/>
                  </w:pPr>
                  <w:r>
                    <w:t xml:space="preserve">0.332</w:t>
                  </w:r>
                </w:p>
              </w:tc>
            </w:tr>
            <w:tr>
              <w:tc>
                <w:tcPr/>
                <w:p>
                  <w:pPr>
                    <w:pStyle w:val="Compact"/>
                    <w:jc w:val="left"/>
                    <w:jc w:val="left"/>
                  </w:pPr>
                  <w:r>
                    <w:t xml:space="preserve">Aur-P1</w:t>
                  </w:r>
                </w:p>
              </w:tc>
              <w:tc>
                <w:tcPr/>
                <w:p>
                  <w:pPr>
                    <w:pStyle w:val="Compact"/>
                    <w:jc w:val="left"/>
                    <w:jc w:val="left"/>
                  </w:pPr>
                  <w:r>
                    <w:t xml:space="preserve">Exclude Vogelherd</w:t>
                  </w:r>
                </w:p>
              </w:tc>
              <w:tc>
                <w:tcPr/>
                <w:p>
                  <w:pPr>
                    <w:pStyle w:val="Compact"/>
                    <w:jc w:val="left"/>
                    <w:jc w:val="left"/>
                  </w:pPr>
                  <w:r>
                    <w:t xml:space="preserve">19</w:t>
                  </w:r>
                </w:p>
              </w:tc>
              <w:tc>
                <w:tcPr/>
                <w:p>
                  <w:pPr>
                    <w:pStyle w:val="Compact"/>
                    <w:jc w:val="left"/>
                    <w:jc w:val="left"/>
                  </w:pPr>
                  <w:r>
                    <w:t xml:space="preserve">69</w:t>
                  </w:r>
                </w:p>
              </w:tc>
              <w:tc>
                <w:tcPr/>
                <w:p>
                  <w:pPr>
                    <w:pStyle w:val="Compact"/>
                    <w:jc w:val="left"/>
                    <w:jc w:val="left"/>
                  </w:pPr>
                  <w:r>
                    <w:t xml:space="preserve">0.404</w:t>
                  </w:r>
                </w:p>
              </w:tc>
              <w:tc>
                <w:tcPr/>
                <w:p>
                  <w:pPr>
                    <w:pStyle w:val="Compact"/>
                    <w:jc w:val="left"/>
                    <w:jc w:val="left"/>
                  </w:pPr>
                  <w:r>
                    <w:t xml:space="preserve">7.26</w:t>
                  </w:r>
                </w:p>
              </w:tc>
              <w:tc>
                <w:tcPr/>
                <w:p>
                  <w:pPr>
                    <w:pStyle w:val="Compact"/>
                    <w:jc w:val="left"/>
                    <w:jc w:val="left"/>
                  </w:pPr>
                  <w:r>
                    <w:t xml:space="preserve">0.712</w:t>
                  </w:r>
                </w:p>
              </w:tc>
              <w:tc>
                <w:tcPr/>
                <w:p>
                  <w:pPr>
                    <w:pStyle w:val="Compact"/>
                    <w:jc w:val="left"/>
                    <w:jc w:val="left"/>
                  </w:pPr>
                  <w:r>
                    <w:t xml:space="preserve">0.312</w:t>
                  </w:r>
                </w:p>
              </w:tc>
            </w:tr>
            <w:tr>
              <w:tc>
                <w:tcPr/>
                <w:p>
                  <w:pPr>
                    <w:pStyle w:val="Compact"/>
                    <w:jc w:val="left"/>
                    <w:jc w:val="left"/>
                  </w:pPr>
                  <w:r>
                    <w:t xml:space="preserve">Aur-P2</w:t>
                  </w:r>
                </w:p>
              </w:tc>
              <w:tc>
                <w:tcPr/>
                <w:p>
                  <w:pPr>
                    <w:pStyle w:val="Compact"/>
                    <w:jc w:val="left"/>
                    <w:jc w:val="left"/>
                  </w:pPr>
                  <w:r>
                    <w:t xml:space="preserve">Exclude Vogelherd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phase of objects at La Ferrassie, Mladeč and Vogelherd.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All 22 La Ferrassie objects move from Aur-P1 to Aur-P2, because their calibrated median (37,200 cal BP) is younger than 37,799 cal BP. Vogelherd is split by object date: 160 of its 173 objects stay in Aur-P1, and 13 objects, with a calibrated median of 36,380 cal BP, move to Aur-P2. Hohle Fels does not change, because its object dates give the same split as the layer-level override: 20 objects in Aur-P1 and 29 objects in Aur-P2. The date-based assignment therefore fragments Vogelherd, whose assemblage spans the phase boundary, which is precisely the failure mode the technology-based attribution is designed to avoid. Aur-P1 keeps 20 sites and has 80 edges, against 75 at baseline (mean degree 8), while Aur-P2, now without Mladeč but with La Ferrassie and the 13 younger Vogelherd objects,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raw mean-degree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Condition</w:t>
                  </w:r>
                </w:p>
              </w:tc>
              <w:tc>
                <w:tcPr/>
                <w:p>
                  <w:pPr>
                    <w:pStyle w:val="Compact"/>
                    <w:jc w:val="left"/>
                    <w:jc w:val="left"/>
                  </w:pPr>
                  <w:r>
                    <w:t xml:space="preserve">Aur-P1 mean degree</w:t>
                  </w:r>
                </w:p>
              </w:tc>
              <w:tc>
                <w:tcPr/>
                <w:p>
                  <w:pPr>
                    <w:pStyle w:val="Compact"/>
                    <w:jc w:val="left"/>
                    <w:jc w:val="left"/>
                  </w:pPr>
                  <w:r>
                    <w:t xml:space="preserve">Aur-P2 mean degree</w:t>
                  </w:r>
                </w:p>
              </w:tc>
              <w:tc>
                <w:tcPr/>
                <w:p>
                  <w:pPr>
                    <w:pStyle w:val="Compact"/>
                    <w:jc w:val="left"/>
                    <w:jc w:val="left"/>
                  </w:pPr>
                  <w:r>
                    <w:t xml:space="preserve">Ordering</w:t>
                  </w:r>
                </w:p>
              </w:tc>
            </w:tr>
            <w:tr>
              <w:tc>
                <w:tcPr/>
                <w:p>
                  <w:pPr>
                    <w:pStyle w:val="Compact"/>
                    <w:jc w:val="left"/>
                    <w:jc w:val="left"/>
                  </w:pPr>
                  <w:r>
                    <w:t xml:space="preserve">Baseline (technology-based)</w:t>
                  </w:r>
                </w:p>
              </w:tc>
              <w:tc>
                <w:tcPr/>
                <w:p>
                  <w:pPr>
                    <w:pStyle w:val="Compact"/>
                    <w:jc w:val="left"/>
                    <w:jc w:val="left"/>
                  </w:pPr>
                  <w:r>
                    <w:t xml:space="preserve">7.50</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Date-based</w:t>
                  </w:r>
                </w:p>
              </w:tc>
              <w:tc>
                <w:tcPr/>
                <w:p>
                  <w:pPr>
                    <w:pStyle w:val="Compact"/>
                    <w:jc w:val="left"/>
                    <w:jc w:val="left"/>
                  </w:pPr>
                  <w:r>
                    <w:t xml:space="preserve">8.00</w:t>
                  </w:r>
                </w:p>
              </w:tc>
              <w:tc>
                <w:tcPr/>
                <w:p>
                  <w:pPr>
                    <w:pStyle w:val="Compact"/>
                    <w:jc w:val="left"/>
                    <w:jc w:val="left"/>
                  </w:pPr>
                  <w:r>
                    <w:t xml:space="preserve">3.60</w:t>
                  </w:r>
                </w:p>
              </w:tc>
              <w:tc>
                <w:tcPr/>
                <w:p>
                  <w:pPr>
                    <w:pStyle w:val="Compact"/>
                    <w:jc w:val="left"/>
                    <w:jc w:val="left"/>
                  </w:pPr>
                  <w:r>
                    <w:t xml:space="preserve">Aur-P1 &gt; Aur-P2</w:t>
                  </w:r>
                </w:p>
              </w:tc>
            </w:tr>
            <w:tr>
              <w:tc>
                <w:tcPr/>
                <w:p>
                  <w:pPr>
                    <w:pStyle w:val="Compact"/>
                    <w:jc w:val="left"/>
                    <w:jc w:val="left"/>
                  </w:pPr>
                  <w:r>
                    <w:t xml:space="preserve">Exclude Vogelherd</w:t>
                  </w:r>
                </w:p>
              </w:tc>
              <w:tc>
                <w:tcPr/>
                <w:p>
                  <w:pPr>
                    <w:pStyle w:val="Compact"/>
                    <w:jc w:val="left"/>
                    <w:jc w:val="left"/>
                  </w:pPr>
                  <w:r>
                    <w:t xml:space="preserve">7.26</w:t>
                  </w:r>
                </w:p>
              </w:tc>
              <w:tc>
                <w:tcPr/>
                <w:p>
                  <w:pPr>
                    <w:pStyle w:val="Compact"/>
                    <w:jc w:val="left"/>
                    <w:jc w:val="left"/>
                  </w:pPr>
                  <w:r>
                    <w:t xml:space="preserve">4.22</w:t>
                  </w:r>
                </w:p>
              </w:tc>
              <w:tc>
                <w:tcPr/>
                <w:p>
                  <w:pPr>
                    <w:pStyle w:val="Compact"/>
                    <w:jc w:val="left"/>
                    <w:jc w:val="left"/>
                  </w:pPr>
                  <w:r>
                    <w:t xml:space="preserve">Aur-P1 &gt; Aur-P2</w:t>
                  </w:r>
                </w:p>
              </w:tc>
            </w:tr>
          </w:tbl>
          <w:p>
            <w:pPr>
              <w:jc w:val="left"/>
            </w:pPr>
            <w:pPr>
              <w:jc w:val="start"/>
              <w:spacing w:before="200"/>
              <w:pStyle w:val="ImageCaption"/>
            </w:pPr>
            <w:r>
              <w:t xml:space="preserve">Table S 15: Mean degree by phase under each reassignment condition. The Aur-P1 &gt; Aur-P2 ordering is preserved under every condition.</w:t>
            </w:r>
          </w:p>
          <w:bookmarkEnd w:id="95"/>
        </w:tc>
      </w:tr>
    </w:tbl>
    <w:bookmarkEnd w:id="96"/>
    <w:bookmarkStart w:id="97" w:name="interpretation-4"/>
    <w:p>
      <w:pPr>
        <w:pStyle w:val="Heading3"/>
      </w:pPr>
      <w:r>
        <w:t xml:space="preserve">Interpretation</w:t>
      </w:r>
    </w:p>
    <w:p>
      <w:pPr>
        <w:pStyle w:val="FirstParagraph"/>
      </w:pPr>
      <w:r>
        <w:rPr>
          <w:bCs/>
          <w:b/>
        </w:rPr>
        <w:t xml:space="preserve">Question: does the Aur-P1 greater than Aur-P2 raw mean-degree ordering survive under purely date-based assignment?</w:t>
      </w:r>
      <w:r>
        <w:t xml:space="preserve"> </w:t>
      </w:r>
      <w:r>
        <w:t xml:space="preserve">Yes. The robustness of the Aur-P1 &gt; Aur-P2 raw mean-degree difference to the assignment criterion strengthens the main-text conclusion that the early phase supports a larger network. The date-based alternative is a useful worst case: it splits Vogelherd across the phases, moves La Ferrassie into Aur-P2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raw mean-degree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14</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Under the date-based assignment the membership of each phase changes (La Ferrassie moves to Aur-P2, Mladeč moves to Aur-P1 and Vogelherd is split between the phases), so the within-phase restricted/broad pattern could also change. We did not refit the stochastic block models under the date-based assignment; the SBM results in</w:t>
      </w:r>
      <w:r>
        <w:t xml:space="preserve"> </w:t>
      </w:r>
      <w:r>
        <w:t xml:space="preserve">Section S1.9.3</w:t>
      </w:r>
      <w:r>
        <w:t xml:space="preserve"> </w:t>
      </w:r>
      <w:r>
        <w:t xml:space="preserve">come from the technology-based baseline.</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5"/>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5"/>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pct" w:w="5000"/>
              <w:tblLook w:firstRow="1" w:lastRow="0" w:firstColumn="0" w:lastColumn="0" w:noHBand="0" w:noVBand="0" w:val="0020"/>
              <w:jc w:val="start"/>
              <w:tblLayout w:type="fixed"/>
            </w:tblPr>
            <w:tblGrid>
              <w:gridCol w:w="1188"/>
              <w:gridCol w:w="3168"/>
              <w:gridCol w:w="1188"/>
              <w:gridCol w:w="1188"/>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th=0.1</w:t>
                  </w:r>
                </w:p>
              </w:tc>
              <w:tc>
                <w:tcPr/>
                <w:p>
                  <w:pPr>
                    <w:pStyle w:val="Compact"/>
                    <w:jc w:val="left"/>
                    <w:jc w:val="left"/>
                  </w:pPr>
                  <w:r>
                    <w:t xml:space="preserve">th=0.2</w:t>
                  </w:r>
                </w:p>
              </w:tc>
              <w:tc>
                <w:tcPr/>
                <w:p>
                  <w:pPr>
                    <w:pStyle w:val="Compact"/>
                    <w:jc w:val="left"/>
                    <w:jc w:val="left"/>
                  </w:pPr>
                  <w:r>
                    <w:t xml:space="preserve">th=0.3</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5</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bl>
          <w:p>
            <w:pPr>
              <w:jc w:val="left"/>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(manual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0.787</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0.798</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0.581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0.167</w:t>
                  </w:r>
                </w:p>
              </w:tc>
            </w:tr>
          </w:tbl>
          <w:p>
            <w:pPr>
              <w:jc w:val="left"/>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(Infomap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(Leiden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0.257</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0.167</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8"/>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(Walktrap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0.410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0.393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1.000</w:t>
                  </w:r>
                </w:p>
              </w:tc>
            </w:tr>
          </w:tbl>
          <w:p>
            <w:pPr>
              <w:jc w:val="left"/>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shows how much of the variance in sign composition each algorithmic partition explains. Because each partition is fitted to the same data, its PerMANOVA p-value is not a valid test of a group difference (</w:t>
      </w:r>
      <w:r>
        <w:t xml:space="preserve">Section S1.6.8</w:t>
      </w:r>
      <w:r>
        <w:t xml:space="preserve">).</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871"/>
              <w:gridCol w:w="792"/>
              <w:gridCol w:w="1267"/>
              <w:gridCol w:w="871"/>
              <w:gridCol w:w="950"/>
              <w:gridCol w:w="792"/>
              <w:gridCol w:w="871"/>
              <w:gridCol w:w="712"/>
              <w:gridCol w:w="792"/>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Algorithm</w:t>
                  </w:r>
                </w:p>
              </w:tc>
              <w:tc>
                <w:tcPr/>
                <w:p>
                  <w:pPr>
                    <w:pStyle w:val="Compact"/>
                    <w:jc w:val="left"/>
                    <w:jc w:val="left"/>
                  </w:pPr>
                  <w:r>
                    <w:t xml:space="preserve">Manual R²</w:t>
                  </w:r>
                </w:p>
              </w:tc>
              <w:tc>
                <w:tcPr/>
                <w:p>
                  <w:pPr>
                    <w:pStyle w:val="Compact"/>
                    <w:jc w:val="left"/>
                    <w:jc w:val="left"/>
                  </w:pPr>
                  <w:r>
                    <w:t xml:space="preserve">Algorithm R²</w:t>
                  </w:r>
                </w:p>
              </w:tc>
              <w:tc>
                <w:tcPr/>
                <w:p>
                  <w:pPr>
                    <w:pStyle w:val="Compact"/>
                    <w:jc w:val="left"/>
                    <w:jc w:val="left"/>
                  </w:pPr>
                  <w:r>
                    <w:t xml:space="preserve">Manual F</w:t>
                  </w:r>
                </w:p>
              </w:tc>
              <w:tc>
                <w:tcPr/>
                <w:p>
                  <w:pPr>
                    <w:pStyle w:val="Compact"/>
                    <w:jc w:val="left"/>
                    <w:jc w:val="left"/>
                  </w:pPr>
                  <w:r>
                    <w:t xml:space="preserve">Algorithm F</w:t>
                  </w:r>
                </w:p>
              </w:tc>
              <w:tc>
                <w:tcPr/>
                <w:p>
                  <w:pPr>
                    <w:pStyle w:val="Compact"/>
                    <w:jc w:val="left"/>
                    <w:jc w:val="left"/>
                  </w:pPr>
                  <w:r>
                    <w:t xml:space="preserve">Manual p</w:t>
                  </w:r>
                </w:p>
              </w:tc>
              <w:tc>
                <w:tcPr/>
                <w:p>
                  <w:pPr>
                    <w:pStyle w:val="Compact"/>
                    <w:jc w:val="left"/>
                    <w:jc w:val="left"/>
                  </w:pPr>
                  <w:r>
                    <w:t xml:space="preserve">Algorithm 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0.335</w:t>
                  </w:r>
                </w:p>
              </w:tc>
              <w:tc>
                <w:tcPr/>
                <w:p>
                  <w:pPr>
                    <w:pStyle w:val="Compact"/>
                    <w:jc w:val="left"/>
                    <w:jc w:val="left"/>
                  </w:pPr>
                  <w:r>
                    <w:t xml:space="preserve">NA</w:t>
                  </w:r>
                </w:p>
              </w:tc>
              <w:tc>
                <w:tcPr/>
                <w:p>
                  <w:pPr>
                    <w:pStyle w:val="Compact"/>
                    <w:jc w:val="left"/>
                    <w:jc w:val="left"/>
                  </w:pPr>
                  <w:r>
                    <w:t xml:space="preserve">4.279</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0.082</w:t>
                  </w:r>
                </w:p>
              </w:tc>
              <w:tc>
                <w:tcPr/>
                <w:p>
                  <w:pPr>
                    <w:pStyle w:val="Compact"/>
                    <w:jc w:val="left"/>
                    <w:jc w:val="left"/>
                  </w:pPr>
                  <w:r>
                    <w:t xml:space="preserve">NA</w:t>
                  </w:r>
                </w:p>
              </w:tc>
              <w:tc>
                <w:tcPr/>
                <w:p>
                  <w:pPr>
                    <w:pStyle w:val="Compact"/>
                    <w:jc w:val="left"/>
                    <w:jc w:val="left"/>
                  </w:pPr>
                  <w:r>
                    <w:t xml:space="preserve">1.611</w:t>
                  </w:r>
                </w:p>
              </w:tc>
              <w:tc>
                <w:tcPr/>
                <w:p>
                  <w:pPr>
                    <w:pStyle w:val="Compact"/>
                    <w:jc w:val="left"/>
                    <w:jc w:val="left"/>
                  </w:pPr>
                  <w:r>
                    <w:t xml:space="preserve">NA</w:t>
                  </w:r>
                </w:p>
              </w:tc>
              <w:tc>
                <w:tcPr/>
                <w:p>
                  <w:pPr>
                    <w:pStyle w:val="Compact"/>
                    <w:jc w:val="left"/>
                    <w:jc w:val="left"/>
                  </w:pPr>
                  <w:r>
                    <w:t xml:space="preserve">0.043</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0.369</w:t>
                  </w:r>
                </w:p>
              </w:tc>
              <w:tc>
                <w:tcPr/>
                <w:p>
                  <w:pPr>
                    <w:pStyle w:val="Compact"/>
                    <w:jc w:val="left"/>
                    <w:jc w:val="left"/>
                  </w:pPr>
                  <w:r>
                    <w:t xml:space="preserve">NA</w:t>
                  </w:r>
                </w:p>
              </w:tc>
              <w:tc>
                <w:tcPr/>
                <w:p>
                  <w:pPr>
                    <w:pStyle w:val="Compact"/>
                    <w:jc w:val="left"/>
                    <w:jc w:val="left"/>
                  </w:pPr>
                  <w:r>
                    <w:t xml:space="preserve">3.114</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0.494</w:t>
                  </w:r>
                </w:p>
              </w:tc>
              <w:tc>
                <w:tcPr/>
                <w:p>
                  <w:pPr>
                    <w:pStyle w:val="Compact"/>
                    <w:jc w:val="left"/>
                    <w:jc w:val="left"/>
                  </w:pPr>
                  <w:r>
                    <w:t xml:space="preserve">NA</w:t>
                  </w:r>
                </w:p>
              </w:tc>
              <w:tc>
                <w:tcPr/>
                <w:p>
                  <w:pPr>
                    <w:pStyle w:val="Compact"/>
                    <w:jc w:val="left"/>
                    <w:jc w:val="left"/>
                  </w:pPr>
                  <w:r>
                    <w:t xml:space="preserve">2.923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0.279</w:t>
                  </w:r>
                </w:p>
              </w:tc>
              <w:tc>
                <w:tcPr/>
                <w:p>
                  <w:pPr>
                    <w:pStyle w:val="Compact"/>
                    <w:jc w:val="left"/>
                    <w:jc w:val="left"/>
                  </w:pPr>
                  <w:r>
                    <w:t xml:space="preserve">NA</w:t>
                  </w:r>
                </w:p>
              </w:tc>
              <w:tc>
                <w:tcPr/>
                <w:p>
                  <w:pPr>
                    <w:pStyle w:val="Compact"/>
                    <w:jc w:val="left"/>
                    <w:jc w:val="left"/>
                  </w:pPr>
                  <w:r>
                    <w:t xml:space="preserve">2.703</w:t>
                  </w:r>
                </w:p>
              </w:tc>
              <w:tc>
                <w:tcPr/>
                <w:p>
                  <w:pPr>
                    <w:pStyle w:val="Compact"/>
                    <w:jc w:val="left"/>
                    <w:jc w:val="left"/>
                  </w:pPr>
                  <w:r>
                    <w:t xml:space="preserve">NA</w:t>
                  </w:r>
                </w:p>
              </w:tc>
              <w:tc>
                <w:tcPr/>
                <w:p>
                  <w:pPr>
                    <w:pStyle w:val="Compact"/>
                    <w:jc w:val="left"/>
                    <w:jc w:val="left"/>
                  </w:pPr>
                  <w:r>
                    <w:t xml:space="preserve">0.021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0.196</w:t>
                  </w:r>
                </w:p>
              </w:tc>
              <w:tc>
                <w:tcPr/>
                <w:p>
                  <w:pPr>
                    <w:pStyle w:val="Compact"/>
                    <w:jc w:val="left"/>
                    <w:jc w:val="left"/>
                  </w:pPr>
                  <w:r>
                    <w:t xml:space="preserve">0.164</w:t>
                  </w:r>
                </w:p>
              </w:tc>
              <w:tc>
                <w:tcPr/>
                <w:p>
                  <w:pPr>
                    <w:pStyle w:val="Compact"/>
                    <w:jc w:val="left"/>
                    <w:jc w:val="left"/>
                  </w:pPr>
                  <w:r>
                    <w:t xml:space="preserve">4.382</w:t>
                  </w:r>
                </w:p>
              </w:tc>
              <w:tc>
                <w:tcPr/>
                <w:p>
                  <w:pPr>
                    <w:pStyle w:val="Compact"/>
                    <w:jc w:val="left"/>
                    <w:jc w:val="left"/>
                  </w:pPr>
                  <w:r>
                    <w:t xml:space="preserve">1.662</w:t>
                  </w:r>
                </w:p>
              </w:tc>
              <w:tc>
                <w:tcPr/>
                <w:p>
                  <w:pPr>
                    <w:pStyle w:val="Compact"/>
                    <w:jc w:val="left"/>
                    <w:jc w:val="left"/>
                  </w:pPr>
                  <w:r>
                    <w:t xml:space="preserve">0.001</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0.495</w:t>
                  </w:r>
                </w:p>
              </w:tc>
              <w:tc>
                <w:tcPr/>
                <w:p>
                  <w:pPr>
                    <w:pStyle w:val="Compact"/>
                    <w:jc w:val="left"/>
                    <w:jc w:val="left"/>
                  </w:pPr>
                  <w:r>
                    <w:t xml:space="preserve">NA</w:t>
                  </w:r>
                </w:p>
              </w:tc>
              <w:tc>
                <w:tcPr/>
                <w:p>
                  <w:pPr>
                    <w:pStyle w:val="Compact"/>
                    <w:jc w:val="left"/>
                    <w:jc w:val="left"/>
                  </w:pPr>
                  <w:r>
                    <w:t xml:space="preserve">3.673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0.164</w:t>
                  </w:r>
                </w:p>
              </w:tc>
              <w:tc>
                <w:tcPr/>
                <w:p>
                  <w:pPr>
                    <w:pStyle w:val="Compact"/>
                    <w:jc w:val="left"/>
                    <w:jc w:val="left"/>
                  </w:pPr>
                  <w:r>
                    <w:t xml:space="preserve">NA</w:t>
                  </w:r>
                </w:p>
              </w:tc>
              <w:tc>
                <w:tcPr/>
                <w:p>
                  <w:pPr>
                    <w:pStyle w:val="Compact"/>
                    <w:jc w:val="left"/>
                    <w:jc w:val="left"/>
                  </w:pPr>
                  <w:r>
                    <w:t xml:space="preserve">1.662</w:t>
                  </w:r>
                </w:p>
              </w:tc>
              <w:tc>
                <w:tcPr/>
                <w:p>
                  <w:pPr>
                    <w:pStyle w:val="Compact"/>
                    <w:jc w:val="left"/>
                    <w:jc w:val="left"/>
                  </w:pPr>
                  <w:r>
                    <w:t xml:space="preserve">NA</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bl>
          <w:p>
            <w:pPr>
              <w:jc w:val="left"/>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5 communities; for Aur-P2 it is positive but modest (0.556, 0.556, and 0.167). Agreement between the algorithms depends on the algorithm and the threshold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 In Aur-P1 at threshold 0.2, Infomap and Walktrap give the same partition as Louvain (ARI = 1.000 and 1.000). Leiden does not agree with Louvain in Aur-P1: its ARI is -0.051, 0.257 and 0.167 at thresholds 0.1, 0.2 and 0.3. In Aur-P2, Walktrap gives the same partition as Louvain at thresholds 0.2 and 0.3 (ARI = 1.000 and 1.000). At threshold 0.2, Infomap finds 1 community and Leiden finds 1 community in the 9 Aur-P2 sites, so their ARI with Louvain is not defined (NA). Walktrap differs from Louvain at threshold 0.1 in both phases (ARI = 0.410 and 0.393). Thus the four algorithms do not all agree in either phase.</w:t>
      </w:r>
    </w:p>
    <w:p>
      <w:pPr>
        <w:pStyle w:val="BodyText"/>
      </w:pPr>
      <w:r>
        <w:rPr>
          <w:bCs/>
          <w:b/>
        </w:rPr>
        <w:t xml:space="preserve">Question: do automatically detected communities explain as much sign-composition variance as the manual groups?</w:t>
      </w:r>
      <w:r>
        <w:t xml:space="preserve"> </w:t>
      </w:r>
      <w:r>
        <w:t xml:space="preserve">Louvain explains more, Leiden explains less, and the comparison is not like for like. The PerMANOVA comparison shows how much variance each partition explains (</w:t>
      </w:r>
      <w:hyperlink w:anchor="tbl-permanova-comparison">
        <w:r>
          <w:rPr>
            <w:rStyle w:val="Hyperlink"/>
          </w:rPr>
          <w:t xml:space="preserve">Table S 21</w:t>
        </w:r>
      </w:hyperlink>
      <w:r>
        <w:t xml:space="preserve">), but because Louvain is fitted to the same matrix it cannot test circularity; the withheld-data tests in</w:t>
      </w:r>
      <w:r>
        <w:t xml:space="preserve"> </w:t>
      </w:r>
      <w:r>
        <w:t xml:space="preserve">Section S1.10</w:t>
      </w:r>
      <w:r>
        <w:t xml:space="preserve"> </w:t>
      </w:r>
      <w:r>
        <w:t xml:space="preserve">do.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Louvain finds these communities by optimising the same similarity matrix that the PerMANOVA then tests, so these p-values are not valid tests of a group difference, and we do not interpret them as evidence of significant structure. The higher R² values show only that the manual grouping does not capture all of the compositional variation that a data-optimised partition can capture. R² also rises with the number of groups. At threshold 0.2 the Louvain partition has 4 groups in Aur-P1, and some of these groups hold a single site (</w:t>
      </w:r>
      <w:hyperlink w:anchor="tbl-louvain-groups">
        <w:r>
          <w:rPr>
            <w:rStyle w:val="Hyperlink"/>
          </w:rPr>
          <w:t xml:space="preserve">Table S 16</w:t>
        </w:r>
      </w:hyperlink>
      <w:r>
        <w:t xml:space="preserve">). The pseudo-F statistic takes the number of groups into account. In Aur-P1 it is lower for Louvain (F = 2.945) than for the manual groups (F = 4.382). Leiden explains less variance than the manual groups in Aur-P1 (R² = 0.164 at threshold 0.2, against 0.196).</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9 restricted-range sites and the second 9 of the 11 broader-range sites, with Les Cottés and Trou al’Wesse separating as singletons. At threshold 0.1, Aur-P1 collapses to 3 communities, with the broader-range group intact at 11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In Aur-P1 at threshold 0.2, Louvain, Infomap and Walktrap give the same partition, and this partition largely matches the restricted/broad split (ARI with the manual groups = 0.798). Leiden gives a different partition. In Aur-P2, the community structure depends on the algorithm.</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Louvain partition explains more variance than the manual groups, but it has more groups and a lower pseudo-F in Aur-P1, and Leiden explains less variance than the manual groups (</w:t>
      </w:r>
      <w:hyperlink w:anchor="tbl-permanova-comparison">
        <w:r>
          <w:rPr>
            <w:rStyle w:val="Hyperlink"/>
          </w:rPr>
          <w:t xml:space="preserve">Table S 21</w:t>
        </w:r>
      </w:hyperlink>
      <w:r>
        <w:t xml:space="preserve">). Because these partitions are optimised on the same similarity matrix, this shows only that the manual grouping does not capture all of the compositional variation; it does not show that the group contrast is stronger than the manual R² values suggest.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and threshold, we draw random sets of site-level sign vectors from the pooled site-phase assemblages of both phases, each set with the same number of sites as the phase,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pct" w:w="5000"/>
              <w:tblLook w:firstRow="1" w:lastRow="0" w:firstColumn="0" w:lastColumn="0" w:noHBand="0" w:noVBand="0" w:val="0020"/>
              <w:jc w:val="start"/>
              <w:tblLayout w:type="fixed"/>
            </w:tblPr>
            <w:tblGrid>
              <w:gridCol w:w="1584"/>
              <w:gridCol w:w="1267"/>
              <w:gridCol w:w="1267"/>
              <w:gridCol w:w="1346"/>
              <w:gridCol w:w="1188"/>
              <w:gridCol w:w="1267"/>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Observed Q</w:t>
                  </w:r>
                </w:p>
              </w:tc>
              <w:tc>
                <w:tcPr/>
                <w:p>
                  <w:pPr>
                    <w:pStyle w:val="Compact"/>
                    <w:jc w:val="left"/>
                    <w:jc w:val="left"/>
                  </w:pPr>
                  <w:r>
                    <w:t xml:space="preserve">Null mean Q</w:t>
                  </w:r>
                </w:p>
              </w:tc>
              <w:tc>
                <w:tcPr/>
                <w:p>
                  <w:pPr>
                    <w:pStyle w:val="Compact"/>
                    <w:jc w:val="left"/>
                    <w:jc w:val="left"/>
                  </w:pPr>
                  <w:r>
                    <w:t xml:space="preserve">Null SD</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0.223</w:t>
                  </w:r>
                </w:p>
              </w:tc>
              <w:tc>
                <w:tcPr/>
                <w:p>
                  <w:pPr>
                    <w:pStyle w:val="Compact"/>
                    <w:jc w:val="left"/>
                    <w:jc w:val="left"/>
                  </w:pPr>
                  <w:r>
                    <w:t xml:space="preserve">0.207</w:t>
                  </w:r>
                </w:p>
              </w:tc>
              <w:tc>
                <w:tcPr/>
                <w:p>
                  <w:pPr>
                    <w:pStyle w:val="Compact"/>
                    <w:jc w:val="left"/>
                    <w:jc w:val="left"/>
                  </w:pPr>
                  <w:r>
                    <w:t xml:space="preserve">0.036</w:t>
                  </w:r>
                </w:p>
              </w:tc>
              <w:tc>
                <w:tcPr/>
                <w:p>
                  <w:pPr>
                    <w:pStyle w:val="Compact"/>
                    <w:jc w:val="left"/>
                    <w:jc w:val="left"/>
                  </w:pPr>
                  <w:r>
                    <w:t xml:space="preserve">0.306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0.336</w:t>
                  </w:r>
                </w:p>
              </w:tc>
              <w:tc>
                <w:tcPr/>
                <w:p>
                  <w:pPr>
                    <w:pStyle w:val="Compact"/>
                    <w:jc w:val="left"/>
                    <w:jc w:val="left"/>
                  </w:pPr>
                  <w:r>
                    <w:t xml:space="preserve">0.299</w:t>
                  </w:r>
                </w:p>
              </w:tc>
              <w:tc>
                <w:tcPr/>
                <w:p>
                  <w:pPr>
                    <w:pStyle w:val="Compact"/>
                    <w:jc w:val="left"/>
                    <w:jc w:val="left"/>
                  </w:pPr>
                  <w:r>
                    <w:t xml:space="preserve">0.053</w:t>
                  </w:r>
                </w:p>
              </w:tc>
              <w:tc>
                <w:tcPr/>
                <w:p>
                  <w:pPr>
                    <w:pStyle w:val="Compact"/>
                    <w:jc w:val="left"/>
                    <w:jc w:val="left"/>
                  </w:pPr>
                  <w:r>
                    <w:t xml:space="preserve">0.226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0.347</w:t>
                  </w:r>
                </w:p>
              </w:tc>
              <w:tc>
                <w:tcPr/>
                <w:p>
                  <w:pPr>
                    <w:pStyle w:val="Compact"/>
                    <w:jc w:val="left"/>
                    <w:jc w:val="left"/>
                  </w:pPr>
                  <w:r>
                    <w:t xml:space="preserve">0.312</w:t>
                  </w:r>
                </w:p>
              </w:tc>
              <w:tc>
                <w:tcPr/>
                <w:p>
                  <w:pPr>
                    <w:pStyle w:val="Compact"/>
                    <w:jc w:val="left"/>
                    <w:jc w:val="left"/>
                  </w:pPr>
                  <w:r>
                    <w:t xml:space="preserve">0.058</w:t>
                  </w:r>
                </w:p>
              </w:tc>
              <w:tc>
                <w:tcPr/>
                <w:p>
                  <w:pPr>
                    <w:pStyle w:val="Compact"/>
                    <w:jc w:val="left"/>
                    <w:jc w:val="left"/>
                  </w:pPr>
                  <w:r>
                    <w:t xml:space="preserve">0.258</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0.093</w:t>
                  </w:r>
                </w:p>
              </w:tc>
              <w:tc>
                <w:tcPr/>
                <w:p>
                  <w:pPr>
                    <w:pStyle w:val="Compact"/>
                    <w:jc w:val="left"/>
                    <w:jc w:val="left"/>
                  </w:pPr>
                  <w:r>
                    <w:t xml:space="preserve">0.154</w:t>
                  </w:r>
                </w:p>
              </w:tc>
              <w:tc>
                <w:tcPr/>
                <w:p>
                  <w:pPr>
                    <w:pStyle w:val="Compact"/>
                    <w:jc w:val="left"/>
                    <w:jc w:val="left"/>
                  </w:pPr>
                  <w:r>
                    <w:t xml:space="preserve">0.080</w:t>
                  </w:r>
                </w:p>
              </w:tc>
              <w:tc>
                <w:tcPr/>
                <w:p>
                  <w:pPr>
                    <w:pStyle w:val="Compact"/>
                    <w:jc w:val="left"/>
                    <w:jc w:val="left"/>
                  </w:pPr>
                  <w:r>
                    <w:t xml:space="preserve">0.772</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0.161</w:t>
                  </w:r>
                </w:p>
              </w:tc>
              <w:tc>
                <w:tcPr/>
                <w:p>
                  <w:pPr>
                    <w:pStyle w:val="Compact"/>
                    <w:jc w:val="left"/>
                    <w:jc w:val="left"/>
                  </w:pPr>
                  <w:r>
                    <w:t xml:space="preserve">0.243</w:t>
                  </w:r>
                </w:p>
              </w:tc>
              <w:tc>
                <w:tcPr/>
                <w:p>
                  <w:pPr>
                    <w:pStyle w:val="Compact"/>
                    <w:jc w:val="left"/>
                    <w:jc w:val="left"/>
                  </w:pPr>
                  <w:r>
                    <w:t xml:space="preserve">0.110</w:t>
                  </w:r>
                </w:p>
              </w:tc>
              <w:tc>
                <w:tcPr/>
                <w:p>
                  <w:pPr>
                    <w:pStyle w:val="Compact"/>
                    <w:jc w:val="left"/>
                    <w:jc w:val="left"/>
                  </w:pPr>
                  <w:r>
                    <w:t xml:space="preserve">0.752</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0.122</w:t>
                  </w:r>
                </w:p>
              </w:tc>
              <w:tc>
                <w:tcPr/>
                <w:p>
                  <w:pPr>
                    <w:pStyle w:val="Compact"/>
                    <w:jc w:val="left"/>
                    <w:jc w:val="left"/>
                  </w:pPr>
                  <w:r>
                    <w:t xml:space="preserve">0.259</w:t>
                  </w:r>
                </w:p>
              </w:tc>
              <w:tc>
                <w:tcPr/>
                <w:p>
                  <w:pPr>
                    <w:pStyle w:val="Compact"/>
                    <w:jc w:val="left"/>
                    <w:jc w:val="left"/>
                  </w:pPr>
                  <w:r>
                    <w:t xml:space="preserve">0.126</w:t>
                  </w:r>
                </w:p>
              </w:tc>
              <w:tc>
                <w:tcPr/>
                <w:p>
                  <w:pPr>
                    <w:pStyle w:val="Compact"/>
                    <w:jc w:val="left"/>
                    <w:jc w:val="left"/>
                  </w:pPr>
                  <w:r>
                    <w:t xml:space="preserve">0.856</w:t>
                  </w:r>
                </w:p>
              </w:tc>
            </w:tr>
          </w:tbl>
          <w:p>
            <w:pPr>
              <w:jc w:val="left"/>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No. The observed modularity is not significantly higher than the null expectation in either phase at any of the three thresholds (smallest p across the six tests = 0.226;</w:t>
      </w:r>
      <w:r>
        <w:t xml:space="preserve"> </w:t>
      </w:r>
      <w:hyperlink w:anchor="tbl-null-modularity">
        <w:r>
          <w:rPr>
            <w:rStyle w:val="Hyperlink"/>
          </w:rPr>
          <w:t xml:space="preserve">Table S 22</w:t>
        </w:r>
      </w:hyperlink>
      <w:r>
        <w:t xml:space="preserve">).</w:t>
      </w:r>
    </w:p>
    <w:p>
      <w:pPr>
        <w:pStyle w:val="BodyText"/>
      </w:pPr>
      <w:r>
        <w:rPr>
          <w:bCs/>
          <w:b/>
        </w:rPr>
        <w:t xml:space="preserve">Implication for the main text.</w:t>
      </w:r>
      <w:r>
        <w:t xml:space="preserve"> </w:t>
      </w:r>
      <w:r>
        <w:t xml:space="preserve">Louvain modularity in each phase is not significantly higher than in random sets of the same number of site-phase assemblages drawn from both phases. At the baseline threshold of 0.2, Aur-P1’s observed modularity (0.336) is higher than the null mean (0.299), but the difference is not significant (p = 0.226). Aur-P2’s observed modularity (0.161) is lower than its null mean (0.243; p = 0.752). The results at thresholds 0.1 and 0.3 are similar (</w:t>
      </w:r>
      <w:hyperlink w:anchor="tbl-null-modularity">
        <w:r>
          <w:rPr>
            <w:rStyle w:val="Hyperlink"/>
          </w:rPr>
          <w:t xml:space="preserve">Table S 22</w:t>
        </w:r>
      </w:hyperlink>
      <w:r>
        <w:t xml:space="preserve">). This agrees with the phase-randomization test in the main text. Thus the modularity values are not evidence of community structure beyond what the site repertoires produce by chance, and they should not be read as evidence for discrete cultural provinces.</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ρ</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-0.254</w:t>
                  </w:r>
                </w:p>
              </w:tc>
              <w:tc>
                <w:tcPr/>
                <w:p>
                  <w:pPr>
                    <w:pStyle w:val="Compact"/>
                    <w:jc w:val="left"/>
                    <w:jc w:val="left"/>
                  </w:pPr>
                  <w:r>
                    <w:t xml:space="preserve">0.280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0.163</w:t>
                  </w:r>
                </w:p>
              </w:tc>
              <w:tc>
                <w:tcPr/>
                <w:p>
                  <w:pPr>
                    <w:pStyle w:val="Compact"/>
                    <w:jc w:val="left"/>
                    <w:jc w:val="left"/>
                  </w:pPr>
                  <w:r>
                    <w:t xml:space="preserve">0.676</w:t>
                  </w:r>
                </w:p>
              </w:tc>
            </w:tr>
          </w:tbl>
          <w:p>
            <w:pPr>
              <w:jc w:val="left"/>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We did not detect a correlation between node degree and sign-type richness in either phase (Aur-P1: ρ = -0.254, p = 0.280; Aur-P2: ρ = 0.163, p = 0.676).</w:t>
      </w:r>
    </w:p>
    <w:p>
      <w:pPr>
        <w:pStyle w:val="BodyText"/>
      </w:pPr>
      <w:r>
        <w:rPr>
          <w:bCs/>
          <w:b/>
        </w:rPr>
        <w:t xml:space="preserve">Implication for the main text.</w:t>
      </w:r>
      <w:r>
        <w:t xml:space="preserve"> </w:t>
      </w:r>
      <w:r>
        <w:t xml:space="preserve">The higher mean degree of Aur-P1 (7.50 at the baseline threshold) than of Aur-P2 (4.22) does not appear to come from richer assemblages in Aur-P1: if richer assemblages mechanically produced more edges, we would expect a positive correlation between richness and degree, and the Aur-P1 correlation is slightly negative. Because the samples are small, these non-significant correlations do not exclude a richness effect. Network size accounts for the mean-degree difference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950"/>
              <w:gridCol w:w="1346"/>
              <w:gridCol w:w="792"/>
              <w:gridCol w:w="792"/>
              <w:gridCol w:w="712"/>
              <w:gridCol w:w="1267"/>
              <w:gridCol w:w="792"/>
              <w:gridCol w:w="792"/>
              <w:gridCol w:w="475"/>
            </w:tblGrid>
            <w:tr>
              <w:trPr>
                <w:tblHeader w:val="true"/>
              </w:trPr>
              <w:tc>
                <w:tcPr/>
                <w:p>
                  <w:pPr>
                    <w:pStyle w:val="Compact"/>
                    <w:jc w:val="left"/>
                    <w:jc w:val="left"/>
                  </w:pPr>
                  <w:r>
                    <w:t xml:space="preserve">Phase</w:t>
                  </w:r>
                </w:p>
              </w:tc>
              <w:tc>
                <w:tcPr/>
                <w:p>
                  <w:pPr>
                    <w:pStyle w:val="Compact"/>
                    <w:jc w:val="left"/>
                    <w:jc w:val="left"/>
                  </w:pPr>
                  <w:r>
                    <w:t xml:space="preserve">Mean degree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c>
                <w:tcPr/>
                <w:p>
                  <w:pPr>
                    <w:pStyle w:val="Compact"/>
                    <w:jc w:val="left"/>
                    <w:jc w:val="left"/>
                  </w:pPr>
                  <w:r>
                    <w:t xml:space="preserve">Q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5.70</w:t>
                  </w:r>
                </w:p>
              </w:tc>
              <w:tc>
                <w:tcPr/>
                <w:p>
                  <w:pPr>
                    <w:pStyle w:val="Compact"/>
                    <w:jc w:val="left"/>
                    <w:jc w:val="left"/>
                  </w:pPr>
                  <w:r>
                    <w:t xml:space="preserve">8.70</w:t>
                  </w:r>
                </w:p>
              </w:tc>
              <w:tc>
                <w:tcPr/>
                <w:p>
                  <w:pPr>
                    <w:pStyle w:val="Compact"/>
                    <w:jc w:val="left"/>
                    <w:jc w:val="left"/>
                  </w:pPr>
                  <w:r>
                    <w:t xml:space="preserve">0.74</w:t>
                  </w:r>
                </w:p>
              </w:tc>
              <w:tc>
                <w:tcPr/>
                <w:p>
                  <w:pPr>
                    <w:pStyle w:val="Compact"/>
                    <w:jc w:val="left"/>
                    <w:jc w:val="left"/>
                  </w:pPr>
                  <w:r>
                    <w:t xml:space="preserve">0.336</w:t>
                  </w:r>
                </w:p>
              </w:tc>
              <w:tc>
                <w:tcPr/>
                <w:p>
                  <w:pPr>
                    <w:pStyle w:val="Compact"/>
                    <w:jc w:val="left"/>
                    <w:jc w:val="left"/>
                  </w:pPr>
                  <w:r>
                    <w:t xml:space="preserve">0.239</w:t>
                  </w:r>
                </w:p>
              </w:tc>
              <w:tc>
                <w:tcPr/>
                <w:p>
                  <w:pPr>
                    <w:pStyle w:val="Compact"/>
                    <w:jc w:val="left"/>
                    <w:jc w:val="left"/>
                  </w:pPr>
                  <w:r>
                    <w:t xml:space="preserve">0.444</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3.33</w:t>
                  </w:r>
                </w:p>
              </w:tc>
              <w:tc>
                <w:tcPr/>
                <w:p>
                  <w:pPr>
                    <w:pStyle w:val="Compact"/>
                    <w:jc w:val="left"/>
                    <w:jc w:val="left"/>
                  </w:pPr>
                  <w:r>
                    <w:t xml:space="preserve">5.78</w:t>
                  </w:r>
                </w:p>
              </w:tc>
              <w:tc>
                <w:tcPr/>
                <w:p>
                  <w:pPr>
                    <w:pStyle w:val="Compact"/>
                    <w:jc w:val="left"/>
                    <w:jc w:val="left"/>
                  </w:pPr>
                  <w:r>
                    <w:t xml:space="preserve">0.62</w:t>
                  </w:r>
                </w:p>
              </w:tc>
              <w:tc>
                <w:tcPr/>
                <w:p>
                  <w:pPr>
                    <w:pStyle w:val="Compact"/>
                    <w:jc w:val="left"/>
                    <w:jc w:val="left"/>
                  </w:pPr>
                  <w:r>
                    <w:t xml:space="preserve">0.161</w:t>
                  </w:r>
                </w:p>
              </w:tc>
              <w:tc>
                <w:tcPr/>
                <w:p>
                  <w:pPr>
                    <w:pStyle w:val="Compact"/>
                    <w:jc w:val="left"/>
                    <w:jc w:val="left"/>
                  </w:pPr>
                  <w:r>
                    <w:t xml:space="preserve">0.081</w:t>
                  </w:r>
                </w:p>
              </w:tc>
              <w:tc>
                <w:tcPr/>
                <w:p>
                  <w:pPr>
                    <w:pStyle w:val="Compact"/>
                    <w:jc w:val="left"/>
                    <w:jc w:val="left"/>
                  </w:pPr>
                  <w:r>
                    <w:t xml:space="preserve">0.299</w:t>
                  </w:r>
                </w:p>
              </w:tc>
              <w:tc>
                <w:tcPr/>
                <w:p>
                  <w:pPr>
                    <w:pStyle w:val="Compact"/>
                    <w:jc w:val="left"/>
                    <w:jc w:val="left"/>
                  </w:pPr>
                  <w:r>
                    <w:t xml:space="preserve">0.045</w:t>
                  </w:r>
                </w:p>
              </w:tc>
            </w:tr>
          </w:tbl>
          <w:p>
            <w:pPr>
              <w:jc w:val="left"/>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w:t>
            </w:r>
            <w:r>
              <w:t xml:space="preserve"> </w:t>
            </w:r>
            <w:r>
              <w:t xml:space="preserve">[14]</w:t>
            </w:r>
            <w:r>
              <w:t xml:space="preserve">.</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left"/>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pct" w:w="5000"/>
              <w:tblLook w:firstRow="1" w:lastRow="0" w:firstColumn="0" w:lastColumn="0" w:noHBand="0" w:noVBand="0" w:val="0020"/>
              <w:jc w:val="start"/>
              <w:tblLayout w:type="fixed"/>
            </w:tblPr>
            <w:tblGrid>
              <w:gridCol w:w="2376"/>
              <w:gridCol w:w="1188"/>
              <w:gridCol w:w="1188"/>
              <w:gridCol w:w="1742"/>
              <w:gridCol w:w="1425"/>
            </w:tblGrid>
            <w:tr>
              <w:trPr>
                <w:tblHeader w:val="true"/>
              </w:trPr>
              <w:tc>
                <w:tcPr/>
                <w:p>
                  <w:pPr>
                    <w:pStyle w:val="Compact"/>
                    <w:jc w:val="left"/>
                    <w:jc w:val="left"/>
                  </w:pPr>
                  <w:r>
                    <w:t xml:space="preserve">Test</w:t>
                  </w:r>
                </w:p>
              </w:tc>
              <w:tc>
                <w:tcPr/>
                <w:p>
                  <w:pPr>
                    <w:pStyle w:val="Compact"/>
                    <w:jc w:val="left"/>
                    <w:jc w:val="left"/>
                  </w:pPr>
                  <w:r>
                    <w:t xml:space="preserve">R</w:t>
                  </w:r>
                </w:p>
              </w:tc>
              <w:tc>
                <w:tcPr/>
                <w:p>
                  <w:pPr>
                    <w:pStyle w:val="Compact"/>
                    <w:jc w:val="left"/>
                    <w:jc w:val="left"/>
                  </w:pPr>
                  <w:r>
                    <w:t xml:space="preserve">Raw p</w:t>
                  </w:r>
                </w:p>
              </w:tc>
              <w:tc>
                <w:tcPr/>
                <w:p>
                  <w:pPr>
                    <w:pStyle w:val="Compact"/>
                    <w:jc w:val="left"/>
                    <w:jc w:val="left"/>
                  </w:pPr>
                  <w:r>
                    <w:t xml:space="preserve">BH-adjusted p</w:t>
                  </w:r>
                </w:p>
              </w:tc>
              <w:tc>
                <w:tcPr/>
                <w:p>
                  <w:pPr>
                    <w:pStyle w:val="Compact"/>
                    <w:jc w:val="left"/>
                    <w:jc w:val="left"/>
                  </w:pPr>
                  <w:r>
                    <w:t xml:space="preserve">Significant</w:t>
                  </w:r>
                </w:p>
              </w:tc>
            </w:tr>
            <w:tr>
              <w:tc>
                <w:tcPr/>
                <w:p>
                  <w:pPr>
                    <w:pStyle w:val="Compact"/>
                    <w:jc w:val="left"/>
                    <w:jc w:val="left"/>
                  </w:pPr>
                  <w:r>
                    <w:t xml:space="preserve">Euclidean – 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Euclidean – 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0.967</w:t>
                  </w:r>
                </w:p>
              </w:tc>
              <w:tc>
                <w:tcPr/>
                <w:p>
                  <w:pPr>
                    <w:pStyle w:val="Compact"/>
                    <w:jc w:val="left"/>
                    <w:jc w:val="left"/>
                  </w:pPr>
                  <w:r>
                    <w:t xml:space="preserve">No</w:t>
                  </w:r>
                </w:p>
              </w:tc>
            </w:tr>
            <w:tr>
              <w:tc>
                <w:tcPr/>
                <w:p>
                  <w:pPr>
                    <w:pStyle w:val="Compact"/>
                    <w:jc w:val="left"/>
                    <w:jc w:val="left"/>
                  </w:pPr>
                  <w:r>
                    <w:t xml:space="preserve">Geodesic – 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Geodesic – Aur-P2</w:t>
                  </w:r>
                </w:p>
              </w:tc>
              <w:tc>
                <w:tcPr/>
                <w:p>
                  <w:pPr>
                    <w:pStyle w:val="Compact"/>
                    <w:jc w:val="left"/>
                    <w:jc w:val="left"/>
                  </w:pPr>
                  <w:r>
                    <w:t xml:space="preserve">-0.299</w:t>
                  </w:r>
                </w:p>
              </w:tc>
              <w:tc>
                <w:tcPr/>
                <w:p>
                  <w:pPr>
                    <w:pStyle w:val="Compact"/>
                    <w:jc w:val="left"/>
                    <w:jc w:val="left"/>
                  </w:pPr>
                  <w:r>
                    <w:t xml:space="preserve">0.967</w:t>
                  </w:r>
                </w:p>
              </w:tc>
              <w:tc>
                <w:tcPr/>
                <w:p>
                  <w:pPr>
                    <w:pStyle w:val="Compact"/>
                    <w:jc w:val="left"/>
                    <w:jc w:val="left"/>
                  </w:pPr>
                  <w:r>
                    <w:t xml:space="preserve">0.967</w:t>
                  </w:r>
                </w:p>
              </w:tc>
              <w:tc>
                <w:tcPr/>
                <w:p>
                  <w:pPr>
                    <w:pStyle w:val="Compact"/>
                    <w:jc w:val="left"/>
                    <w:jc w:val="left"/>
                  </w:pPr>
                  <w:r>
                    <w:t xml:space="preserve">No</w:t>
                  </w:r>
                </w:p>
              </w:tc>
            </w:tr>
          </w:tbl>
          <w:p>
            <w:pPr>
              <w:jc w:val="left"/>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agrees with the main text: the Mantel tests detect no isolation by distance in either phase. The Mantel correlation is weakly positive in Aur-P1 and weakly negative in Aur-P2. A non-significant Mantel test does not show that geography has no effect, because at these sample sizes the tests can detect only moderate or strong correlations (</w:t>
      </w:r>
      <w:r>
        <w:t xml:space="preserve">Section S1.13</w:t>
      </w:r>
      <w:r>
        <w:t xml:space="preserve">). Outside the Mantel framework, a linear trend surface finds a weak geographic trend in Aur-P1 (adjusted R² = 0.057, p = 0.038) and no trend in Aur-P2 (p = 0.85;</w:t>
      </w:r>
      <w:r>
        <w:t xml:space="preserve"> </w:t>
      </w:r>
      <w:r>
        <w:t xml:space="preserve">Section S1.4.4</w:t>
      </w:r>
      <w:r>
        <w:t xml:space="preserve">).</w:t>
      </w:r>
    </w:p>
    <w:p>
      <w:pPr>
        <w:pStyle w:val="BodyText"/>
      </w:pPr>
      <w:r>
        <w:rPr>
          <w:bCs/>
          <w:b/>
        </w:rPr>
        <w:t xml:space="preserve">Implication for the main text.</w:t>
      </w:r>
      <w:r>
        <w:t xml:space="preserve"> </w:t>
      </w:r>
      <w:r>
        <w:t xml:space="preserve">Correction does not change the Mantel result: no isolation by distance is detected in either phase. Aur-P1 still shows a weak linear geographic trend (</w:t>
      </w:r>
      <w:r>
        <w:t xml:space="preserve">Section S1.4.4</w:t>
      </w:r>
      <w:r>
        <w:t xml:space="preserve">;</w:t>
      </w:r>
      <w:r>
        <w:t xml:space="preserve"> </w:t>
      </w:r>
      <w:r>
        <w:t xml:space="preserve">Section S1.3.3</w:t>
      </w:r>
      <w:r>
        <w:t xml:space="preserve">).</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pct" w:w="5000"/>
              <w:tblLook w:firstRow="1" w:lastRow="0" w:firstColumn="0" w:lastColumn="0" w:noHBand="0" w:noVBand="0" w:val="0020"/>
              <w:jc w:val="start"/>
              <w:tblLayout w:type="fixed"/>
            </w:tblPr>
            <w:tblGrid>
              <w:gridCol w:w="1121"/>
              <w:gridCol w:w="841"/>
              <w:gridCol w:w="981"/>
              <w:gridCol w:w="911"/>
              <w:gridCol w:w="981"/>
              <w:gridCol w:w="911"/>
              <w:gridCol w:w="911"/>
              <w:gridCol w:w="1261"/>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Obs. md</w:t>
                  </w:r>
                </w:p>
              </w:tc>
              <w:tc>
                <w:tcPr/>
                <w:p>
                  <w:pPr>
                    <w:pStyle w:val="Compact"/>
                    <w:jc w:val="left"/>
                    <w:jc w:val="left"/>
                  </w:pPr>
                  <w:r>
                    <w:t xml:space="preserve">ER md</w:t>
                  </w:r>
                </w:p>
              </w:tc>
              <w:tc>
                <w:tcPr/>
                <w:p>
                  <w:pPr>
                    <w:pStyle w:val="Compact"/>
                    <w:jc w:val="left"/>
                    <w:jc w:val="left"/>
                  </w:pPr>
                  <w:r>
                    <w:t xml:space="preserve">MD ratio</w:t>
                  </w:r>
                </w:p>
              </w:tc>
              <w:tc>
                <w:tcPr/>
                <w:p>
                  <w:pPr>
                    <w:pStyle w:val="Compact"/>
                    <w:jc w:val="left"/>
                    <w:jc w:val="left"/>
                  </w:pPr>
                  <w:r>
                    <w:t xml:space="preserve">Obs. Q</w:t>
                  </w:r>
                </w:p>
              </w:tc>
              <w:tc>
                <w:tcPr/>
                <w:p>
                  <w:pPr>
                    <w:pStyle w:val="Compact"/>
                    <w:jc w:val="left"/>
                    <w:jc w:val="left"/>
                  </w:pPr>
                  <w:r>
                    <w:t xml:space="preserve">ER Q</w:t>
                  </w:r>
                </w:p>
              </w:tc>
              <w:tc>
                <w:tcPr/>
                <w:p>
                  <w:pPr>
                    <w:pStyle w:val="Compact"/>
                    <w:jc w:val="left"/>
                    <w:jc w:val="left"/>
                  </w:pPr>
                  <w:r>
                    <w:t xml:space="preserve">Q ratio</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7.50</w:t>
                  </w:r>
                </w:p>
              </w:tc>
              <w:tc>
                <w:tcPr/>
                <w:p>
                  <w:pPr>
                    <w:pStyle w:val="Compact"/>
                    <w:jc w:val="left"/>
                    <w:jc w:val="left"/>
                  </w:pPr>
                  <w:r>
                    <w:t xml:space="preserve">7.53</w:t>
                  </w:r>
                </w:p>
              </w:tc>
              <w:tc>
                <w:tcPr/>
                <w:p>
                  <w:pPr>
                    <w:pStyle w:val="Compact"/>
                    <w:jc w:val="left"/>
                    <w:jc w:val="left"/>
                  </w:pPr>
                  <w:r>
                    <w:t xml:space="preserve">1.00</w:t>
                  </w:r>
                </w:p>
              </w:tc>
              <w:tc>
                <w:tcPr/>
                <w:p>
                  <w:pPr>
                    <w:pStyle w:val="Compact"/>
                    <w:jc w:val="left"/>
                    <w:jc w:val="left"/>
                  </w:pPr>
                  <w:r>
                    <w:t xml:space="preserve">0.34</w:t>
                  </w:r>
                </w:p>
              </w:tc>
              <w:tc>
                <w:tcPr/>
                <w:p>
                  <w:pPr>
                    <w:pStyle w:val="Compact"/>
                    <w:jc w:val="left"/>
                    <w:jc w:val="left"/>
                  </w:pPr>
                  <w:r>
                    <w:t xml:space="preserve">0.18</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4.22</w:t>
                  </w:r>
                </w:p>
              </w:tc>
              <w:tc>
                <w:tcPr/>
                <w:p>
                  <w:pPr>
                    <w:pStyle w:val="Compact"/>
                    <w:jc w:val="left"/>
                    <w:jc w:val="left"/>
                  </w:pPr>
                  <w:r>
                    <w:t xml:space="preserve">4.17</w:t>
                  </w:r>
                </w:p>
              </w:tc>
              <w:tc>
                <w:tcPr/>
                <w:p>
                  <w:pPr>
                    <w:pStyle w:val="Compact"/>
                    <w:jc w:val="left"/>
                    <w:jc w:val="left"/>
                  </w:pPr>
                  <w:r>
                    <w:t xml:space="preserve">1.01</w:t>
                  </w:r>
                </w:p>
              </w:tc>
              <w:tc>
                <w:tcPr/>
                <w:p>
                  <w:pPr>
                    <w:pStyle w:val="Compact"/>
                    <w:jc w:val="left"/>
                    <w:jc w:val="left"/>
                  </w:pPr>
                  <w:r>
                    <w:t xml:space="preserve">0.16</w:t>
                  </w:r>
                </w:p>
              </w:tc>
              <w:tc>
                <w:tcPr/>
                <w:p>
                  <w:pPr>
                    <w:pStyle w:val="Compact"/>
                    <w:jc w:val="left"/>
                    <w:jc w:val="left"/>
                  </w:pPr>
                  <w:r>
                    <w:t xml:space="preserve">0.13</w:t>
                  </w:r>
                </w:p>
              </w:tc>
              <w:tc>
                <w:tcPr/>
                <w:p>
                  <w:pPr>
                    <w:pStyle w:val="Compact"/>
                    <w:jc w:val="left"/>
                    <w:jc w:val="left"/>
                  </w:pPr>
                  <w:r>
                    <w:t xml:space="preserve">1.27</w:t>
                  </w:r>
                </w:p>
              </w:tc>
            </w:tr>
          </w:tbl>
          <w:p>
            <w:pPr>
              <w:jc w:val="left"/>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observed modularity is higher than in Erdos-Renyi random graphs of the same size and density. This benchmark ignores the richness structure of the sign data, so it is not a strong null. When each phase is compared with random sets of real site-phase assemblages of the same size (</w:t>
      </w:r>
      <w:r>
        <w:t xml:space="preserve">Section S1.7.2</w:t>
      </w:r>
      <w:r>
        <w:t xml:space="preserve">), neither phase has higher modularity than expected, and the pairwise permutation test in the main text finds no difference in modularity between the phases. The larger Q ratio in Aur-P1 is therefore descriptive only.</w:t>
      </w:r>
    </w:p>
    <w:p>
      <w:pPr>
        <w:pStyle w:val="FirstParagraph"/>
      </w:pPr>
      <w:r>
        <w:t xml:space="preserve">In short, size normalisation removes the mean-degree difference between the phases. Both phases are more modular than Erdos-Renyi graphs, but the modularity difference between them is not stable across assignment schemes (</w:t>
      </w:r>
      <w:r>
        <w:t xml:space="preserve">Section S1.5.5</w:t>
      </w:r>
      <w:r>
        <w:t xml:space="preserve">) and is not significant in the permutation tests.</w:t>
      </w:r>
    </w:p>
    <w:p>
      <w:pPr>
        <w:pStyle w:val="BodyText"/>
      </w:pPr>
      <w:r>
        <w:rPr>
          <w:bCs/>
          <w:b/>
        </w:rPr>
        <w:t xml:space="preserve">Implication for the main text.</w:t>
      </w:r>
      <w:r>
        <w:t xml:space="preserve"> </w:t>
      </w:r>
      <w:r>
        <w:t xml:space="preserve">After size normalisation, there is no evidence that either phase is more connected or more modular than the other.</w:t>
      </w:r>
    </w:p>
    <w:bookmarkEnd w:id="143"/>
    <w:bookmarkEnd w:id="144"/>
    <w:bookmarkEnd w:id="145"/>
    <w:bookmarkStart w:id="165"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50" w:name="sec-s8-1"/>
    <w:p>
      <w:pPr>
        <w:pStyle w:val="Heading2"/>
      </w:pPr>
      <w:r>
        <w:t xml:space="preserve">S1.8.2 Multiple regression on distance matrices</w:t>
      </w:r>
    </w:p>
    <w:bookmarkStart w:id="148"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S 27</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7" w:name="tbl-mrm"/>
          <w:tbl>
            <w:tblPr>
              <w:tblStyle w:val="Table"/>
              <w:tblW w:type="pct" w:w="5000"/>
              <w:tblLook w:firstRow="1" w:lastRow="0" w:firstColumn="0" w:lastColumn="0" w:noHBand="0" w:noVBand="0" w:val="0020"/>
              <w:jc w:val="start"/>
              <w:tblLayout w:type="fixed"/>
            </w:tblPr>
            <w:tblGrid>
              <w:gridCol w:w="792"/>
              <w:gridCol w:w="792"/>
              <w:gridCol w:w="1029"/>
              <w:gridCol w:w="871"/>
              <w:gridCol w:w="633"/>
              <w:gridCol w:w="1267"/>
              <w:gridCol w:w="792"/>
              <w:gridCol w:w="712"/>
              <w:gridCol w:w="554"/>
              <w:gridCol w:w="475"/>
            </w:tblGrid>
            <w:tr>
              <w:trPr>
                <w:tblHeader w:val="true"/>
              </w:trPr>
              <w:tc>
                <w:tcPr/>
                <w:p>
                  <w:pPr>
                    <w:pStyle w:val="Compact"/>
                    <w:jc w:val="left"/>
                    <w:jc w:val="left"/>
                  </w:pPr>
                  <w:r>
                    <w:t xml:space="preserve">Phase</w:t>
                  </w:r>
                </w:p>
              </w:tc>
              <w:tc>
                <w:tcPr/>
                <w:p>
                  <w:pPr>
                    <w:pStyle w:val="Compact"/>
                    <w:jc w:val="left"/>
                    <w:jc w:val="left"/>
                  </w:pPr>
                  <w:r>
                    <w:t xml:space="preserve">Driver</w:t>
                  </w:r>
                </w:p>
              </w:tc>
              <w:tc>
                <w:tcPr/>
                <w:p>
                  <w:pPr>
                    <w:pStyle w:val="Compact"/>
                    <w:jc w:val="left"/>
                    <w:jc w:val="left"/>
                  </w:pPr>
                  <w:r>
                    <w:t xml:space="preserve">Coefficient (per SD)</w:t>
                  </w:r>
                </w:p>
              </w:tc>
              <w:tc>
                <w:tcPr/>
                <w:p>
                  <w:pPr>
                    <w:pStyle w:val="Compact"/>
                    <w:jc w:val="left"/>
                    <w:jc w:val="left"/>
                  </w:pPr>
                  <w:r>
                    <w:t xml:space="preserve">Permutation p</w:t>
                  </w:r>
                </w:p>
              </w:tc>
              <w:tc>
                <w:tcPr/>
                <w:p>
                  <w:pPr>
                    <w:pStyle w:val="Compact"/>
                    <w:jc w:val="left"/>
                    <w:jc w:val="left"/>
                  </w:pPr>
                  <w:r>
                    <w:t xml:space="preserve">1 SD</w:t>
                  </w:r>
                </w:p>
              </w:tc>
              <w:tc>
                <w:tcPr/>
                <w:p>
                  <w:pPr>
                    <w:pStyle w:val="Compact"/>
                    <w:jc w:val="left"/>
                    <w:jc w:val="left"/>
                  </w:pPr>
                  <w:r>
                    <w:t xml:space="preserve">Change over observed range</w:t>
                  </w:r>
                </w:p>
              </w:tc>
              <w:tc>
                <w:tcPr/>
                <w:p>
                  <w:pPr>
                    <w:pStyle w:val="Compact"/>
                    <w:jc w:val="left"/>
                    <w:jc w:val="left"/>
                  </w:pPr>
                  <w:r>
                    <w:t xml:space="preserve">Model R2</w:t>
                  </w:r>
                </w:p>
              </w:tc>
              <w:tc>
                <w:tcPr/>
                <w:p>
                  <w:pPr>
                    <w:pStyle w:val="Compact"/>
                    <w:jc w:val="left"/>
                    <w:jc w:val="left"/>
                  </w:pPr>
                  <w:r>
                    <w:t xml:space="preserve">Model p</w:t>
                  </w:r>
                </w:p>
              </w:tc>
              <w:tc>
                <w:tcPr/>
                <w:p>
                  <w:pPr>
                    <w:pStyle w:val="Compact"/>
                    <w:jc w:val="left"/>
                    <w:jc w:val="left"/>
                  </w:pPr>
                  <w:r>
                    <w:t xml:space="preserve">Sites</w:t>
                  </w:r>
                </w:p>
              </w:tc>
              <w:tc>
                <w:tcPr/>
                <w:p>
                  <w:pPr>
                    <w:pStyle w:val="Compact"/>
                    <w:jc w:val="left"/>
                    <w:jc w:val="left"/>
                  </w:pPr>
                  <w:r>
                    <w:t xml:space="preserve">Site pairs</w:t>
                  </w:r>
                </w:p>
              </w:tc>
            </w:tr>
            <w:tr>
              <w:tc>
                <w:tcPr/>
                <w:p>
                  <w:pPr>
                    <w:pStyle w:val="Compact"/>
                    <w:jc w:val="left"/>
                    <w:jc w:val="left"/>
                  </w:pPr>
                  <w:r>
                    <w:t xml:space="preserve">Aur-P1</w:t>
                  </w:r>
                </w:p>
              </w:tc>
              <w:tc>
                <w:tcPr/>
                <w:p>
                  <w:pPr>
                    <w:pStyle w:val="Compact"/>
                    <w:jc w:val="left"/>
                    <w:jc w:val="left"/>
                  </w:pPr>
                  <w:r>
                    <w:t xml:space="preserve">Geographic distance</w:t>
                  </w:r>
                </w:p>
              </w:tc>
              <w:tc>
                <w:tcPr/>
                <w:p>
                  <w:pPr>
                    <w:pStyle w:val="Compact"/>
                    <w:jc w:val="left"/>
                    <w:jc w:val="left"/>
                  </w:pPr>
                  <w:r>
                    <w:t xml:space="preserve">+0.016</w:t>
                  </w:r>
                </w:p>
              </w:tc>
              <w:tc>
                <w:tcPr/>
                <w:p>
                  <w:pPr>
                    <w:pStyle w:val="Compact"/>
                    <w:jc w:val="left"/>
                    <w:jc w:val="left"/>
                  </w:pPr>
                  <w:r>
                    <w:t xml:space="preserve">0.421</w:t>
                  </w:r>
                </w:p>
              </w:tc>
              <w:tc>
                <w:tcPr/>
                <w:p>
                  <w:pPr>
                    <w:pStyle w:val="Compact"/>
                    <w:jc w:val="left"/>
                    <w:jc w:val="left"/>
                  </w:pPr>
                  <w:r>
                    <w:t xml:space="preserve">320 km</w:t>
                  </w:r>
                </w:p>
              </w:tc>
              <w:tc>
                <w:tcPr/>
                <w:p>
                  <w:pPr>
                    <w:pStyle w:val="Compact"/>
                    <w:jc w:val="left"/>
                    <w:jc w:val="left"/>
                  </w:pPr>
                  <w:r>
                    <w:t xml:space="preserve">+8.2 points over 1630 km</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Temporal lag</w:t>
                  </w:r>
                </w:p>
              </w:tc>
              <w:tc>
                <w:tcPr/>
                <w:p>
                  <w:pPr>
                    <w:pStyle w:val="Compact"/>
                    <w:jc w:val="left"/>
                    <w:jc w:val="left"/>
                  </w:pPr>
                  <w:r>
                    <w:t xml:space="preserve">-0.015</w:t>
                  </w:r>
                </w:p>
              </w:tc>
              <w:tc>
                <w:tcPr/>
                <w:p>
                  <w:pPr>
                    <w:pStyle w:val="Compact"/>
                    <w:jc w:val="left"/>
                    <w:jc w:val="left"/>
                  </w:pPr>
                  <w:r>
                    <w:t xml:space="preserve">0.535</w:t>
                  </w:r>
                </w:p>
              </w:tc>
              <w:tc>
                <w:tcPr/>
                <w:p>
                  <w:pPr>
                    <w:pStyle w:val="Compact"/>
                    <w:jc w:val="left"/>
                    <w:jc w:val="left"/>
                  </w:pPr>
                  <w:r>
                    <w:t xml:space="preserve">2 ka</w:t>
                  </w:r>
                </w:p>
              </w:tc>
              <w:tc>
                <w:tcPr/>
                <w:p>
                  <w:pPr>
                    <w:pStyle w:val="Compact"/>
                    <w:jc w:val="left"/>
                    <w:jc w:val="left"/>
                  </w:pPr>
                  <w:r>
                    <w:t xml:space="preserve">-7.5 points over 8 ka</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Object-count difference</w:t>
                  </w:r>
                </w:p>
              </w:tc>
              <w:tc>
                <w:tcPr/>
                <w:p>
                  <w:pPr>
                    <w:pStyle w:val="Compact"/>
                    <w:jc w:val="left"/>
                    <w:jc w:val="left"/>
                  </w:pPr>
                  <w:r>
                    <w:t xml:space="preserve">+0.028</w:t>
                  </w:r>
                </w:p>
              </w:tc>
              <w:tc>
                <w:tcPr/>
                <w:p>
                  <w:pPr>
                    <w:pStyle w:val="Compact"/>
                    <w:jc w:val="left"/>
                    <w:jc w:val="left"/>
                  </w:pPr>
                  <w:r>
                    <w:t xml:space="preserve">0.325</w:t>
                  </w:r>
                </w:p>
              </w:tc>
              <w:tc>
                <w:tcPr/>
                <w:p>
                  <w:pPr>
                    <w:pStyle w:val="Compact"/>
                    <w:jc w:val="left"/>
                    <w:jc w:val="left"/>
                  </w:pPr>
                  <w:r>
                    <w:t xml:space="preserve">47 objects</w:t>
                  </w:r>
                </w:p>
              </w:tc>
              <w:tc>
                <w:tcPr/>
                <w:p>
                  <w:pPr>
                    <w:pStyle w:val="Compact"/>
                    <w:jc w:val="left"/>
                    <w:jc w:val="left"/>
                  </w:pPr>
                  <w:r>
                    <w:t xml:space="preserve">+10.3 points over 172 objects</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Geographic distance</w:t>
                  </w:r>
                </w:p>
              </w:tc>
              <w:tc>
                <w:tcPr/>
                <w:p>
                  <w:pPr>
                    <w:pStyle w:val="Compact"/>
                    <w:jc w:val="left"/>
                    <w:jc w:val="left"/>
                  </w:pPr>
                  <w:r>
                    <w:t xml:space="preserve">-0.057</w:t>
                  </w:r>
                </w:p>
              </w:tc>
              <w:tc>
                <w:tcPr/>
                <w:p>
                  <w:pPr>
                    <w:pStyle w:val="Compact"/>
                    <w:jc w:val="left"/>
                    <w:jc w:val="left"/>
                  </w:pPr>
                  <w:r>
                    <w:t xml:space="preserve">0.221</w:t>
                  </w:r>
                </w:p>
              </w:tc>
              <w:tc>
                <w:tcPr/>
                <w:p>
                  <w:pPr>
                    <w:pStyle w:val="Compact"/>
                    <w:jc w:val="left"/>
                    <w:jc w:val="left"/>
                  </w:pPr>
                  <w:r>
                    <w:t xml:space="preserve">466 km</w:t>
                  </w:r>
                </w:p>
              </w:tc>
              <w:tc>
                <w:tcPr/>
                <w:p>
                  <w:pPr>
                    <w:pStyle w:val="Compact"/>
                    <w:jc w:val="left"/>
                    <w:jc w:val="left"/>
                  </w:pPr>
                  <w:r>
                    <w:t xml:space="preserve">-23.0 points over 1878 km</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Temporal lag</w:t>
                  </w:r>
                </w:p>
              </w:tc>
              <w:tc>
                <w:tcPr/>
                <w:p>
                  <w:pPr>
                    <w:pStyle w:val="Compact"/>
                    <w:jc w:val="left"/>
                    <w:jc w:val="left"/>
                  </w:pPr>
                  <w:r>
                    <w:t xml:space="preserve">-0.024</w:t>
                  </w:r>
                </w:p>
              </w:tc>
              <w:tc>
                <w:tcPr/>
                <w:p>
                  <w:pPr>
                    <w:pStyle w:val="Compact"/>
                    <w:jc w:val="left"/>
                    <w:jc w:val="left"/>
                  </w:pPr>
                  <w:r>
                    <w:t xml:space="preserve">0.605</w:t>
                  </w:r>
                </w:p>
              </w:tc>
              <w:tc>
                <w:tcPr/>
                <w:p>
                  <w:pPr>
                    <w:pStyle w:val="Compact"/>
                    <w:jc w:val="left"/>
                    <w:jc w:val="left"/>
                  </w:pPr>
                  <w:r>
                    <w:t xml:space="preserve">2 ka</w:t>
                  </w:r>
                </w:p>
              </w:tc>
              <w:tc>
                <w:tcPr/>
                <w:p>
                  <w:pPr>
                    <w:pStyle w:val="Compact"/>
                    <w:jc w:val="left"/>
                    <w:jc w:val="left"/>
                  </w:pPr>
                  <w:r>
                    <w:t xml:space="preserve">-9.5 points over 7 ka</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Object-count difference</w:t>
                  </w:r>
                </w:p>
              </w:tc>
              <w:tc>
                <w:tcPr/>
                <w:p>
                  <w:pPr>
                    <w:pStyle w:val="Compact"/>
                    <w:jc w:val="left"/>
                    <w:jc w:val="left"/>
                  </w:pPr>
                  <w:r>
                    <w:t xml:space="preserve">+0.033</w:t>
                  </w:r>
                </w:p>
              </w:tc>
              <w:tc>
                <w:tcPr/>
                <w:p>
                  <w:pPr>
                    <w:pStyle w:val="Compact"/>
                    <w:jc w:val="left"/>
                    <w:jc w:val="left"/>
                  </w:pPr>
                  <w:r>
                    <w:t xml:space="preserve">0.520</w:t>
                  </w:r>
                </w:p>
              </w:tc>
              <w:tc>
                <w:tcPr/>
                <w:p>
                  <w:pPr>
                    <w:pStyle w:val="Compact"/>
                    <w:jc w:val="left"/>
                    <w:jc w:val="left"/>
                  </w:pPr>
                  <w:r>
                    <w:t xml:space="preserve">9 objects</w:t>
                  </w:r>
                </w:p>
              </w:tc>
              <w:tc>
                <w:tcPr/>
                <w:p>
                  <w:pPr>
                    <w:pStyle w:val="Compact"/>
                    <w:jc w:val="left"/>
                    <w:jc w:val="left"/>
                  </w:pPr>
                  <w:r>
                    <w:t xml:space="preserve">+9.8 points over 28 objects</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bl>
          <w:p>
            <w:pPr>
              <w:jc w:val="left"/>
            </w:pPr>
            <w:pPr>
              <w:jc w:val="start"/>
              <w:spacing w:before="200"/>
              <w:pStyle w:val="ImageCaption"/>
            </w:pPr>
            <w:r>
              <w:t xml:space="preserve">Table S 27: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7"/>
        </w:tc>
      </w:tr>
    </w:tbl>
    <w:bookmarkEnd w:id="148"/>
    <w:bookmarkStart w:id="149"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S 27</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9"/>
    <w:bookmarkEnd w:id="150"/>
    <w:bookmarkStart w:id="155" w:name="sec-s8-2"/>
    <w:p>
      <w:pPr>
        <w:pStyle w:val="Heading2"/>
      </w:pPr>
      <w:r>
        <w:t xml:space="preserve">S1.8.3 Time-lag check</w:t>
      </w:r>
    </w:p>
    <w:bookmarkStart w:id="151"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comes from the gap between Aur-P1 and Aur-P2 (mean lag 4.25 ka between sites in different phases).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1"/>
    <w:bookmarkStart w:id="153"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(the objects of Hohle Fels from both phases are pooled into one site, with one median date)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2" w:name="tbl-ts-lag"/>
          <w:tbl>
            <w:tblPr>
              <w:tblStyle w:val="Table"/>
              <w:tblW w:type="pct" w:w="5000"/>
              <w:tblLook w:firstRow="1" w:lastRow="0" w:firstColumn="0" w:lastColumn="0" w:noHBand="0" w:noVBand="0" w:val="0020"/>
              <w:jc w:val="start"/>
              <w:tblLayout w:type="fixed"/>
            </w:tblPr>
            <w:tblGrid>
              <w:gridCol w:w="1742"/>
              <w:gridCol w:w="1425"/>
              <w:gridCol w:w="3009"/>
              <w:gridCol w:w="1742"/>
            </w:tblGrid>
            <w:tr>
              <w:trPr>
                <w:tblHeader w:val="true"/>
              </w:trPr>
              <w:tc>
                <w:tcPr/>
                <w:p>
                  <w:pPr>
                    <w:pStyle w:val="Compact"/>
                    <w:jc w:val="left"/>
                    <w:jc w:val="left"/>
                  </w:pPr>
                  <w:r>
                    <w:t xml:space="preserve">lag_bin</w:t>
                  </w:r>
                </w:p>
              </w:tc>
              <w:tc>
                <w:tcPr/>
                <w:p>
                  <w:pPr>
                    <w:pStyle w:val="Compact"/>
                    <w:jc w:val="left"/>
                    <w:jc w:val="left"/>
                  </w:pPr>
                  <w:r>
                    <w:t xml:space="preserve">Pairs</w:t>
                  </w:r>
                </w:p>
              </w:tc>
              <w:tc>
                <w:tcPr/>
                <w:p>
                  <w:pPr>
                    <w:pStyle w:val="Compact"/>
                    <w:jc w:val="left"/>
                    <w:jc w:val="left"/>
                  </w:pPr>
                  <w:r>
                    <w:t xml:space="preserve">Mean Jaccard dissimilarity</w:t>
                  </w:r>
                </w:p>
              </w:tc>
              <w:tc>
                <w:tcPr/>
                <w:p>
                  <w:pPr>
                    <w:pStyle w:val="Compact"/>
                    <w:jc w:val="left"/>
                    <w:jc w:val="left"/>
                  </w:pPr>
                  <w:r>
                    <w:t xml:space="preserve">SD</w:t>
                  </w:r>
                </w:p>
              </w:tc>
            </w:tr>
            <w:tr>
              <w:tc>
                <w:tcPr/>
                <w:p>
                  <w:pPr>
                    <w:pStyle w:val="Compact"/>
                    <w:jc w:val="left"/>
                    <w:jc w:val="left"/>
                  </w:pPr>
                  <w:r>
                    <w:t xml:space="preserve">[0,2]</w:t>
                  </w:r>
                </w:p>
              </w:tc>
              <w:tc>
                <w:tcPr/>
                <w:p>
                  <w:pPr>
                    <w:pStyle w:val="Compact"/>
                    <w:jc w:val="left"/>
                    <w:jc w:val="left"/>
                  </w:pPr>
                  <w:r>
                    <w:t xml:space="preserve">153</w:t>
                  </w:r>
                </w:p>
              </w:tc>
              <w:tc>
                <w:tcPr/>
                <w:p>
                  <w:pPr>
                    <w:pStyle w:val="Compact"/>
                    <w:jc w:val="left"/>
                    <w:jc w:val="left"/>
                  </w:pPr>
                  <w:r>
                    <w:t xml:space="preserve">0.768</w:t>
                  </w:r>
                </w:p>
              </w:tc>
              <w:tc>
                <w:tcPr/>
                <w:p>
                  <w:pPr>
                    <w:pStyle w:val="Compact"/>
                    <w:jc w:val="left"/>
                    <w:jc w:val="left"/>
                  </w:pPr>
                  <w:r>
                    <w:t xml:space="preserve">0.220</w:t>
                  </w:r>
                </w:p>
              </w:tc>
            </w:tr>
            <w:tr>
              <w:tc>
                <w:tcPr/>
                <w:p>
                  <w:pPr>
                    <w:pStyle w:val="Compact"/>
                    <w:jc w:val="left"/>
                    <w:jc w:val="left"/>
                  </w:pPr>
                  <w:r>
                    <w:t xml:space="preserve">(2,4]</w:t>
                  </w:r>
                </w:p>
              </w:tc>
              <w:tc>
                <w:tcPr/>
                <w:p>
                  <w:pPr>
                    <w:pStyle w:val="Compact"/>
                    <w:jc w:val="left"/>
                    <w:jc w:val="left"/>
                  </w:pPr>
                  <w:r>
                    <w:t xml:space="preserve">109</w:t>
                  </w:r>
                </w:p>
              </w:tc>
              <w:tc>
                <w:tcPr/>
                <w:p>
                  <w:pPr>
                    <w:pStyle w:val="Compact"/>
                    <w:jc w:val="left"/>
                    <w:jc w:val="left"/>
                  </w:pPr>
                  <w:r>
                    <w:t xml:space="preserve">0.761</w:t>
                  </w:r>
                </w:p>
              </w:tc>
              <w:tc>
                <w:tcPr/>
                <w:p>
                  <w:pPr>
                    <w:pStyle w:val="Compact"/>
                    <w:jc w:val="left"/>
                    <w:jc w:val="left"/>
                  </w:pPr>
                  <w:r>
                    <w:t xml:space="preserve">0.233</w:t>
                  </w:r>
                </w:p>
              </w:tc>
            </w:tr>
            <w:tr>
              <w:tc>
                <w:tcPr/>
                <w:p>
                  <w:pPr>
                    <w:pStyle w:val="Compact"/>
                    <w:jc w:val="left"/>
                    <w:jc w:val="left"/>
                  </w:pPr>
                  <w:r>
                    <w:t xml:space="preserve">(4,6]</w:t>
                  </w:r>
                </w:p>
              </w:tc>
              <w:tc>
                <w:tcPr/>
                <w:p>
                  <w:pPr>
                    <w:pStyle w:val="Compact"/>
                    <w:jc w:val="left"/>
                    <w:jc w:val="left"/>
                  </w:pPr>
                  <w:r>
                    <w:t xml:space="preserve">68</w:t>
                  </w:r>
                </w:p>
              </w:tc>
              <w:tc>
                <w:tcPr/>
                <w:p>
                  <w:pPr>
                    <w:pStyle w:val="Compact"/>
                    <w:jc w:val="left"/>
                    <w:jc w:val="left"/>
                  </w:pPr>
                  <w:r>
                    <w:t xml:space="preserve">0.693</w:t>
                  </w:r>
                </w:p>
              </w:tc>
              <w:tc>
                <w:tcPr/>
                <w:p>
                  <w:pPr>
                    <w:pStyle w:val="Compact"/>
                    <w:jc w:val="left"/>
                    <w:jc w:val="left"/>
                  </w:pPr>
                  <w:r>
                    <w:t xml:space="preserve">0.295</w:t>
                  </w:r>
                </w:p>
              </w:tc>
            </w:tr>
            <w:tr>
              <w:tc>
                <w:tcPr/>
                <w:p>
                  <w:pPr>
                    <w:pStyle w:val="Compact"/>
                    <w:jc w:val="left"/>
                    <w:jc w:val="left"/>
                  </w:pPr>
                  <w:r>
                    <w:t xml:space="preserve">(6,8]</w:t>
                  </w:r>
                </w:p>
              </w:tc>
              <w:tc>
                <w:tcPr/>
                <w:p>
                  <w:pPr>
                    <w:pStyle w:val="Compact"/>
                    <w:jc w:val="left"/>
                    <w:jc w:val="left"/>
                  </w:pPr>
                  <w:r>
                    <w:t xml:space="preserve">35</w:t>
                  </w:r>
                </w:p>
              </w:tc>
              <w:tc>
                <w:tcPr/>
                <w:p>
                  <w:pPr>
                    <w:pStyle w:val="Compact"/>
                    <w:jc w:val="left"/>
                    <w:jc w:val="left"/>
                  </w:pPr>
                  <w:r>
                    <w:t xml:space="preserve">0.766</w:t>
                  </w:r>
                </w:p>
              </w:tc>
              <w:tc>
                <w:tcPr/>
                <w:p>
                  <w:pPr>
                    <w:pStyle w:val="Compact"/>
                    <w:jc w:val="left"/>
                    <w:jc w:val="left"/>
                  </w:pPr>
                  <w:r>
                    <w:t xml:space="preserve">0.256</w:t>
                  </w:r>
                </w:p>
              </w:tc>
            </w:tr>
            <w:tr>
              <w:tc>
                <w:tcPr/>
                <w:p>
                  <w:pPr>
                    <w:pStyle w:val="Compact"/>
                    <w:jc w:val="left"/>
                    <w:jc w:val="left"/>
                  </w:pPr>
                  <w:r>
                    <w:t xml:space="preserve">(8,10]</w:t>
                  </w:r>
                </w:p>
              </w:tc>
              <w:tc>
                <w:tcPr/>
                <w:p>
                  <w:pPr>
                    <w:pStyle w:val="Compact"/>
                    <w:jc w:val="left"/>
                    <w:jc w:val="left"/>
                  </w:pPr>
                  <w:r>
                    <w:t xml:space="preserve">10</w:t>
                  </w:r>
                </w:p>
              </w:tc>
              <w:tc>
                <w:tcPr/>
                <w:p>
                  <w:pPr>
                    <w:pStyle w:val="Compact"/>
                    <w:jc w:val="left"/>
                    <w:jc w:val="left"/>
                  </w:pPr>
                  <w:r>
                    <w:t xml:space="preserve">0.638</w:t>
                  </w:r>
                </w:p>
              </w:tc>
              <w:tc>
                <w:tcPr/>
                <w:p>
                  <w:pPr>
                    <w:pStyle w:val="Compact"/>
                    <w:jc w:val="left"/>
                    <w:jc w:val="left"/>
                  </w:pPr>
                  <w:r>
                    <w:t xml:space="preserve">0.359</w:t>
                  </w:r>
                </w:p>
              </w:tc>
            </w:tr>
            <w:tr>
              <w:tc>
                <w:tcPr/>
                <w:p>
                  <w:pPr>
                    <w:pStyle w:val="Compact"/>
                    <w:jc w:val="left"/>
                    <w:jc w:val="left"/>
                  </w:pPr>
                  <w:r>
                    <w:t xml:space="preserve">(10,12]</w:t>
                  </w:r>
                </w:p>
              </w:tc>
              <w:tc>
                <w:tcPr/>
                <w:p>
                  <w:pPr>
                    <w:pStyle w:val="Compact"/>
                    <w:jc w:val="left"/>
                    <w:jc w:val="left"/>
                  </w:pPr>
                  <w:r>
                    <w:t xml:space="preserve">3</w:t>
                  </w:r>
                </w:p>
              </w:tc>
              <w:tc>
                <w:tcPr/>
                <w:p>
                  <w:pPr>
                    <w:pStyle w:val="Compact"/>
                    <w:jc w:val="left"/>
                    <w:jc w:val="left"/>
                  </w:pPr>
                  <w:r>
                    <w:t xml:space="preserve">0.625</w:t>
                  </w:r>
                </w:p>
              </w:tc>
              <w:tc>
                <w:tcPr/>
                <w:p>
                  <w:pPr>
                    <w:pStyle w:val="Compact"/>
                    <w:jc w:val="left"/>
                    <w:jc w:val="left"/>
                  </w:pPr>
                  <w:r>
                    <w:t xml:space="preserve">0.545</w:t>
                  </w:r>
                </w:p>
              </w:tc>
            </w:tr>
          </w:tbl>
          <w:p>
            <w:pPr>
              <w:jc w:val="left"/>
            </w:pPr>
            <w:pPr>
              <w:jc w:val="start"/>
              <w:spacing w:before="200"/>
              <w:pStyle w:val="ImageCaption"/>
            </w:pPr>
            <w:r>
              <w:t xml:space="preserve">Table S 28: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2"/>
        </w:tc>
      </w:tr>
    </w:tbl>
    <w:bookmarkEnd w:id="153"/>
    <w:bookmarkStart w:id="154"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phase boundary therefore does not impose a temporal-turnover signal: sites in different phases are no more dissimilar in sign repertoire than sites within the same phase. This also explains the main-text temporal Mantel result (R = 0.062, p = 0.005): that test uses all 409 objects, and many objects from the same site share one MedianBP, so it overstates the number of independent observations.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temporal Mantel result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4"/>
    <w:bookmarkEnd w:id="155"/>
    <w:bookmarkStart w:id="164" w:name="sec-s8-3"/>
    <w:p>
      <w:pPr>
        <w:pStyle w:val="Heading2"/>
      </w:pPr>
      <w:r>
        <w:t xml:space="preserve">S1.8.4 Objective regional grouping</w:t>
      </w:r>
    </w:p>
    <w:bookmarkStart w:id="162"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 with n = 9 sites,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6" w:name="tbl-region-silhouette"/>
          <w:tbl>
            <w:tblPr>
              <w:tblStyle w:val="Table"/>
              <w:tblW w:type="pct" w:w="5000"/>
              <w:tblLook w:firstRow="1" w:lastRow="0" w:firstColumn="0" w:lastColumn="0" w:noHBand="0" w:noVBand="0" w:val="0020"/>
              <w:jc w:val="start"/>
              <w:tblLayout w:type="fixed"/>
            </w:tblPr>
            <w:tblGrid>
              <w:gridCol w:w="950"/>
              <w:gridCol w:w="2059"/>
              <w:gridCol w:w="554"/>
              <w:gridCol w:w="1267"/>
              <w:gridCol w:w="1742"/>
              <w:gridCol w:w="1346"/>
            </w:tblGrid>
            <w:tr>
              <w:trPr>
                <w:tblHeader w:val="true"/>
              </w:trPr>
              <w:tc>
                <w:tcPr/>
                <w:p>
                  <w:pPr>
                    <w:pStyle w:val="Compact"/>
                    <w:jc w:val="left"/>
                    <w:jc w:val="left"/>
                  </w:pPr>
                  <w:r>
                    <w:t xml:space="preserve">Phase</w:t>
                  </w:r>
                </w:p>
              </w:tc>
              <w:tc>
                <w:tcPr/>
                <w:p>
                  <w:pPr>
                    <w:pStyle w:val="Compact"/>
                    <w:jc w:val="left"/>
                    <w:jc w:val="left"/>
                  </w:pPr>
                  <w:r>
                    <w:t xml:space="preserve">Method</w:t>
                  </w:r>
                </w:p>
              </w:tc>
              <w:tc>
                <w:tcPr/>
                <w:p>
                  <w:pPr>
                    <w:pStyle w:val="Compact"/>
                    <w:jc w:val="left"/>
                    <w:jc w:val="left"/>
                  </w:pPr>
                  <w:r>
                    <w:t xml:space="preserve">k</w:t>
                  </w:r>
                </w:p>
              </w:tc>
              <w:tc>
                <w:tcPr/>
                <w:p>
                  <w:pPr>
                    <w:pStyle w:val="Compact"/>
                    <w:jc w:val="left"/>
                    <w:jc w:val="left"/>
                  </w:pPr>
                  <w:r>
                    <w:t xml:space="preserve">Mean silhouette</w:t>
                  </w:r>
                </w:p>
              </w:tc>
              <w:tc>
                <w:tcPr/>
                <w:p>
                  <w:pPr>
                    <w:pStyle w:val="Compact"/>
                    <w:jc w:val="left"/>
                    <w:jc w:val="left"/>
                  </w:pPr>
                  <w:r>
                    <w:t xml:space="preserve">Sites per region</w:t>
                  </w:r>
                </w:p>
              </w:tc>
              <w:tc>
                <w:tcPr/>
                <w:p>
                  <w:pPr>
                    <w:pStyle w:val="Compact"/>
                    <w:jc w:val="left"/>
                    <w:jc w:val="left"/>
                  </w:pPr>
                  <w:r>
                    <w:t xml:space="preserve">Unstable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0.540</w:t>
                  </w:r>
                </w:p>
              </w:tc>
              <w:tc>
                <w:tcPr/>
                <w:p>
                  <w:pPr>
                    <w:pStyle w:val="Compact"/>
                    <w:jc w:val="left"/>
                    <w:jc w:val="left"/>
                  </w:pPr>
                  <w:r>
                    <w:t xml:space="preserve">12/8</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0.441</w:t>
                  </w:r>
                </w:p>
              </w:tc>
              <w:tc>
                <w:tcPr/>
                <w:p>
                  <w:pPr>
                    <w:pStyle w:val="Compact"/>
                    <w:jc w:val="left"/>
                    <w:jc w:val="left"/>
                  </w:pPr>
                  <w:r>
                    <w:t xml:space="preserve">8/7/5</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0.550</w:t>
                  </w:r>
                </w:p>
              </w:tc>
              <w:tc>
                <w:tcPr/>
                <w:p>
                  <w:pPr>
                    <w:pStyle w:val="Compact"/>
                    <w:jc w:val="left"/>
                    <w:jc w:val="left"/>
                  </w:pPr>
                  <w:r>
                    <w:t xml:space="preserve">8/6/4/2</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0.574</w:t>
                  </w:r>
                </w:p>
              </w:tc>
              <w:tc>
                <w:tcPr/>
                <w:p>
                  <w:pPr>
                    <w:pStyle w:val="Compact"/>
                    <w:jc w:val="left"/>
                    <w:jc w:val="left"/>
                  </w:pPr>
                  <w:r>
                    <w:t xml:space="preserve">8/5/4/2/1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0.609</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0.561</w:t>
                  </w:r>
                </w:p>
              </w:tc>
              <w:tc>
                <w:tcPr/>
                <w:p>
                  <w:pPr>
                    <w:pStyle w:val="Compact"/>
                    <w:jc w:val="left"/>
                    <w:jc w:val="left"/>
                  </w:pPr>
                  <w:r>
                    <w:t xml:space="preserve">4/3/2</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0.477</w:t>
                  </w:r>
                </w:p>
              </w:tc>
              <w:tc>
                <w:tcPr/>
                <w:p>
                  <w:pPr>
                    <w:pStyle w:val="Compact"/>
                    <w:jc w:val="left"/>
                    <w:jc w:val="left"/>
                  </w:pPr>
                  <w:r>
                    <w:t xml:space="preserve">4/2/1/2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0.480</w:t>
                  </w:r>
                </w:p>
              </w:tc>
              <w:tc>
                <w:tcPr/>
                <w:p>
                  <w:pPr>
                    <w:pStyle w:val="Compact"/>
                    <w:jc w:val="left"/>
                    <w:jc w:val="left"/>
                  </w:pPr>
                  <w:r>
                    <w:t xml:space="preserve">3/2/1/2/1</w:t>
                  </w:r>
                </w:p>
              </w:tc>
              <w:tc>
                <w:tcPr/>
                <w:p>
                  <w:pPr>
                    <w:pStyle w:val="Compact"/>
                    <w:jc w:val="left"/>
                    <w:jc w:val="left"/>
                  </w:pPr>
                  <w:r>
                    <w:t xml:space="preserve">TRUE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0.541</w:t>
                  </w:r>
                </w:p>
              </w:tc>
              <w:tc>
                <w:tcPr/>
                <w:p>
                  <w:pPr>
                    <w:pStyle w:val="Compact"/>
                    <w:jc w:val="left"/>
                    <w:jc w:val="left"/>
                  </w:pPr>
                  <w:r>
                    <w:t xml:space="preserve">11/9</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0.547</w:t>
                  </w:r>
                </w:p>
              </w:tc>
              <w:tc>
                <w:tcPr/>
                <w:p>
                  <w:pPr>
                    <w:pStyle w:val="Compact"/>
                    <w:jc w:val="left"/>
                    <w:jc w:val="left"/>
                  </w:pPr>
                  <w:r>
                    <w:t xml:space="preserve">8/6/6</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0.556</w:t>
                  </w:r>
                </w:p>
              </w:tc>
              <w:tc>
                <w:tcPr/>
                <w:p>
                  <w:pPr>
                    <w:pStyle w:val="Compact"/>
                    <w:jc w:val="left"/>
                    <w:jc w:val="left"/>
                  </w:pPr>
                  <w:r>
                    <w:t xml:space="preserve">5/6/8/1</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0.609</w:t>
                  </w:r>
                </w:p>
              </w:tc>
              <w:tc>
                <w:tcPr/>
                <w:p>
                  <w:pPr>
                    <w:pStyle w:val="Compact"/>
                    <w:jc w:val="left"/>
                    <w:jc w:val="left"/>
                  </w:pPr>
                  <w:r>
                    <w:t xml:space="preserve">4/2/5/8/1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0.593</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0.599</w:t>
                  </w:r>
                </w:p>
              </w:tc>
              <w:tc>
                <w:tcPr/>
                <w:p>
                  <w:pPr>
                    <w:pStyle w:val="Compact"/>
                    <w:jc w:val="left"/>
                    <w:jc w:val="left"/>
                  </w:pPr>
                  <w:r>
                    <w:t xml:space="preserve">3/2/4</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0.532</w:t>
                  </w:r>
                </w:p>
              </w:tc>
              <w:tc>
                <w:tcPr/>
                <w:p>
                  <w:pPr>
                    <w:pStyle w:val="Compact"/>
                    <w:jc w:val="left"/>
                    <w:jc w:val="left"/>
                  </w:pPr>
                  <w:r>
                    <w:t xml:space="preserve">1/2/4/2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0.558</w:t>
                  </w:r>
                </w:p>
              </w:tc>
              <w:tc>
                <w:tcPr/>
                <w:p>
                  <w:pPr>
                    <w:pStyle w:val="Compact"/>
                    <w:jc w:val="left"/>
                    <w:jc w:val="left"/>
                  </w:pPr>
                  <w:r>
                    <w:t xml:space="preserve">2/3/1/1/2</w:t>
                  </w:r>
                </w:p>
              </w:tc>
              <w:tc>
                <w:tcPr/>
                <w:p>
                  <w:pPr>
                    <w:pStyle w:val="Compact"/>
                    <w:jc w:val="left"/>
                    <w:jc w:val="left"/>
                  </w:pPr>
                  <w:r>
                    <w:t xml:space="preserve">FALSE</w:t>
                  </w:r>
                </w:p>
              </w:tc>
            </w:tr>
          </w:tbl>
          <w:p>
            <w:pPr>
              <w:jc w:val="left"/>
            </w:pPr>
            <w:pPr>
              <w:jc w:val="start"/>
              <w:spacing w:before="200"/>
              <w:pStyle w:val="ImageCaption"/>
            </w:pPr>
            <w:r>
              <w:t xml:space="preserve">Table S 29: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leaves singleton regions and is flagged unstable. Best PAM k by silhouette is marked.</w:t>
            </w:r>
          </w:p>
          <w:bookmarkEnd w:id="1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7" w:name="tbl-region-permanova"/>
          <w:tbl>
            <w:tblPr>
              <w:tblStyle w:val="Table"/>
              <w:tblW w:type="pct" w:w="5000"/>
              <w:tblLook w:firstRow="1" w:lastRow="0" w:firstColumn="0" w:lastColumn="0" w:noHBand="0" w:noVBand="0" w:val="0020"/>
              <w:jc w:val="start"/>
              <w:tblLayout w:type="fixed"/>
            </w:tblPr>
            <w:tblGrid>
              <w:gridCol w:w="792"/>
              <w:gridCol w:w="2059"/>
              <w:gridCol w:w="1267"/>
              <w:gridCol w:w="871"/>
              <w:gridCol w:w="871"/>
              <w:gridCol w:w="871"/>
              <w:gridCol w:w="1188"/>
            </w:tblGrid>
            <w:tr>
              <w:trPr>
                <w:tblHeader w:val="true"/>
              </w:trPr>
              <w:tc>
                <w:tcPr/>
                <w:p>
                  <w:pPr>
                    <w:pStyle w:val="Compact"/>
                    <w:jc w:val="left"/>
                    <w:jc w:val="left"/>
                  </w:pPr>
                  <w:r>
                    <w:t xml:space="preserve">Phase</w:t>
                  </w:r>
                </w:p>
              </w:tc>
              <w:tc>
                <w:tcPr/>
                <w:p>
                  <w:pPr>
                    <w:pStyle w:val="Compact"/>
                    <w:jc w:val="left"/>
                    <w:jc w:val="left"/>
                  </w:pPr>
                  <w:r>
                    <w:t xml:space="preserve">Partition</w:t>
                  </w:r>
                </w:p>
              </w:tc>
              <w:tc>
                <w:tcPr/>
                <w:p>
                  <w:pPr>
                    <w:pStyle w:val="Compact"/>
                    <w:jc w:val="left"/>
                    <w:jc w:val="left"/>
                  </w:pPr>
                  <w:r>
                    <w:t xml:space="preserve">Term</w:t>
                  </w:r>
                </w:p>
              </w:tc>
              <w:tc>
                <w:tcPr/>
                <w:p>
                  <w:pPr>
                    <w:pStyle w:val="Compact"/>
                    <w:jc w:val="left"/>
                    <w:jc w:val="left"/>
                  </w:pPr>
                  <w:r>
                    <w:t xml:space="preserve">R2</w:t>
                  </w:r>
                </w:p>
              </w:tc>
              <w:tc>
                <w:tcPr/>
                <w:p>
                  <w:pPr>
                    <w:pStyle w:val="Compact"/>
                    <w:jc w:val="left"/>
                    <w:jc w:val="left"/>
                  </w:pPr>
                  <w:r>
                    <w:t xml:space="preserve">F</w:t>
                  </w:r>
                </w:p>
              </w:tc>
              <w:tc>
                <w:tcPr/>
                <w:p>
                  <w:pPr>
                    <w:pStyle w:val="Compact"/>
                    <w:jc w:val="left"/>
                    <w:jc w:val="left"/>
                  </w:pPr>
                  <w:r>
                    <w:t xml:space="preserve">p</w:t>
                  </w:r>
                </w:p>
              </w:tc>
              <w:tc>
                <w:tcPr/>
                <w:p>
                  <w:pPr>
                    <w:pStyle w:val="Compact"/>
                    <w:jc w:val="left"/>
                    <w:jc w:val="left"/>
                  </w:pPr>
                  <w:r>
                    <w:t xml:space="preserve">Betadisper p</w:t>
                  </w:r>
                </w:p>
              </w:tc>
            </w:tr>
            <w:tr>
              <w:tc>
                <w:tcPr/>
                <w:p>
                  <w:pPr>
                    <w:pStyle w:val="Compact"/>
                    <w:jc w:val="left"/>
                    <w:jc w:val="left"/>
                  </w:pPr>
                  <w:r>
                    <w:t xml:space="preserve">Aur-P1</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0.059</w:t>
                  </w:r>
                </w:p>
              </w:tc>
              <w:tc>
                <w:tcPr/>
                <w:p>
                  <w:pPr>
                    <w:pStyle w:val="Compact"/>
                    <w:jc w:val="left"/>
                    <w:jc w:val="left"/>
                  </w:pPr>
                  <w:r>
                    <w:t xml:space="preserve">1.122</w:t>
                  </w:r>
                </w:p>
              </w:tc>
              <w:tc>
                <w:tcPr/>
                <w:p>
                  <w:pPr>
                    <w:pStyle w:val="Compact"/>
                    <w:jc w:val="left"/>
                    <w:jc w:val="left"/>
                  </w:pPr>
                  <w:r>
                    <w:t xml:space="preserve">0.287</w:t>
                  </w:r>
                </w:p>
              </w:tc>
              <w:tc>
                <w:tcPr/>
                <w:p>
                  <w:pPr>
                    <w:pStyle w:val="Compact"/>
                    <w:jc w:val="left"/>
                    <w:jc w:val="left"/>
                  </w:pPr>
                  <w:r>
                    <w:t xml:space="preserve">0.989</w:t>
                  </w:r>
                </w:p>
              </w:tc>
            </w:tr>
            <w:tr>
              <w:tc>
                <w:tcPr/>
                <w:p>
                  <w:pPr>
                    <w:pStyle w:val="Compact"/>
                    <w:jc w:val="left"/>
                    <w:jc w:val="left"/>
                  </w:pPr>
                  <w:r>
                    <w:t xml:space="preserve">Aur-P2</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0.088</w:t>
                  </w:r>
                </w:p>
              </w:tc>
              <w:tc>
                <w:tcPr/>
                <w:p>
                  <w:pPr>
                    <w:pStyle w:val="Compact"/>
                    <w:jc w:val="left"/>
                    <w:jc w:val="left"/>
                  </w:pPr>
                  <w:r>
                    <w:t xml:space="preserve">0.679</w:t>
                  </w:r>
                </w:p>
              </w:tc>
              <w:tc>
                <w:tcPr/>
                <w:p>
                  <w:pPr>
                    <w:pStyle w:val="Compact"/>
                    <w:jc w:val="left"/>
                    <w:jc w:val="left"/>
                  </w:pPr>
                  <w:r>
                    <w:t xml:space="preserve">0.783</w:t>
                  </w:r>
                </w:p>
              </w:tc>
              <w:tc>
                <w:tcPr/>
                <w:p>
                  <w:pPr>
                    <w:pStyle w:val="Compact"/>
                    <w:jc w:val="left"/>
                    <w:jc w:val="left"/>
                  </w:pPr>
                  <w:r>
                    <w:t xml:space="preserve">0.252</w:t>
                  </w:r>
                </w:p>
              </w:tc>
            </w:tr>
            <w:tr>
              <w:tc>
                <w:tcPr/>
                <w:p>
                  <w:pPr>
                    <w:pStyle w:val="Compact"/>
                    <w:jc w:val="left"/>
                    <w:jc w:val="left"/>
                  </w:pPr>
                  <w:r>
                    <w:t xml:space="preserve">Aur-P1</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0.339</w:t>
                  </w:r>
                </w:p>
              </w:tc>
              <w:tc>
                <w:tcPr/>
                <w:p>
                  <w:pPr>
                    <w:pStyle w:val="Compact"/>
                    <w:jc w:val="left"/>
                    <w:jc w:val="left"/>
                  </w:pPr>
                  <w:r>
                    <w:t xml:space="preserve">1.433</w:t>
                  </w:r>
                </w:p>
              </w:tc>
              <w:tc>
                <w:tcPr/>
                <w:p>
                  <w:pPr>
                    <w:pStyle w:val="Compact"/>
                    <w:jc w:val="left"/>
                    <w:jc w:val="left"/>
                  </w:pPr>
                  <w:r>
                    <w:t xml:space="preserve">0.020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0.622</w:t>
                  </w:r>
                </w:p>
              </w:tc>
              <w:tc>
                <w:tcPr/>
                <w:p>
                  <w:pPr>
                    <w:pStyle w:val="Compact"/>
                    <w:jc w:val="left"/>
                    <w:jc w:val="left"/>
                  </w:pPr>
                  <w:r>
                    <w:t xml:space="preserve">0.988</w:t>
                  </w:r>
                </w:p>
              </w:tc>
              <w:tc>
                <w:tcPr/>
                <w:p>
                  <w:pPr>
                    <w:pStyle w:val="Compact"/>
                    <w:jc w:val="left"/>
                    <w:jc w:val="left"/>
                  </w:pPr>
                  <w:r>
                    <w:t xml:space="preserve">0.464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0.058</w:t>
                  </w:r>
                </w:p>
              </w:tc>
              <w:tc>
                <w:tcPr/>
                <w:p>
                  <w:pPr>
                    <w:pStyle w:val="Compact"/>
                    <w:jc w:val="left"/>
                    <w:jc w:val="left"/>
                  </w:pPr>
                  <w:r>
                    <w:t xml:space="preserve">1.319</w:t>
                  </w:r>
                </w:p>
              </w:tc>
              <w:tc>
                <w:tcPr/>
                <w:p>
                  <w:pPr>
                    <w:pStyle w:val="Compact"/>
                    <w:jc w:val="left"/>
                    <w:jc w:val="left"/>
                  </w:pPr>
                  <w:r>
                    <w:t xml:space="preserve">0.164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0.195</w:t>
                  </w:r>
                </w:p>
              </w:tc>
              <w:tc>
                <w:tcPr/>
                <w:p>
                  <w:pPr>
                    <w:pStyle w:val="Compact"/>
                    <w:jc w:val="left"/>
                    <w:jc w:val="left"/>
                  </w:pPr>
                  <w:r>
                    <w:t xml:space="preserve">4.442</w:t>
                  </w:r>
                </w:p>
              </w:tc>
              <w:tc>
                <w:tcPr/>
                <w:p>
                  <w:pPr>
                    <w:pStyle w:val="Compact"/>
                    <w:jc w:val="left"/>
                    <w:jc w:val="left"/>
                  </w:pPr>
                  <w:r>
                    <w:t xml:space="preserve">0.001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0.030</w:t>
                  </w:r>
                </w:p>
              </w:tc>
              <w:tc>
                <w:tcPr/>
                <w:p>
                  <w:pPr>
                    <w:pStyle w:val="Compact"/>
                    <w:jc w:val="left"/>
                    <w:jc w:val="left"/>
                  </w:pPr>
                  <w:r>
                    <w:t xml:space="preserve">0.237</w:t>
                  </w:r>
                </w:p>
              </w:tc>
              <w:tc>
                <w:tcPr/>
                <w:p>
                  <w:pPr>
                    <w:pStyle w:val="Compact"/>
                    <w:jc w:val="left"/>
                    <w:jc w:val="left"/>
                  </w:pPr>
                  <w:r>
                    <w:t xml:space="preserve">1.000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0.164</w:t>
                  </w:r>
                </w:p>
              </w:tc>
              <w:tc>
                <w:tcPr/>
                <w:p>
                  <w:pPr>
                    <w:pStyle w:val="Compact"/>
                    <w:jc w:val="left"/>
                    <w:jc w:val="left"/>
                  </w:pPr>
                  <w:r>
                    <w:t xml:space="preserve">1.316</w:t>
                  </w:r>
                </w:p>
              </w:tc>
              <w:tc>
                <w:tcPr/>
                <w:p>
                  <w:pPr>
                    <w:pStyle w:val="Compact"/>
                    <w:jc w:val="left"/>
                    <w:jc w:val="left"/>
                  </w:pPr>
                  <w:r>
                    <w:t xml:space="preserve">0.267</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0.107</w:t>
                  </w:r>
                </w:p>
              </w:tc>
              <w:tc>
                <w:tcPr/>
                <w:p>
                  <w:pPr>
                    <w:pStyle w:val="Compact"/>
                    <w:jc w:val="left"/>
                    <w:jc w:val="left"/>
                  </w:pPr>
                  <w:r>
                    <w:t xml:space="preserve">1.014</w:t>
                  </w:r>
                </w:p>
              </w:tc>
              <w:tc>
                <w:tcPr/>
                <w:p>
                  <w:pPr>
                    <w:pStyle w:val="Compact"/>
                    <w:jc w:val="left"/>
                    <w:jc w:val="left"/>
                  </w:pPr>
                  <w:r>
                    <w:t xml:space="preserve">0.410</w:t>
                  </w:r>
                </w:p>
              </w:tc>
              <w:tc>
                <w:tcPr/>
                <w:p>
                  <w:pPr>
                    <w:pStyle w:val="Compact"/>
                    <w:jc w:val="left"/>
                    <w:jc w:val="left"/>
                  </w:pPr>
                  <w:r>
                    <w:t xml:space="preserve">0.741</w:t>
                  </w:r>
                </w:p>
              </w:tc>
            </w:tr>
            <w:tr>
              <w:tc>
                <w:tcPr/>
                <w:p>
                  <w:pPr>
                    <w:pStyle w:val="Compact"/>
                    <w:jc w:val="left"/>
                    <w:jc w:val="left"/>
                  </w:pPr>
                  <w:r>
                    <w:t xml:space="preserve">Aur-P2</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0.226</w:t>
                  </w:r>
                </w:p>
              </w:tc>
              <w:tc>
                <w:tcPr/>
                <w:p>
                  <w:pPr>
                    <w:pStyle w:val="Compact"/>
                    <w:jc w:val="left"/>
                    <w:jc w:val="left"/>
                  </w:pPr>
                  <w:r>
                    <w:t xml:space="preserve">0.876</w:t>
                  </w:r>
                </w:p>
              </w:tc>
              <w:tc>
                <w:tcPr/>
                <w:p>
                  <w:pPr>
                    <w:pStyle w:val="Compact"/>
                    <w:jc w:val="left"/>
                    <w:jc w:val="left"/>
                  </w:pPr>
                  <w:r>
                    <w:t xml:space="preserve">0.595</w:t>
                  </w:r>
                </w:p>
              </w:tc>
              <w:tc>
                <w:tcPr/>
                <w:p>
                  <w:pPr>
                    <w:pStyle w:val="Compact"/>
                    <w:jc w:val="left"/>
                    <w:jc w:val="left"/>
                  </w:pPr>
                  <w:r>
                    <w:t xml:space="preserve">0.517</w:t>
                  </w:r>
                </w:p>
              </w:tc>
            </w:tr>
          </w:tbl>
          <w:p>
            <w:pPr>
              <w:jc w:val="left"/>
            </w:pPr>
            <w:pPr>
              <w:jc w:val="start"/>
              <w:spacing w:before="200"/>
              <w:pStyle w:val="ImageCaption"/>
            </w:pPr>
            <w:r>
              <w:t xml:space="preserve">Table S 30: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has few sites, so k&gt;=4 and all Aur-P2 PERMANOVAs are indicative</w:t>
            </w:r>
            <w:r>
              <w:t xml:space="preserve"> </w:t>
            </w:r>
            <w:r>
              <w:t xml:space="preserve">[17]</w:t>
            </w:r>
            <w:r>
              <w:t xml:space="preserve">.</w:t>
            </w:r>
          </w:p>
          <w:bookmarkEnd w:id="157"/>
        </w:tc>
      </w:tr>
    </w:tbl>
    <w:tbl>
      <w:tblPr>
        <w:tblStyle w:val="Table"/>
        <w:tblW w:type="pct" w:w="5000"/>
        <w:tblLook w:firstRow="0" w:lastRow="0" w:firstColumn="0" w:lastColumn="0" w:noHBand="0" w:noVBand="0" w:val="0000"/>
        <w:jc w:val="start"/>
        <w:tblLayout w:type="fixed"/>
      </w:tblPr>
      <w:tblGrid>
        <w:gridCol w:w="7920"/>
      </w:tblGrid>
      <w:tr>
        <w:tc>
          <w:tcPr/>
          <w:bookmarkStart w:id="161" w:name="fig-region-map"/>
          <w:p>
            <w:pPr>
              <w:pStyle w:val="Compact"/>
              <w:jc w:val="left"/>
            </w:pPr>
            <w:r>
              <w:drawing>
                <wp:inline>
                  <wp:extent cx="5943600" cy="4457699"/>
                  <wp:effectExtent b="0" l="0" r="0" t="0"/>
                  <wp:docPr descr="" title="" id="159" name="Picture"/>
                  <a:graphic>
                    <a:graphicData uri="http://schemas.openxmlformats.org/drawingml/2006/picture">
                      <pic:pic>
                        <pic:nvPicPr>
                          <pic:cNvPr descr="../figures/s513-region-map.png" id="160" name="Picture"/>
                          <pic:cNvPicPr>
                            <a:picLocks noChangeArrowheads="1" noChangeAspect="1"/>
                          </pic:cNvPicPr>
                        </pic:nvPicPr>
                        <pic:blipFill>
                          <a:blip r:embed="rId158"/>
                          <a:stretch>
                            <a:fillRect/>
                          </a:stretch>
                        </pic:blipFill>
                        <pic:spPr bwMode="auto">
                          <a:xfrm>
                            <a:off x="0" y="0"/>
                            <a:ext cx="5943600" cy="4457699"/>
                          </a:xfrm>
                          <a:prstGeom prst="rect">
                            <a:avLst/>
                          </a:prstGeom>
                          <a:noFill/>
                          <a:ln w="9525">
                            <a:noFill/>
                            <a:headEnd/>
                            <a:tailEnd/>
                          </a:ln>
                        </pic:spPr>
                      </pic:pic>
                    </a:graphicData>
                  </a:graphic>
                </wp:inline>
              </w:drawing>
            </w:r>
          </w:p>
          <w:p>
            <w:pPr>
              <w:jc w:val="left"/>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1"/>
        </w:tc>
      </w:tr>
    </w:tbl>
    <w:bookmarkEnd w:id="162"/>
    <w:bookmarkStart w:id="163"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(mean silhouette 0.574, PAM geodesic), but k = 2 is retained as the interpretive partition because k = 5 splits the Swabian block into singletons. The k = 2 partition — West versus Central — separates the Dordogne bloc tradition from the Swabian ivory tradition. At k = 2, the mean silhouette of flat k-means differs from that of PAM by 0.001 in Aur-P1, and the agreement between the two geography clusterings is ARI = 0.8 (Aur-P1) and 1 (Aur-P2). The flat version changes R² by at most 0.020, so it does not alter the conclusion. In Aur-P2 (n = 9 sites), k = 4 and k = 5 leave singleton regions and are flagged unstable; they are shown only for completeness and are not interpreted.</w:t>
      </w:r>
    </w:p>
    <w:p>
      <w:pPr>
        <w:pStyle w:val="BodyText"/>
      </w:pPr>
      <w:r>
        <w:t xml:space="preserve">Signs do not form Vanhaeren-style regional provinces. For Aur-P1 the geography-first region explains R² = 0.059 (F = 1.122, p = 0.287, betadisper p = 0.989) at k = 2. At k = 3 the objective region explains R² = 0.107 (p = 0.41), no stronger. In the marginal model</w:t>
      </w:r>
      <w:r>
        <w:t xml:space="preserve"> </w:t>
      </w:r>
      <w:r>
        <w:rPr>
          <w:rStyle w:val="VerbatimChar"/>
        </w:rPr>
        <w:t xml:space="preserve">J ~ region + group</w:t>
      </w:r>
      <w:r>
        <w:t xml:space="preserve"> </w:t>
      </w:r>
      <w:r>
        <w:t xml:space="preserve">(by margin), region has R² = 0.058 (p = 0.164) and group has R² = 0.195 (p = 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The Louvain sign communities do not align with the geographic regions (ARI = -0.03 in Aur-P1 and 0 in Aur-P2), and the manual restricted/broad groups do not align with them either (ARI = -0.04 and 0). Thus the sign-based groups do not follow these regions.</w:t>
      </w:r>
    </w:p>
    <w:p>
      <w:pPr>
        <w:pStyle w:val="BodyText"/>
      </w:pPr>
      <w:r>
        <w:t xml:space="preserve">Aur-P2 results are indicative. With n = 9 sites, the PAM k = 2 region explains R² = 0.088 (p = 0.783, betadisper p = 0.252); in the marginal model, region given group has R² = 0.03 (p = 1) and group given region has R² = 0.164 (p = 0.267), all with low power. PerMANOVA results for small, unbalanced designs such as Aur-P2 (6 restricted versus 3 broad sites) must be interpreted with caution</w:t>
      </w:r>
      <w:r>
        <w:t xml:space="preserve"> </w:t>
      </w:r>
      <w:r>
        <w:t xml:space="preserve">[17]</w:t>
      </w:r>
      <w:r>
        <w:t xml:space="preserve">. The weak east–west signal in Aur-P1 (</w:t>
      </w:r>
      <w:r>
        <w:t xml:space="preserve">Section S1.3.3</w:t>
      </w:r>
      <w:r>
        <w:t xml:space="preserve">;</w:t>
      </w:r>
      <w:r>
        <w:t xml:space="preserve"> </w:t>
      </w:r>
      <w:r>
        <w:t xml:space="preserve">Section S1.4.4</w:t>
      </w:r>
      <w:r>
        <w:t xml:space="preserve">) coincides with differences in object types and research history: 144 of the 346 Aur-P1 objects are ivory objects from Germany, and 38 are limestone blocks from France.</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3"/>
    <w:bookmarkEnd w:id="164"/>
    <w:bookmarkEnd w:id="165"/>
    <w:bookmarkStart w:id="205" w:name="sec-s9"/>
    <w:p>
      <w:pPr>
        <w:pStyle w:val="Heading1"/>
      </w:pPr>
      <w:r>
        <w:t xml:space="preserve">S1.9 Partition Stability and Generative Models</w:t>
      </w:r>
    </w:p>
    <w:bookmarkStart w:id="166"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 the main text and</w:t>
      </w:r>
      <w:r>
        <w:t xml:space="preserve"> </w:t>
      </w:r>
      <w:r>
        <w:t xml:space="preserve">Section S1.6</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[18]</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[19]</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[20]</w:t>
      </w:r>
      <w:r>
        <w:t xml:space="preserve">.</w:t>
      </w:r>
    </w:p>
    <w:bookmarkEnd w:id="166"/>
    <w:bookmarkStart w:id="175" w:name="sec-s9-2"/>
    <w:p>
      <w:pPr>
        <w:pStyle w:val="Heading2"/>
      </w:pPr>
      <w:r>
        <w:t xml:space="preserve">S1.9.2 Bootstrap Consensus Analysis</w:t>
      </w:r>
    </w:p>
    <w:bookmarkStart w:id="173" w:name="rationale-14"/>
    <w:p>
      <w:pPr>
        <w:pStyle w:val="Heading3"/>
      </w:pPr>
      <w:r>
        <w:t xml:space="preserve">Rationale</w:t>
      </w:r>
    </w:p>
    <w:p>
      <w:pPr>
        <w:pStyle w:val="FirstParagraph"/>
      </w:pPr>
      <w:r>
        <w:t xml:space="preserve">For each phase we assess the stability of the two-group partition by subsampling sites without replacement (80% of sites per replicate). We do not resample sites with replacement, because duplicate sites always co-cluster (similarity 1) and inflate within-block co-clustering.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ummary"/>
          <w:tbl>
            <w:tblPr>
              <w:tblStyle w:val="Table"/>
              <w:tblW w:type="pct" w:w="5000"/>
              <w:tblLook w:firstRow="1" w:lastRow="0" w:firstColumn="0" w:lastColumn="0" w:noHBand="0" w:noVBand="0" w:val="0020"/>
              <w:jc w:val="start"/>
              <w:tblLayout w:type="fixed"/>
            </w:tblPr>
            <w:tblGrid>
              <w:gridCol w:w="1108"/>
              <w:gridCol w:w="950"/>
              <w:gridCol w:w="792"/>
              <w:gridCol w:w="1267"/>
              <w:gridCol w:w="1188"/>
              <w:gridCol w:w="1346"/>
              <w:gridCol w:w="1267"/>
            </w:tblGrid>
            <w:tr>
              <w:trPr>
                <w:tblHeader w:val="true"/>
              </w:trPr>
              <w:tc>
                <w:tcPr/>
                <w:p>
                  <w:pPr>
                    <w:pStyle w:val="Compact"/>
                    <w:jc w:val="left"/>
                    <w:jc w:val="left"/>
                  </w:pPr>
                  <w:r>
                    <w:t xml:space="preserve">Phase</w:t>
                  </w:r>
                </w:p>
              </w:tc>
              <w:tc>
                <w:tcPr/>
                <w:p>
                  <w:pPr>
                    <w:pStyle w:val="Compact"/>
                    <w:jc w:val="left"/>
                    <w:jc w:val="left"/>
                  </w:pPr>
                  <w:r>
                    <w:t xml:space="preserve">Restricted n</w:t>
                  </w:r>
                </w:p>
              </w:tc>
              <w:tc>
                <w:tcPr/>
                <w:p>
                  <w:pPr>
                    <w:pStyle w:val="Compact"/>
                    <w:jc w:val="left"/>
                    <w:jc w:val="left"/>
                  </w:pPr>
                  <w:r>
                    <w:t xml:space="preserve">Broad n</w:t>
                  </w:r>
                </w:p>
              </w:tc>
              <w:tc>
                <w:tcPr/>
                <w:p>
                  <w:pPr>
                    <w:pStyle w:val="Compact"/>
                    <w:jc w:val="left"/>
                    <w:jc w:val="left"/>
                  </w:pPr>
                  <w:r>
                    <w:t xml:space="preserve">Within restricted</w:t>
                  </w:r>
                </w:p>
              </w:tc>
              <w:tc>
                <w:tcPr/>
                <w:p>
                  <w:pPr>
                    <w:pStyle w:val="Compact"/>
                    <w:jc w:val="left"/>
                    <w:jc w:val="left"/>
                  </w:pPr>
                  <w:r>
                    <w:t xml:space="preserve">Within broad</w:t>
                  </w:r>
                </w:p>
              </w:tc>
              <w:tc>
                <w:tcPr/>
                <w:p>
                  <w:pPr>
                    <w:pStyle w:val="Compact"/>
                    <w:jc w:val="left"/>
                    <w:jc w:val="left"/>
                  </w:pPr>
                  <w:r>
                    <w:t xml:space="preserve">Overall within</w:t>
                  </w:r>
                </w:p>
              </w:tc>
              <w:tc>
                <w:tcPr/>
                <w:p>
                  <w:pPr>
                    <w:pStyle w:val="Compact"/>
                    <w:jc w:val="left"/>
                    <w:jc w:val="left"/>
                  </w:pPr>
                  <w:r>
                    <w:t xml:space="preserve">Across</w:t>
                  </w:r>
                </w:p>
              </w:tc>
            </w:tr>
            <w:tr>
              <w:tc>
                <w:tcPr/>
                <w:p>
                  <w:pPr>
                    <w:pStyle w:val="Compact"/>
                    <w:jc w:val="left"/>
                    <w:jc w:val="left"/>
                  </w:pPr>
                  <w:r>
                    <w:t xml:space="preserve">Aur-P1</w:t>
                  </w:r>
                </w:p>
              </w:tc>
              <w:tc>
                <w:tcPr/>
                <w:p>
                  <w:pPr>
                    <w:pStyle w:val="Compact"/>
                    <w:jc w:val="left"/>
                    <w:jc w:val="left"/>
                  </w:pPr>
                  <w:r>
                    <w:t xml:space="preserve">9</w:t>
                  </w:r>
                </w:p>
              </w:tc>
              <w:tc>
                <w:tcPr/>
                <w:p>
                  <w:pPr>
                    <w:pStyle w:val="Compact"/>
                    <w:jc w:val="left"/>
                    <w:jc w:val="left"/>
                  </w:pPr>
                  <w:r>
                    <w:t xml:space="preserve">11</w:t>
                  </w:r>
                </w:p>
              </w:tc>
              <w:tc>
                <w:tcPr/>
                <w:p>
                  <w:pPr>
                    <w:pStyle w:val="Compact"/>
                    <w:jc w:val="left"/>
                    <w:jc w:val="left"/>
                  </w:pPr>
                  <w:r>
                    <w:t xml:space="preserve">0.75</w:t>
                  </w:r>
                </w:p>
              </w:tc>
              <w:tc>
                <w:tcPr/>
                <w:p>
                  <w:pPr>
                    <w:pStyle w:val="Compact"/>
                    <w:jc w:val="left"/>
                    <w:jc w:val="left"/>
                  </w:pPr>
                  <w:r>
                    <w:t xml:space="preserve">0.97</w:t>
                  </w:r>
                </w:p>
              </w:tc>
              <w:tc>
                <w:tcPr/>
                <w:p>
                  <w:pPr>
                    <w:pStyle w:val="Compact"/>
                    <w:jc w:val="left"/>
                    <w:jc w:val="left"/>
                  </w:pPr>
                  <w:r>
                    <w:t xml:space="preserve">0.88</w:t>
                  </w:r>
                </w:p>
              </w:tc>
              <w:tc>
                <w:tcPr/>
                <w:p>
                  <w:pPr>
                    <w:pStyle w:val="Compact"/>
                    <w:jc w:val="left"/>
                    <w:jc w:val="left"/>
                  </w:pPr>
                  <w:r>
                    <w:t xml:space="preserve">0.2</w:t>
                  </w:r>
                </w:p>
              </w:tc>
            </w:tr>
            <w:tr>
              <w:tc>
                <w:tcPr/>
                <w:p>
                  <w:pPr>
                    <w:pStyle w:val="Compact"/>
                    <w:jc w:val="left"/>
                    <w:jc w:val="left"/>
                  </w:pPr>
                  <w:r>
                    <w:t xml:space="preserve">Aur-P2</w:t>
                  </w:r>
                </w:p>
              </w:tc>
              <w:tc>
                <w:tcPr/>
                <w:p>
                  <w:pPr>
                    <w:pStyle w:val="Compact"/>
                    <w:jc w:val="left"/>
                    <w:jc w:val="left"/>
                  </w:pPr>
                  <w:r>
                    <w:t xml:space="preserve">6</w:t>
                  </w:r>
                </w:p>
              </w:tc>
              <w:tc>
                <w:tcPr/>
                <w:p>
                  <w:pPr>
                    <w:pStyle w:val="Compact"/>
                    <w:jc w:val="left"/>
                    <w:jc w:val="left"/>
                  </w:pPr>
                  <w:r>
                    <w:t xml:space="preserve">3</w:t>
                  </w:r>
                </w:p>
              </w:tc>
              <w:tc>
                <w:tcPr/>
                <w:p>
                  <w:pPr>
                    <w:pStyle w:val="Compact"/>
                    <w:jc w:val="left"/>
                    <w:jc w:val="left"/>
                  </w:pPr>
                  <w:r>
                    <w:t xml:space="preserve">0.49</w:t>
                  </w:r>
                </w:p>
              </w:tc>
              <w:tc>
                <w:tcPr/>
                <w:p>
                  <w:pPr>
                    <w:pStyle w:val="Compact"/>
                    <w:jc w:val="left"/>
                    <w:jc w:val="left"/>
                  </w:pPr>
                  <w:r>
                    <w:t xml:space="preserve">0.92</w:t>
                  </w:r>
                </w:p>
              </w:tc>
              <w:tc>
                <w:tcPr/>
                <w:p>
                  <w:pPr>
                    <w:pStyle w:val="Compact"/>
                    <w:jc w:val="left"/>
                    <w:jc w:val="left"/>
                  </w:pPr>
                  <w:r>
                    <w:t xml:space="preserve">0.56</w:t>
                  </w:r>
                </w:p>
              </w:tc>
              <w:tc>
                <w:tcPr/>
                <w:p>
                  <w:pPr>
                    <w:pStyle w:val="Compact"/>
                    <w:jc w:val="left"/>
                    <w:jc w:val="left"/>
                  </w:pPr>
                  <w:r>
                    <w:t xml:space="preserve">0.4</w:t>
                  </w:r>
                </w:p>
              </w:tc>
            </w:tr>
          </w:tbl>
          <w:p>
            <w:pPr>
              <w:jc w:val="left"/>
            </w:pPr>
            <w:pPr>
              <w:jc w:val="start"/>
              <w:spacing w:before="200"/>
              <w:pStyle w:val="ImageCaption"/>
            </w:pPr>
            <w:r>
              <w:t xml:space="preserve">Table S 31: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ites"/>
          <w:tbl>
            <w:tblPr>
              <w:tblStyle w:val="Table"/>
              <w:tblW w:type="pct" w:w="5000"/>
              <w:tblLook w:firstRow="1" w:lastRow="0" w:firstColumn="0" w:lastColumn="0" w:noHBand="0" w:noVBand="0" w:val="0020"/>
              <w:jc w:val="start"/>
              <w:tblLayout w:type="fixed"/>
            </w:tblPr>
            <w:tblGrid>
              <w:gridCol w:w="1188"/>
              <w:gridCol w:w="3564"/>
              <w:gridCol w:w="1584"/>
              <w:gridCol w:w="1584"/>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Consistency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0.96</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0.93</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0.61</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0.97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0.52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0.83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0.82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0.94</w:t>
                  </w:r>
                </w:p>
              </w:tc>
            </w:tr>
          </w:tbl>
          <w:p>
            <w:pPr>
              <w:jc w:val="left"/>
            </w:pPr>
            <w:pPr>
              <w:jc w:val="start"/>
              <w:spacing w:before="200"/>
              <w:pStyle w:val="ImageCaption"/>
            </w:pPr>
            <w:r>
              <w:t xml:space="preserve">Table S 32: Per-site bootstrap consistency: proportion of 1000 resamples in which each site is assigned to its modal (most frequent) block. Consistency near 1 indicates robust assignment; values near 0.5 indicate sites whose group membership flips across resamples.</w:t>
            </w:r>
          </w:p>
          <w:bookmarkEnd w:id="168"/>
        </w:tc>
      </w:tr>
    </w:tbl>
    <w:tbl>
      <w:tblPr>
        <w:tblStyle w:val="Table"/>
        <w:tblW w:type="pct" w:w="5000"/>
        <w:tblLook w:firstRow="0" w:lastRow="0" w:firstColumn="0" w:lastColumn="0" w:noHBand="0" w:noVBand="0" w:val="0000"/>
        <w:jc w:val="start"/>
        <w:tblLayout w:type="fixed"/>
      </w:tblPr>
      <w:tblGrid>
        <w:gridCol w:w="7920"/>
      </w:tblGrid>
      <w:tr>
        <w:tc>
          <w:tcPr/>
          <w:bookmarkStart w:id="172" w:name="fig-bootstrap-consensus"/>
          <w:p>
            <w:pPr>
              <w:pStyle w:val="Compact"/>
              <w:jc w:val="left"/>
            </w:pPr>
            <w:r>
              <w:drawing>
                <wp:inline>
                  <wp:extent cx="5943600" cy="6604000"/>
                  <wp:effectExtent b="0" l="0" r="0" t="0"/>
                  <wp:docPr descr="" title="" id="170" name="Picture"/>
                  <a:graphic>
                    <a:graphicData uri="http://schemas.openxmlformats.org/drawingml/2006/picture">
                      <pic:pic>
                        <pic:nvPicPr>
                          <pic:cNvPr descr="../figures/bootstrap-consensus-plot.png" id="171" name="Picture"/>
                          <pic:cNvPicPr>
                            <a:picLocks noChangeArrowheads="1" noChangeAspect="1"/>
                          </pic:cNvPicPr>
                        </pic:nvPicPr>
                        <pic:blipFill>
                          <a:blip r:embed="rId169"/>
                          <a:stretch>
                            <a:fillRect/>
                          </a:stretch>
                        </pic:blipFill>
                        <pic:spPr bwMode="auto">
                          <a:xfrm>
                            <a:off x="0" y="0"/>
                            <a:ext cx="5943600" cy="66040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2"/>
        </w:tc>
      </w:tr>
    </w:tbl>
    <w:bookmarkEnd w:id="173"/>
    <w:bookmarkStart w:id="174"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Within-block co-clustering exceeds across-block co-clustering in both phases, but in Aur-P2 the difference is small for the restricted-range block. In</w:t>
      </w:r>
      <w:r>
        <w:t xml:space="preserve"> </w:t>
      </w:r>
      <w:r>
        <w:rPr>
          <w:bCs/>
          <w:b/>
        </w:rPr>
        <w:t xml:space="preserve">Aur-P1</w:t>
      </w:r>
      <w:r>
        <w:t xml:space="preserve">, mean within-block co-clustering is 0.75 for the restricted-range block and 0.97 for the broader-range block, against 0.2 across the two blocks. In</w:t>
      </w:r>
      <w:r>
        <w:t xml:space="preserve"> </w:t>
      </w:r>
      <w:r>
        <w:rPr>
          <w:bCs/>
          <w:b/>
        </w:rPr>
        <w:t xml:space="preserve">Aur-P2</w:t>
      </w:r>
      <w:r>
        <w:t xml:space="preserve">, the values are 0.49 within the restricted block and 0.92 within the broader block, against 0.4 across the blocks. Thus the restricted-range sites of Aur-P2 cluster with each other only slightly more often than with broad-range sites.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32</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32</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restricted/broad labels are stable when sites are subsampled, most clearly in Aur-P1. This stability does not show that two discrete groups exist, because a continuous richness gradient that is divided at one point also gives stable clusters. The null tests in</w:t>
      </w:r>
      <w:r>
        <w:t xml:space="preserve"> </w:t>
      </w:r>
      <w:r>
        <w:t xml:space="preserve">Section S1.9.4</w:t>
      </w:r>
      <w:r>
        <w:t xml:space="preserve"> </w:t>
      </w:r>
      <w:r>
        <w:t xml:space="preserve">and</w:t>
      </w:r>
      <w:r>
        <w:t xml:space="preserve"> </w:t>
      </w:r>
      <w:r>
        <w:t xml:space="preserve">Section S1.9.5</w:t>
      </w:r>
      <w:r>
        <w:t xml:space="preserve"> </w:t>
      </w:r>
      <w:r>
        <w:t xml:space="preserve">show that the pattern does not exceed what site richness and sign-type frequencies alone produce. Some sites have ambiguous membership; per-site consistency values are in</w:t>
      </w:r>
      <w:r>
        <w:t xml:space="preserve"> </w:t>
      </w:r>
      <w:hyperlink w:anchor="tbl-bootstrap-sites">
        <w:r>
          <w:rPr>
            <w:rStyle w:val="Hyperlink"/>
          </w:rPr>
          <w:t xml:space="preserve">Table S 32</w:t>
        </w:r>
      </w:hyperlink>
      <w:r>
        <w:t xml:space="preserve">.</w:t>
      </w:r>
    </w:p>
    <w:bookmarkEnd w:id="174"/>
    <w:bookmarkEnd w:id="175"/>
    <w:bookmarkStart w:id="184" w:name="sec-s9-3"/>
    <w:p>
      <w:pPr>
        <w:pStyle w:val="Heading2"/>
      </w:pPr>
      <w:r>
        <w:t xml:space="preserve">S1.9.3 Stochastic Block Models</w:t>
      </w:r>
    </w:p>
    <w:bookmarkStart w:id="182"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variants of the symmetric stochastic block model (</w:t>
      </w:r>
      <w:r>
        <w:rPr>
          <w:rStyle w:val="VerbatimChar"/>
        </w:rPr>
        <w:t xml:space="preserve">SBM_sym</w:t>
      </w:r>
      <w:r>
        <w:t xml:space="preserve">) with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(Jaccard similarity, that is, 1 − Jaccard dissimilarity, with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6" w:name="tbl-sbm-icl"/>
          <w:tbl>
            <w:tblPr>
              <w:tblStyle w:val="Table"/>
              <w:tblW w:type="pct" w:w="5000"/>
              <w:tblLook w:firstRow="1" w:lastRow="0" w:firstColumn="0" w:lastColumn="0" w:noHBand="0" w:noVBand="0" w:val="0020"/>
              <w:jc w:val="start"/>
              <w:tblLayout w:type="fixed"/>
            </w:tblPr>
            <w:tblGrid>
              <w:gridCol w:w="1108"/>
              <w:gridCol w:w="1267"/>
              <w:gridCol w:w="792"/>
              <w:gridCol w:w="792"/>
              <w:gridCol w:w="792"/>
              <w:gridCol w:w="792"/>
              <w:gridCol w:w="792"/>
              <w:gridCol w:w="1584"/>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K = 1</w:t>
                  </w:r>
                </w:p>
              </w:tc>
              <w:tc>
                <w:tcPr/>
                <w:p>
                  <w:pPr>
                    <w:pStyle w:val="Compact"/>
                    <w:jc w:val="left"/>
                    <w:jc w:val="left"/>
                  </w:pPr>
                  <w:r>
                    <w:t xml:space="preserve">K = 2</w:t>
                  </w:r>
                </w:p>
              </w:tc>
              <w:tc>
                <w:tcPr/>
                <w:p>
                  <w:pPr>
                    <w:pStyle w:val="Compact"/>
                    <w:jc w:val="left"/>
                    <w:jc w:val="left"/>
                  </w:pPr>
                  <w:r>
                    <w:t xml:space="preserve">K = 3</w:t>
                  </w:r>
                </w:p>
              </w:tc>
              <w:tc>
                <w:tcPr/>
                <w:p>
                  <w:pPr>
                    <w:pStyle w:val="Compact"/>
                    <w:jc w:val="left"/>
                    <w:jc w:val="left"/>
                  </w:pPr>
                  <w:r>
                    <w:t xml:space="preserve">K = 4</w:t>
                  </w:r>
                </w:p>
              </w:tc>
              <w:tc>
                <w:tcPr/>
                <w:p>
                  <w:pPr>
                    <w:pStyle w:val="Compact"/>
                    <w:jc w:val="left"/>
                    <w:jc w:val="left"/>
                  </w:pPr>
                  <w:r>
                    <w:t xml:space="preserve">K = 5</w:t>
                  </w:r>
                </w:p>
              </w:tc>
              <w:tc>
                <w:tcPr/>
                <w:p>
                  <w:pPr>
                    <w:pStyle w:val="Compact"/>
                    <w:jc w:val="left"/>
                    <w:jc w:val="left"/>
                  </w:pPr>
                  <w:r>
                    <w:t xml:space="preserve">Best K</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-130.1</w:t>
                  </w:r>
                </w:p>
              </w:tc>
              <w:tc>
                <w:tcPr/>
                <w:p>
                  <w:pPr>
                    <w:pStyle w:val="Compact"/>
                    <w:jc w:val="left"/>
                    <w:jc w:val="left"/>
                  </w:pPr>
                  <w:r>
                    <w:t xml:space="preserve">-115.7</w:t>
                  </w:r>
                </w:p>
              </w:tc>
              <w:tc>
                <w:tcPr/>
                <w:p>
                  <w:pPr>
                    <w:pStyle w:val="Compact"/>
                    <w:jc w:val="left"/>
                    <w:jc w:val="left"/>
                  </w:pPr>
                  <w:r>
                    <w:t xml:space="preserve">-110.1</w:t>
                  </w:r>
                </w:p>
              </w:tc>
              <w:tc>
                <w:tcPr/>
                <w:p>
                  <w:pPr>
                    <w:pStyle w:val="Compact"/>
                    <w:jc w:val="left"/>
                    <w:jc w:val="left"/>
                  </w:pPr>
                  <w:r>
                    <w:t xml:space="preserve">-114.9</w:t>
                  </w:r>
                </w:p>
              </w:tc>
              <w:tc>
                <w:tcPr/>
                <w:p>
                  <w:pPr>
                    <w:pStyle w:val="Compact"/>
                    <w:jc w:val="left"/>
                    <w:jc w:val="left"/>
                  </w:pPr>
                  <w:r>
                    <w:t xml:space="preserve">-120.0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8.2</w:t>
                  </w:r>
                </w:p>
              </w:tc>
              <w:tc>
                <w:tcPr/>
                <w:p>
                  <w:pPr>
                    <w:pStyle w:val="Compact"/>
                    <w:jc w:val="left"/>
                    <w:jc w:val="left"/>
                  </w:pPr>
                  <w:r>
                    <w:t xml:space="preserve">47.2</w:t>
                  </w:r>
                </w:p>
              </w:tc>
              <w:tc>
                <w:tcPr/>
                <w:p>
                  <w:pPr>
                    <w:pStyle w:val="Compact"/>
                    <w:jc w:val="left"/>
                    <w:jc w:val="left"/>
                  </w:pPr>
                  <w:r>
                    <w:t xml:space="preserve">59.8</w:t>
                  </w:r>
                </w:p>
              </w:tc>
              <w:tc>
                <w:tcPr/>
                <w:p>
                  <w:pPr>
                    <w:pStyle w:val="Compact"/>
                    <w:jc w:val="left"/>
                    <w:jc w:val="left"/>
                  </w:pPr>
                  <w:r>
                    <w:t xml:space="preserve">73.5</w:t>
                  </w:r>
                </w:p>
              </w:tc>
              <w:tc>
                <w:tcPr/>
                <w:p>
                  <w:pPr>
                    <w:pStyle w:val="Compact"/>
                    <w:jc w:val="left"/>
                    <w:jc w:val="left"/>
                  </w:pPr>
                  <w:r>
                    <w:t xml:space="preserve">70.1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-326.0</w:t>
                  </w:r>
                </w:p>
              </w:tc>
              <w:tc>
                <w:tcPr/>
                <w:p>
                  <w:pPr>
                    <w:pStyle w:val="Compact"/>
                    <w:jc w:val="left"/>
                    <w:jc w:val="left"/>
                  </w:pPr>
                  <w:r>
                    <w:t xml:space="preserve">-265.9</w:t>
                  </w:r>
                </w:p>
              </w:tc>
              <w:tc>
                <w:tcPr/>
                <w:p>
                  <w:pPr>
                    <w:pStyle w:val="Compact"/>
                    <w:jc w:val="left"/>
                    <w:jc w:val="left"/>
                  </w:pPr>
                  <w:r>
                    <w:t xml:space="preserve">-263.3</w:t>
                  </w:r>
                </w:p>
              </w:tc>
              <w:tc>
                <w:tcPr/>
                <w:p>
                  <w:pPr>
                    <w:pStyle w:val="Compact"/>
                    <w:jc w:val="left"/>
                    <w:jc w:val="left"/>
                  </w:pPr>
                  <w:r>
                    <w:t xml:space="preserve">-272.0</w:t>
                  </w:r>
                </w:p>
              </w:tc>
              <w:tc>
                <w:tcPr/>
                <w:p>
                  <w:pPr>
                    <w:pStyle w:val="Compact"/>
                    <w:jc w:val="left"/>
                    <w:jc w:val="left"/>
                  </w:pPr>
                  <w:r>
                    <w:t xml:space="preserve">-286.0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-26.7</w:t>
                  </w:r>
                </w:p>
              </w:tc>
              <w:tc>
                <w:tcPr/>
                <w:p>
                  <w:pPr>
                    <w:pStyle w:val="Compact"/>
                    <w:jc w:val="left"/>
                    <w:jc w:val="left"/>
                  </w:pPr>
                  <w:r>
                    <w:t xml:space="preserve">-30.2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-2.2</w:t>
                  </w:r>
                </w:p>
              </w:tc>
              <w:tc>
                <w:tcPr/>
                <w:p>
                  <w:pPr>
                    <w:pStyle w:val="Compact"/>
                    <w:jc w:val="left"/>
                    <w:jc w:val="left"/>
                  </w:pPr>
                  <w:r>
                    <w:t xml:space="preserve">-1.3</w:t>
                  </w:r>
                </w:p>
              </w:tc>
              <w:tc>
                <w:tcPr/>
                <w:p>
                  <w:pPr>
                    <w:pStyle w:val="Compact"/>
                    <w:jc w:val="left"/>
                    <w:jc w:val="left"/>
                  </w:pPr>
                  <w:r>
                    <w:t xml:space="preserve">-9.9</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-49.0</w:t>
                  </w:r>
                </w:p>
              </w:tc>
              <w:tc>
                <w:tcPr/>
                <w:p>
                  <w:pPr>
                    <w:pStyle w:val="Compact"/>
                    <w:jc w:val="left"/>
                    <w:jc w:val="left"/>
                  </w:pPr>
                  <w:r>
                    <w:t xml:space="preserve">-53.2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w:t>
                  </w:r>
                </w:p>
              </w:tc>
            </w:tr>
          </w:tbl>
          <w:p>
            <w:pPr>
              <w:jc w:val="left"/>
            </w:pPr>
            <w:pPr>
              <w:jc w:val="start"/>
              <w:spacing w:before="200"/>
              <w:pStyle w:val="ImageCaption"/>
            </w:pPr>
            <w:r>
              <w:t xml:space="preserve">Table S 33: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6"/>
        </w:tc>
      </w:tr>
    </w:tbl>
    <w:tbl>
      <w:tblPr>
        <w:tblStyle w:val="Table"/>
        <w:tblW w:type="pct" w:w="5000"/>
        <w:tblLook w:firstRow="0" w:lastRow="0" w:firstColumn="0" w:lastColumn="0" w:noHBand="0" w:noVBand="0" w:val="0000"/>
        <w:jc w:val="start"/>
        <w:tblLayout w:type="fixed"/>
      </w:tblPr>
      <w:tblGrid>
        <w:gridCol w:w="7920"/>
      </w:tblGrid>
      <w:tr>
        <w:tc>
          <w:tcPr/>
          <w:bookmarkStart w:id="180" w:name="fig-sbm-icl"/>
          <w:p>
            <w:pPr>
              <w:pStyle w:val="Compact"/>
              <w:jc w:val="left"/>
            </w:pPr>
            <w:r>
              <w:drawing>
                <wp:inline>
                  <wp:extent cx="5943600" cy="2971800"/>
                  <wp:effectExtent b="0" l="0" r="0" t="0"/>
                  <wp:docPr descr="" title="" id="178" name="Picture"/>
                  <a:graphic>
                    <a:graphicData uri="http://schemas.openxmlformats.org/drawingml/2006/picture">
                      <pic:pic>
                        <pic:nvPicPr>
                          <pic:cNvPr descr="S1-supplement-sensitivity_files/figure-docx/fig-sbm-icl-1.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0"/>
        </w:tc>
      </w:tr>
    </w:tbl>
    <w:tbl>
      <w:tblPr>
        <w:tblStyle w:val="Table"/>
        <w:tblW w:type="pct" w:w="5000"/>
        <w:tblLook w:firstRow="0" w:lastRow="0" w:firstColumn="0" w:lastColumn="0" w:noHBand="0" w:noVBand="0" w:val="0000"/>
        <w:jc w:val="start"/>
        <w:tblLayout w:type="fixed"/>
      </w:tblPr>
      <w:tblGrid>
        <w:gridCol w:w="7920"/>
      </w:tblGrid>
      <w:tr>
        <w:tc>
          <w:tcPr/>
          <w:bookmarkStart w:id="181" w:name="tbl-sbm-membership"/>
          <w:tbl>
            <w:tblPr>
              <w:tblStyle w:val="Table"/>
              <w:tblW w:type="pct" w:w="5000"/>
              <w:tblLook w:firstRow="1" w:lastRow="0" w:firstColumn="0" w:lastColumn="0" w:noHBand="0" w:noVBand="0" w:val="0020"/>
              <w:jc w:val="start"/>
              <w:tblLayout w:type="fixed"/>
            </w:tblPr>
            <w:tblGrid>
              <w:gridCol w:w="792"/>
              <w:gridCol w:w="950"/>
              <w:gridCol w:w="2376"/>
              <w:gridCol w:w="950"/>
              <w:gridCol w:w="712"/>
              <w:gridCol w:w="712"/>
              <w:gridCol w:w="712"/>
              <w:gridCol w:w="712"/>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P(B1)</w:t>
                  </w:r>
                </w:p>
              </w:tc>
              <w:tc>
                <w:tcPr/>
                <w:p>
                  <w:pPr>
                    <w:pStyle w:val="Compact"/>
                    <w:jc w:val="left"/>
                    <w:jc w:val="left"/>
                  </w:pPr>
                  <w:r>
                    <w:t xml:space="preserve">P(B2)</w:t>
                  </w:r>
                </w:p>
              </w:tc>
              <w:tc>
                <w:tcPr/>
                <w:p>
                  <w:pPr>
                    <w:pStyle w:val="Compact"/>
                    <w:jc w:val="left"/>
                    <w:jc w:val="left"/>
                  </w:pPr>
                  <w:r>
                    <w:t xml:space="preserve">P(B3)</w:t>
                  </w:r>
                </w:p>
              </w:tc>
              <w:tc>
                <w:tcPr/>
                <w:p>
                  <w:pPr>
                    <w:pStyle w:val="Compact"/>
                    <w:jc w:val="left"/>
                    <w:jc w:val="left"/>
                  </w:pPr>
                  <w:r>
                    <w:t xml:space="preserve">P(B4)</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Abri Pataud</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Fumane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Pod Hradem</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Riparo Bombrini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Abri Pataud</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Fumane</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Pod Hradem</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Riparo Bombrini</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Fumane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du Renne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Grottes de Fonds-de-Forêt</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Pod Hradem</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34: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1"/>
        </w:tc>
      </w:tr>
    </w:tbl>
    <w:bookmarkEnd w:id="182"/>
    <w:bookmarkStart w:id="183"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33</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33</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In Aur-P1, with 20 sites and 75 edges at threshold 0.2, all three emission models select more than one block;</w:t>
      </w:r>
      <w:r>
        <w:t xml:space="preserve"> </w:t>
      </w:r>
      <w:r>
        <w:t xml:space="preserve">Section S1.9.4</w:t>
      </w:r>
      <w:r>
        <w:t xml:space="preserve"> </w:t>
      </w:r>
      <w:r>
        <w:t xml:space="preserve">tests whether this preference exceeds a richness-preserving null.</w:t>
      </w:r>
    </w:p>
    <w:p>
      <w:pPr>
        <w:pStyle w:val="BodyText"/>
      </w:pPr>
      <w:r>
        <w:t xml:space="preserve">The membership table (</w:t>
      </w:r>
      <w:hyperlink w:anchor="tbl-sbm-membership">
        <w:r>
          <w:rPr>
            <w:rStyle w:val="Hyperlink"/>
          </w:rPr>
          <w:t xml:space="preserve">Table S 34</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contains only broad-range sites, the second block contains all restricted-range sites except Labeko Koba, and a third block holds Labeko Koba, Les Cottés and Trou al’Wesse. The Gaussian model has the same broad-range block and the same third block, and it divides the other restricted-range sites into two blocks: Gatzarria, Grotte de la Verpillière I, Grottes de Fonds-de-Forêt and Hohlenstein-Stadel; and Abri Pataud, Fumane, Pod Hradem and Riparo Bombrini. The Poisson model places Grotte du Renne in the same block as all the restricted-range sites, places Les Cottés and Trou al’Wesse in a block of their own, and places the other broad-range sites in a third block. In Aur-P2 the Bernoulli and Poisson posteriors are trivially 1.00 because a single block is selected. Only the Gaussian model divides the sites into two blocks: Gargas, La Viña, Mladeč and Sirgenstein Cave; and Bockstein-Törle, Hohle Fels, Les Rois, Trou Magrite and Vindija Cave. Thus in Aur-P1 the SBM separates most broad-range sites from most restricted-range sites, with additional small blocks, and in Aur-P2 it gives no support for the manual split.</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all three models place most broad-range and most restricted-range sites in different blocks, and they add substructure. The Bernoulli and Gaussian models place Labeko Koba, Les Cottés and Trou al’Wesse in a small separate block, the Gaussian model also divides the remaining restricted-range sites into two blocks, and the Poisson model places Les Cottés and Trou al’Wesse in a block of their own and Grotte du Renne with the restricted-range sites (</w:t>
      </w:r>
      <w:hyperlink w:anchor="tbl-sbm-membership">
        <w:r>
          <w:rPr>
            <w:rStyle w:val="Hyperlink"/>
          </w:rPr>
          <w:t xml:space="preserve">Table S 34</w:t>
        </w:r>
      </w:hyperlink>
      <w:r>
        <w:t xml:space="preserve">). This mirrors the Louvain finding of additional communities beyond the binary split. In Aur-P2 the SBM does not recover the two-group partition (Bernoulli K = 1, 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this result does not depend on how the adjacency is encoded, but</w:t>
      </w:r>
      <w:r>
        <w:t xml:space="preserve"> </w:t>
      </w:r>
      <w:r>
        <w:t xml:space="preserve">Section S1.9.4</w:t>
      </w:r>
      <w:r>
        <w:t xml:space="preserve"> </w:t>
      </w:r>
      <w:r>
        <w:t xml:space="preserve">shows that it does not exceed the Curveball null.</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w:t>
      </w:r>
    </w:p>
    <w:p>
      <w:pPr>
        <w:pStyle w:val="BodyText"/>
      </w:pPr>
      <w:r>
        <w:rPr>
          <w:bCs/>
          <w:b/>
        </w:rPr>
        <w:t xml:space="preserve">Implication for the main text.</w:t>
      </w:r>
      <w:r>
        <w:t xml:space="preserve"> </w:t>
      </w:r>
      <w:r>
        <w:t xml:space="preserve">In Aur-P1, all three emission models place most broad-range and most restricted-range sites in different blocks, and the Bernoulli and Gaussian models also isolate Labeko Koba, Les Cottés and Trou al’Wesse. In Aur-P2, the Bernoulli and Poisson models select a single block. The null test in</w:t>
      </w:r>
      <w:r>
        <w:t xml:space="preserve"> </w:t>
      </w:r>
      <w:r>
        <w:t xml:space="preserve">Section S1.9.4</w:t>
      </w:r>
      <w:r>
        <w:t xml:space="preserve"> </w:t>
      </w:r>
      <w:r>
        <w:t xml:space="preserve">shows that none of these multi-block preferences exceeds what site richness and sign-type frequencies alone produce. The restricted/broad division is therefore best read as the dominant axis of variation in repertoire size, not as evidence that a generative model supports two discrete groups.</w:t>
      </w:r>
    </w:p>
    <w:bookmarkEnd w:id="183"/>
    <w:bookmarkEnd w:id="184"/>
    <w:bookmarkStart w:id="192" w:name="sec-s9-4"/>
    <w:p>
      <w:pPr>
        <w:pStyle w:val="Heading2"/>
      </w:pPr>
      <w:r>
        <w:t xml:space="preserve">S1.9.4 SBM Block Recovery Null Test</w:t>
      </w:r>
    </w:p>
    <w:bookmarkStart w:id="190"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[21]</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5" w:name="tbl-sbm-null"/>
          <w:tbl>
            <w:tblPr>
              <w:tblStyle w:val="Table"/>
              <w:tblW w:type="pct" w:w="5000"/>
              <w:tblLook w:firstRow="1" w:lastRow="0" w:firstColumn="0" w:lastColumn="0" w:noHBand="0" w:noVBand="0" w:val="0020"/>
              <w:jc w:val="start"/>
              <w:tblLayout w:type="fixed"/>
            </w:tblPr>
            <w:tblGrid>
              <w:gridCol w:w="633"/>
              <w:gridCol w:w="712"/>
              <w:gridCol w:w="475"/>
              <w:gridCol w:w="554"/>
              <w:gridCol w:w="554"/>
              <w:gridCol w:w="712"/>
              <w:gridCol w:w="633"/>
              <w:gridCol w:w="554"/>
              <w:gridCol w:w="633"/>
              <w:gridCol w:w="554"/>
              <w:gridCol w:w="633"/>
              <w:gridCol w:w="633"/>
              <w:gridCol w:w="396"/>
              <w:gridCol w:w="237"/>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obs best K</w:t>
                  </w:r>
                </w:p>
              </w:tc>
              <w:tc>
                <w:tcPr/>
                <w:p>
                  <w:pPr>
                    <w:pStyle w:val="Compact"/>
                    <w:jc w:val="left"/>
                    <w:jc w:val="left"/>
                  </w:pPr>
                  <w:r>
                    <w:t xml:space="preserve">obs gap K1</w:t>
                  </w:r>
                </w:p>
              </w:tc>
              <w:tc>
                <w:tcPr/>
                <w:p>
                  <w:pPr>
                    <w:pStyle w:val="Compact"/>
                    <w:jc w:val="left"/>
                    <w:jc w:val="left"/>
                  </w:pPr>
                  <w:r>
                    <w:t xml:space="preserve">obs gap K2</w:t>
                  </w:r>
                </w:p>
              </w:tc>
              <w:tc>
                <w:tcPr/>
                <w:p>
                  <w:pPr>
                    <w:pStyle w:val="Compact"/>
                    <w:jc w:val="left"/>
                    <w:jc w:val="left"/>
                  </w:pPr>
                  <w:r>
                    <w:t xml:space="preserve">null mean gap K1</w:t>
                  </w:r>
                </w:p>
              </w:tc>
              <w:tc>
                <w:tcPr/>
                <w:p>
                  <w:pPr>
                    <w:pStyle w:val="Compact"/>
                    <w:jc w:val="left"/>
                    <w:jc w:val="left"/>
                  </w:pPr>
                  <w:r>
                    <w:t xml:space="preserve">null SD gap K1</w:t>
                  </w:r>
                </w:p>
              </w:tc>
              <w:tc>
                <w:tcPr/>
                <w:p>
                  <w:pPr>
                    <w:pStyle w:val="Compact"/>
                    <w:jc w:val="left"/>
                    <w:jc w:val="left"/>
                  </w:pPr>
                  <w:r>
                    <w:t xml:space="preserve">p (gap K1)</w:t>
                  </w:r>
                </w:p>
              </w:tc>
              <w:tc>
                <w:tcPr/>
                <w:p>
                  <w:pPr>
                    <w:pStyle w:val="Compact"/>
                    <w:jc w:val="left"/>
                    <w:jc w:val="left"/>
                  </w:pPr>
                  <w:r>
                    <w:t xml:space="preserve">p_BH (gap K1)</w:t>
                  </w:r>
                </w:p>
              </w:tc>
              <w:tc>
                <w:tcPr/>
                <w:p>
                  <w:pPr>
                    <w:pStyle w:val="Compact"/>
                    <w:jc w:val="left"/>
                    <w:jc w:val="left"/>
                  </w:pPr>
                  <w:r>
                    <w:t xml:space="preserve">p (gap K2)</w:t>
                  </w:r>
                </w:p>
              </w:tc>
              <w:tc>
                <w:tcPr/>
                <w:p>
                  <w:pPr>
                    <w:pStyle w:val="Compact"/>
                    <w:jc w:val="left"/>
                    <w:jc w:val="left"/>
                  </w:pPr>
                  <w:r>
                    <w:t xml:space="preserve">p_BH (gap K2)</w:t>
                  </w:r>
                </w:p>
              </w:tc>
              <w:tc>
                <w:tcPr/>
                <w:p>
                  <w:pPr>
                    <w:pStyle w:val="Compact"/>
                    <w:jc w:val="left"/>
                    <w:jc w:val="left"/>
                  </w:pPr>
                  <w:r>
                    <w:t xml:space="preserve">null bestK&gt;1 rate</w:t>
                  </w:r>
                </w:p>
              </w:tc>
              <w:tc>
                <w:tcPr/>
                <w:p>
                  <w:pPr>
                    <w:pStyle w:val="Compact"/>
                    <w:jc w:val="left"/>
                    <w:jc w:val="left"/>
                  </w:pPr>
                  <w:r>
                    <w:t xml:space="preserve">B_finite</w:t>
                  </w:r>
                </w:p>
              </w:tc>
              <w:tc>
                <w:tcPr/>
                <w:p>
                  <w:pPr>
                    <w:pStyle w:val="Compact"/>
                    <w:jc w:val="left"/>
                    <w:jc w:val="left"/>
                  </w:pPr>
                  <w:r>
                    <w:t xml:space="preserve">failures</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20.03</w:t>
                  </w:r>
                </w:p>
              </w:tc>
              <w:tc>
                <w:tcPr/>
                <w:p>
                  <w:pPr>
                    <w:pStyle w:val="Compact"/>
                    <w:jc w:val="left"/>
                    <w:jc w:val="left"/>
                  </w:pPr>
                  <w:r>
                    <w:t xml:space="preserve">14.40</w:t>
                  </w:r>
                </w:p>
              </w:tc>
              <w:tc>
                <w:tcPr/>
                <w:p>
                  <w:pPr>
                    <w:pStyle w:val="Compact"/>
                    <w:jc w:val="left"/>
                    <w:jc w:val="left"/>
                  </w:pPr>
                  <w:r>
                    <w:t xml:space="preserve">15.11</w:t>
                  </w:r>
                </w:p>
              </w:tc>
              <w:tc>
                <w:tcPr/>
                <w:p>
                  <w:pPr>
                    <w:pStyle w:val="Compact"/>
                    <w:jc w:val="left"/>
                    <w:jc w:val="left"/>
                  </w:pPr>
                  <w:r>
                    <w:t xml:space="preserve">5.37</w:t>
                  </w:r>
                </w:p>
              </w:tc>
              <w:tc>
                <w:tcPr/>
                <w:p>
                  <w:pPr>
                    <w:pStyle w:val="Compact"/>
                    <w:jc w:val="left"/>
                    <w:jc w:val="left"/>
                  </w:pPr>
                  <w:r>
                    <w:t xml:space="preserve">0.160</w:t>
                  </w:r>
                </w:p>
              </w:tc>
              <w:tc>
                <w:tcPr/>
                <w:p>
                  <w:pPr>
                    <w:pStyle w:val="Compact"/>
                    <w:jc w:val="left"/>
                    <w:jc w:val="left"/>
                  </w:pPr>
                  <w:r>
                    <w:t xml:space="preserve">0.320</w:t>
                  </w:r>
                </w:p>
              </w:tc>
              <w:tc>
                <w:tcPr/>
                <w:p>
                  <w:pPr>
                    <w:pStyle w:val="Compact"/>
                    <w:jc w:val="left"/>
                    <w:jc w:val="left"/>
                  </w:pPr>
                  <w:r>
                    <w:t xml:space="preserve">0.270</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65.31</w:t>
                  </w:r>
                </w:p>
              </w:tc>
              <w:tc>
                <w:tcPr/>
                <w:p>
                  <w:pPr>
                    <w:pStyle w:val="Compact"/>
                    <w:jc w:val="left"/>
                    <w:jc w:val="left"/>
                  </w:pPr>
                  <w:r>
                    <w:t xml:space="preserve">38.97</w:t>
                  </w:r>
                </w:p>
              </w:tc>
              <w:tc>
                <w:tcPr/>
                <w:p>
                  <w:pPr>
                    <w:pStyle w:val="Compact"/>
                    <w:jc w:val="left"/>
                    <w:jc w:val="left"/>
                  </w:pPr>
                  <w:r>
                    <w:t xml:space="preserve">45.24</w:t>
                  </w:r>
                </w:p>
              </w:tc>
              <w:tc>
                <w:tcPr/>
                <w:p>
                  <w:pPr>
                    <w:pStyle w:val="Compact"/>
                    <w:jc w:val="left"/>
                    <w:jc w:val="left"/>
                  </w:pPr>
                  <w:r>
                    <w:t xml:space="preserve">19.58</w:t>
                  </w:r>
                </w:p>
              </w:tc>
              <w:tc>
                <w:tcPr/>
                <w:p>
                  <w:pPr>
                    <w:pStyle w:val="Compact"/>
                    <w:jc w:val="left"/>
                    <w:jc w:val="left"/>
                  </w:pPr>
                  <w:r>
                    <w:t xml:space="preserve">0.086</w:t>
                  </w:r>
                </w:p>
              </w:tc>
              <w:tc>
                <w:tcPr/>
                <w:p>
                  <w:pPr>
                    <w:pStyle w:val="Compact"/>
                    <w:jc w:val="left"/>
                    <w:jc w:val="left"/>
                  </w:pPr>
                  <w:r>
                    <w:t xml:space="preserve">0.312</w:t>
                  </w:r>
                </w:p>
              </w:tc>
              <w:tc>
                <w:tcPr/>
                <w:p>
                  <w:pPr>
                    <w:pStyle w:val="Compact"/>
                    <w:jc w:val="left"/>
                    <w:jc w:val="left"/>
                  </w:pPr>
                  <w:r>
                    <w:t xml:space="preserve">0.276</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62.68</w:t>
                  </w:r>
                </w:p>
              </w:tc>
              <w:tc>
                <w:tcPr/>
                <w:p>
                  <w:pPr>
                    <w:pStyle w:val="Compact"/>
                    <w:jc w:val="left"/>
                    <w:jc w:val="left"/>
                  </w:pPr>
                  <w:r>
                    <w:t xml:space="preserve">60.04</w:t>
                  </w:r>
                </w:p>
              </w:tc>
              <w:tc>
                <w:tcPr/>
                <w:p>
                  <w:pPr>
                    <w:pStyle w:val="Compact"/>
                    <w:jc w:val="left"/>
                    <w:jc w:val="left"/>
                  </w:pPr>
                  <w:r>
                    <w:t xml:space="preserve">50.82</w:t>
                  </w:r>
                </w:p>
              </w:tc>
              <w:tc>
                <w:tcPr/>
                <w:p>
                  <w:pPr>
                    <w:pStyle w:val="Compact"/>
                    <w:jc w:val="left"/>
                    <w:jc w:val="left"/>
                  </w:pPr>
                  <w:r>
                    <w:t xml:space="preserve">7.38</w:t>
                  </w:r>
                </w:p>
              </w:tc>
              <w:tc>
                <w:tcPr/>
                <w:p>
                  <w:pPr>
                    <w:pStyle w:val="Compact"/>
                    <w:jc w:val="left"/>
                    <w:jc w:val="left"/>
                  </w:pPr>
                  <w:r>
                    <w:t xml:space="preserve">0.104</w:t>
                  </w:r>
                </w:p>
              </w:tc>
              <w:tc>
                <w:tcPr/>
                <w:p>
                  <w:pPr>
                    <w:pStyle w:val="Compact"/>
                    <w:jc w:val="left"/>
                    <w:jc w:val="left"/>
                  </w:pPr>
                  <w:r>
                    <w:t xml:space="preserve">0.312</w:t>
                  </w:r>
                </w:p>
              </w:tc>
              <w:tc>
                <w:tcPr/>
                <w:p>
                  <w:pPr>
                    <w:pStyle w:val="Compact"/>
                    <w:jc w:val="left"/>
                    <w:jc w:val="left"/>
                  </w:pPr>
                  <w:r>
                    <w:t xml:space="preserve">0.118</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-3.54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0.90</w:t>
                  </w:r>
                </w:p>
              </w:tc>
              <w:tc>
                <w:tcPr/>
                <w:p>
                  <w:pPr>
                    <w:pStyle w:val="Compact"/>
                    <w:jc w:val="left"/>
                    <w:jc w:val="left"/>
                  </w:pPr>
                  <w:r>
                    <w:t xml:space="preserve">0.90</w:t>
                  </w:r>
                </w:p>
              </w:tc>
              <w:tc>
                <w:tcPr/>
                <w:p>
                  <w:pPr>
                    <w:pStyle w:val="Compact"/>
                    <w:jc w:val="left"/>
                    <w:jc w:val="left"/>
                  </w:pPr>
                  <w:r>
                    <w:t xml:space="preserve">3.18</w:t>
                  </w:r>
                </w:p>
              </w:tc>
              <w:tc>
                <w:tcPr/>
                <w:p>
                  <w:pPr>
                    <w:pStyle w:val="Compact"/>
                    <w:jc w:val="left"/>
                    <w:jc w:val="left"/>
                  </w:pPr>
                  <w:r>
                    <w:t xml:space="preserve">3.93</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0.98</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-4.17</w:t>
                  </w:r>
                </w:p>
              </w:tc>
              <w:tc>
                <w:tcPr/>
                <w:p>
                  <w:pPr>
                    <w:pStyle w:val="Compact"/>
                    <w:jc w:val="left"/>
                    <w:jc w:val="left"/>
                  </w:pPr>
                  <w:r>
                    <w:t xml:space="preserve">0.14</w:t>
                  </w:r>
                </w:p>
              </w:tc>
              <w:tc>
                <w:tcPr/>
                <w:p>
                  <w:pPr>
                    <w:pStyle w:val="Compact"/>
                    <w:jc w:val="left"/>
                    <w:jc w:val="left"/>
                  </w:pPr>
                  <w:r>
                    <w:t xml:space="preserve">0.42</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0.10</w:t>
                  </w:r>
                </w:p>
              </w:tc>
              <w:tc>
                <w:tcPr/>
                <w:p>
                  <w:pPr>
                    <w:pStyle w:val="Compact"/>
                    <w:jc w:val="left"/>
                    <w:jc w:val="left"/>
                  </w:pPr>
                  <w:r>
                    <w:t xml:space="preserve">499</w:t>
                  </w:r>
                </w:p>
              </w:tc>
              <w:tc>
                <w:tcPr/>
                <w:p>
                  <w:pPr>
                    <w:pStyle w:val="Compact"/>
                    <w:jc w:val="left"/>
                    <w:jc w:val="left"/>
                  </w:pPr>
                  <w:r>
                    <w:t xml:space="preserve">0</w:t>
                  </w:r>
                </w:p>
              </w:tc>
            </w:tr>
          </w:tbl>
          <w:p>
            <w:pPr>
              <w:jc w:val="left"/>
            </w:pPr>
            <w:pPr>
              <w:jc w:val="start"/>
              <w:spacing w:before="200"/>
              <w:pStyle w:val="ImageCaption"/>
            </w:pPr>
            <w:r>
              <w:t xml:space="preserve">Table S 35: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B_finite counts the null replicates that produced a finite statistic; failures counts those that failed to fit.</w:t>
            </w:r>
          </w:p>
          <w:bookmarkEnd w:id="185"/>
        </w:tc>
      </w:tr>
    </w:tbl>
    <w:tbl>
      <w:tblPr>
        <w:tblStyle w:val="Table"/>
        <w:tblW w:type="pct" w:w="5000"/>
        <w:tblLook w:firstRow="0" w:lastRow="0" w:firstColumn="0" w:lastColumn="0" w:noHBand="0" w:noVBand="0" w:val="0000"/>
        <w:jc w:val="start"/>
        <w:tblLayout w:type="fixed"/>
      </w:tblPr>
      <w:tblGrid>
        <w:gridCol w:w="7920"/>
      </w:tblGrid>
      <w:tr>
        <w:tc>
          <w:tcPr/>
          <w:bookmarkStart w:id="189" w:name="fig-sbm-null"/>
          <w:p>
            <w:pPr>
              <w:pStyle w:val="Compact"/>
              <w:jc w:val="left"/>
            </w:pPr>
            <w:r>
              <w:drawing>
                <wp:inline>
                  <wp:extent cx="5943600" cy="2971800"/>
                  <wp:effectExtent b="0" l="0" r="0" t="0"/>
                  <wp:docPr descr="" title="" id="187" name="Picture"/>
                  <a:graphic>
                    <a:graphicData uri="http://schemas.openxmlformats.org/drawingml/2006/picture">
                      <pic:pic>
                        <pic:nvPicPr>
                          <pic:cNvPr descr="S1-supplement-sensitivity_files/figure-docx/fig-sbm-null-1.png" id="188" name="Picture"/>
                          <pic:cNvPicPr>
                            <a:picLocks noChangeArrowheads="1" noChangeAspect="1"/>
                          </pic:cNvPicPr>
                        </pic:nvPicPr>
                        <pic:blipFill>
                          <a:blip r:embed="rId18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9"/>
        </w:tc>
      </w:tr>
    </w:tbl>
    <w:bookmarkEnd w:id="190"/>
    <w:bookmarkStart w:id="191"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Across the six phase-by-model cells, B_finite ranges from 499 to 499 and the total number of failed fits is 0 (</w:t>
      </w:r>
      <w:hyperlink w:anchor="tbl-sbm-null">
        <w:r>
          <w:rPr>
            <w:rStyle w:val="Hyperlink"/>
          </w:rPr>
          <w:t xml:space="preserve">Table S 35</w:t>
        </w:r>
      </w:hyperlink>
      <w:r>
        <w:t xml:space="preserve">), so no p-value below is affected by dropped replicates.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(Bernoulli best K = 1, Poisson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1"/>
    <w:bookmarkEnd w:id="192"/>
    <w:bookmarkStart w:id="200" w:name="sec-s9-5"/>
    <w:p>
      <w:pPr>
        <w:pStyle w:val="Heading2"/>
      </w:pPr>
      <w:r>
        <w:t xml:space="preserve">S1.9.5 Seriation-Order Null Test</w:t>
      </w:r>
    </w:p>
    <w:bookmarkStart w:id="198" w:name="rationale-17"/>
    <w:p>
      <w:pPr>
        <w:pStyle w:val="Heading3"/>
      </w:pPr>
      <w:r>
        <w:t xml:space="preserve">Rationale</w:t>
      </w:r>
    </w:p>
    <w:p>
      <w:pPr>
        <w:pStyle w:val="FirstParagraph"/>
      </w:pPr>
      <w:r>
        <w:t xml:space="preserve">The seriation in the main text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3" w:name="tbl-seriation-null"/>
          <w:tbl>
            <w:tblPr>
              <w:tblStyle w:val="Table"/>
              <w:tblW w:type="pct" w:w="5000"/>
              <w:tblLook w:firstRow="1" w:lastRow="0" w:firstColumn="0" w:lastColumn="0" w:noHBand="0" w:noVBand="0" w:val="0020"/>
              <w:jc w:val="start"/>
              <w:tblLayout w:type="fixed"/>
            </w:tblPr>
            <w:tblGrid>
              <w:gridCol w:w="792"/>
              <w:gridCol w:w="792"/>
              <w:gridCol w:w="792"/>
              <w:gridCol w:w="792"/>
              <w:gridCol w:w="792"/>
              <w:gridCol w:w="792"/>
              <w:gridCol w:w="792"/>
              <w:gridCol w:w="792"/>
              <w:gridCol w:w="792"/>
              <w:gridCol w:w="792"/>
            </w:tblGrid>
            <w:tr>
              <w:trPr>
                <w:tblHeader w:val="true"/>
              </w:trPr>
              <w:tc>
                <w:tcPr/>
                <w:p>
                  <w:pPr>
                    <w:pStyle w:val="Compact"/>
                    <w:jc w:val="left"/>
                    <w:jc w:val="left"/>
                  </w:pPr>
                  <w:r>
                    <w:t xml:space="preserve">Phase</w:t>
                  </w:r>
                </w:p>
              </w:tc>
              <w:tc>
                <w:tcPr/>
                <w:p>
                  <w:pPr>
                    <w:pStyle w:val="Compact"/>
                    <w:jc w:val="left"/>
                    <w:jc w:val="left"/>
                  </w:pPr>
                  <w:r>
                    <w:t xml:space="preserve">Obs_concentration</w:t>
                  </w:r>
                </w:p>
              </w:tc>
              <w:tc>
                <w:tcPr/>
                <w:p>
                  <w:pPr>
                    <w:pStyle w:val="Compact"/>
                    <w:jc w:val="left"/>
                    <w:jc w:val="left"/>
                  </w:pPr>
                  <w:r>
                    <w:t xml:space="preserve">Null_mean_conc</w:t>
                  </w:r>
                </w:p>
              </w:tc>
              <w:tc>
                <w:tcPr/>
                <w:p>
                  <w:pPr>
                    <w:pStyle w:val="Compact"/>
                    <w:jc w:val="left"/>
                    <w:jc w:val="left"/>
                  </w:pPr>
                  <w:r>
                    <w:t xml:space="preserve">Null_sd_conc</w:t>
                  </w:r>
                </w:p>
              </w:tc>
              <w:tc>
                <w:tcPr/>
                <w:p>
                  <w:pPr>
                    <w:pStyle w:val="Compact"/>
                    <w:jc w:val="left"/>
                    <w:jc w:val="left"/>
                  </w:pPr>
                  <w:r>
                    <w:t xml:space="preserve">p_concentration</w:t>
                  </w:r>
                </w:p>
              </w:tc>
              <w:tc>
                <w:tcPr/>
                <w:p>
                  <w:pPr>
                    <w:pStyle w:val="Compact"/>
                    <w:jc w:val="left"/>
                    <w:jc w:val="left"/>
                  </w:pPr>
                  <w:r>
                    <w:t xml:space="preserve">Obs_path_length</w:t>
                  </w:r>
                </w:p>
              </w:tc>
              <w:tc>
                <w:tcPr/>
                <w:p>
                  <w:pPr>
                    <w:pStyle w:val="Compact"/>
                    <w:jc w:val="left"/>
                    <w:jc w:val="left"/>
                  </w:pPr>
                  <w:r>
                    <w:t xml:space="preserve">Null_mean_path</w:t>
                  </w:r>
                </w:p>
              </w:tc>
              <w:tc>
                <w:tcPr/>
                <w:p>
                  <w:pPr>
                    <w:pStyle w:val="Compact"/>
                    <w:jc w:val="left"/>
                    <w:jc w:val="left"/>
                  </w:pPr>
                  <w:r>
                    <w:t xml:space="preserve">Null_sd_path</w:t>
                  </w:r>
                </w:p>
              </w:tc>
              <w:tc>
                <w:tcPr/>
                <w:p>
                  <w:pPr>
                    <w:pStyle w:val="Compact"/>
                    <w:jc w:val="left"/>
                    <w:jc w:val="left"/>
                  </w:pPr>
                  <w:r>
                    <w:t xml:space="preserve">p_path_length</w:t>
                  </w:r>
                </w:p>
              </w:tc>
              <w:tc>
                <w:tcPr/>
                <w:p>
                  <w:pPr>
                    <w:pStyle w:val="Compact"/>
                    <w:jc w:val="left"/>
                    <w:jc w:val="left"/>
                  </w:pPr>
                  <w:r>
                    <w:t xml:space="preserve">B_finite</w:t>
                  </w:r>
                </w:p>
              </w:tc>
            </w:tr>
            <w:tr>
              <w:tc>
                <w:tcPr/>
                <w:p>
                  <w:pPr>
                    <w:pStyle w:val="Compact"/>
                    <w:jc w:val="left"/>
                    <w:jc w:val="left"/>
                  </w:pPr>
                  <w:r>
                    <w:t xml:space="preserve">Aur-P1</w:t>
                  </w:r>
                </w:p>
              </w:tc>
              <w:tc>
                <w:tcPr/>
                <w:p>
                  <w:pPr>
                    <w:pStyle w:val="Compact"/>
                    <w:jc w:val="left"/>
                    <w:jc w:val="left"/>
                  </w:pPr>
                  <w:r>
                    <w:t xml:space="preserve">0.292</w:t>
                  </w:r>
                </w:p>
              </w:tc>
              <w:tc>
                <w:tcPr/>
                <w:p>
                  <w:pPr>
                    <w:pStyle w:val="Compact"/>
                    <w:jc w:val="left"/>
                    <w:jc w:val="left"/>
                  </w:pPr>
                  <w:r>
                    <w:t xml:space="preserve">0.314</w:t>
                  </w:r>
                </w:p>
              </w:tc>
              <w:tc>
                <w:tcPr/>
                <w:p>
                  <w:pPr>
                    <w:pStyle w:val="Compact"/>
                    <w:jc w:val="left"/>
                    <w:jc w:val="left"/>
                  </w:pPr>
                  <w:r>
                    <w:t xml:space="preserve">0.040</w:t>
                  </w:r>
                </w:p>
              </w:tc>
              <w:tc>
                <w:tcPr/>
                <w:p>
                  <w:pPr>
                    <w:pStyle w:val="Compact"/>
                    <w:jc w:val="left"/>
                    <w:jc w:val="left"/>
                  </w:pPr>
                  <w:r>
                    <w:t xml:space="preserve">0.311</w:t>
                  </w:r>
                </w:p>
              </w:tc>
              <w:tc>
                <w:tcPr/>
                <w:p>
                  <w:pPr>
                    <w:pStyle w:val="Compact"/>
                    <w:jc w:val="left"/>
                    <w:jc w:val="left"/>
                  </w:pPr>
                  <w:r>
                    <w:t xml:space="preserve">10.211</w:t>
                  </w:r>
                </w:p>
              </w:tc>
              <w:tc>
                <w:tcPr/>
                <w:p>
                  <w:pPr>
                    <w:pStyle w:val="Compact"/>
                    <w:jc w:val="left"/>
                    <w:jc w:val="left"/>
                  </w:pPr>
                  <w:r>
                    <w:t xml:space="preserve">11.213</w:t>
                  </w:r>
                </w:p>
              </w:tc>
              <w:tc>
                <w:tcPr/>
                <w:p>
                  <w:pPr>
                    <w:pStyle w:val="Compact"/>
                    <w:jc w:val="left"/>
                    <w:jc w:val="left"/>
                  </w:pPr>
                  <w:r>
                    <w:t xml:space="preserve">0.899</w:t>
                  </w:r>
                </w:p>
              </w:tc>
              <w:tc>
                <w:tcPr/>
                <w:p>
                  <w:pPr>
                    <w:pStyle w:val="Compact"/>
                    <w:jc w:val="left"/>
                    <w:jc w:val="left"/>
                  </w:pPr>
                  <w:r>
                    <w:t xml:space="preserve">0.169</w:t>
                  </w:r>
                </w:p>
              </w:tc>
              <w:tc>
                <w:tcPr/>
                <w:p>
                  <w:pPr>
                    <w:pStyle w:val="Compact"/>
                    <w:jc w:val="left"/>
                    <w:jc w:val="left"/>
                  </w:pPr>
                  <w:r>
                    <w:t xml:space="preserve">999</w:t>
                  </w:r>
                </w:p>
              </w:tc>
            </w:tr>
            <w:tr>
              <w:tc>
                <w:tcPr/>
                <w:p>
                  <w:pPr>
                    <w:pStyle w:val="Compact"/>
                    <w:jc w:val="left"/>
                    <w:jc w:val="left"/>
                  </w:pPr>
                  <w:r>
                    <w:t xml:space="preserve">Aur-P2</w:t>
                  </w:r>
                </w:p>
              </w:tc>
              <w:tc>
                <w:tcPr/>
                <w:p>
                  <w:pPr>
                    <w:pStyle w:val="Compact"/>
                    <w:jc w:val="left"/>
                    <w:jc w:val="left"/>
                  </w:pPr>
                  <w:r>
                    <w:t xml:space="preserve">0.415</w:t>
                  </w:r>
                </w:p>
              </w:tc>
              <w:tc>
                <w:tcPr/>
                <w:p>
                  <w:pPr>
                    <w:pStyle w:val="Compact"/>
                    <w:jc w:val="left"/>
                    <w:jc w:val="left"/>
                  </w:pPr>
                  <w:r>
                    <w:t xml:space="preserve">0.366</w:t>
                  </w:r>
                </w:p>
              </w:tc>
              <w:tc>
                <w:tcPr/>
                <w:p>
                  <w:pPr>
                    <w:pStyle w:val="Compact"/>
                    <w:jc w:val="left"/>
                    <w:jc w:val="left"/>
                  </w:pPr>
                  <w:r>
                    <w:t xml:space="preserve">0.035</w:t>
                  </w:r>
                </w:p>
              </w:tc>
              <w:tc>
                <w:tcPr/>
                <w:p>
                  <w:pPr>
                    <w:pStyle w:val="Compact"/>
                    <w:jc w:val="left"/>
                    <w:jc w:val="left"/>
                  </w:pPr>
                  <w:r>
                    <w:t xml:space="preserve">0.912</w:t>
                  </w:r>
                </w:p>
              </w:tc>
              <w:tc>
                <w:tcPr/>
                <w:p>
                  <w:pPr>
                    <w:pStyle w:val="Compact"/>
                    <w:jc w:val="left"/>
                    <w:jc w:val="left"/>
                  </w:pPr>
                  <w:r>
                    <w:t xml:space="preserve">4.381</w:t>
                  </w:r>
                </w:p>
              </w:tc>
              <w:tc>
                <w:tcPr/>
                <w:p>
                  <w:pPr>
                    <w:pStyle w:val="Compact"/>
                    <w:jc w:val="left"/>
                    <w:jc w:val="left"/>
                  </w:pPr>
                  <w:r>
                    <w:t xml:space="preserve">4.046</w:t>
                  </w:r>
                </w:p>
              </w:tc>
              <w:tc>
                <w:tcPr/>
                <w:p>
                  <w:pPr>
                    <w:pStyle w:val="Compact"/>
                    <w:jc w:val="left"/>
                    <w:jc w:val="left"/>
                  </w:pPr>
                  <w:r>
                    <w:t xml:space="preserve">0.359</w:t>
                  </w:r>
                </w:p>
              </w:tc>
              <w:tc>
                <w:tcPr/>
                <w:p>
                  <w:pPr>
                    <w:pStyle w:val="Compact"/>
                    <w:jc w:val="left"/>
                    <w:jc w:val="left"/>
                  </w:pPr>
                  <w:r>
                    <w:t xml:space="preserve">0.854</w:t>
                  </w:r>
                </w:p>
              </w:tc>
              <w:tc>
                <w:tcPr/>
                <w:p>
                  <w:pPr>
                    <w:pStyle w:val="Compact"/>
                    <w:jc w:val="left"/>
                    <w:jc w:val="left"/>
                  </w:pPr>
                  <w:r>
                    <w:t xml:space="preserve">999</w:t>
                  </w:r>
                </w:p>
              </w:tc>
            </w:tr>
          </w:tbl>
          <w:p>
            <w:pPr>
              <w:jc w:val="left"/>
            </w:pPr>
            <w:pPr>
              <w:jc w:val="start"/>
              <w:spacing w:before="200"/>
              <w:pStyle w:val="ImageCaption"/>
            </w:pPr>
            <w:r>
              <w:t xml:space="preserve">Table S 36: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3"/>
        </w:tc>
      </w:tr>
    </w:tbl>
    <w:tbl>
      <w:tblPr>
        <w:tblStyle w:val="Table"/>
        <w:tblW w:type="pct" w:w="5000"/>
        <w:tblLook w:firstRow="0" w:lastRow="0" w:firstColumn="0" w:lastColumn="0" w:noHBand="0" w:noVBand="0" w:val="0000"/>
        <w:jc w:val="start"/>
        <w:tblLayout w:type="fixed"/>
      </w:tblPr>
      <w:tblGrid>
        <w:gridCol w:w="7920"/>
      </w:tblGrid>
      <w:tr>
        <w:tc>
          <w:tcPr/>
          <w:bookmarkStart w:id="197" w:name="fig-seriation-null"/>
          <w:p>
            <w:pPr>
              <w:pStyle w:val="Compact"/>
              <w:jc w:val="left"/>
            </w:pPr>
            <w:r>
              <w:drawing>
                <wp:inline>
                  <wp:extent cx="5943600" cy="2971800"/>
                  <wp:effectExtent b="0" l="0" r="0" t="0"/>
                  <wp:docPr descr="" title="" id="195" name="Picture"/>
                  <a:graphic>
                    <a:graphicData uri="http://schemas.openxmlformats.org/drawingml/2006/picture">
                      <pic:pic>
                        <pic:nvPicPr>
                          <pic:cNvPr descr="S1-supplement-sensitivity_files/figure-docx/fig-seriation-null-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7"/>
        </w:tc>
      </w:tr>
    </w:tbl>
    <w:bookmarkEnd w:id="198"/>
    <w:bookmarkStart w:id="199"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bookmarkEnd w:id="199"/>
    <w:bookmarkEnd w:id="200"/>
    <w:bookmarkStart w:id="204" w:name="sec-s9-6"/>
    <w:p>
      <w:pPr>
        <w:pStyle w:val="Heading2"/>
      </w:pPr>
      <w:r>
        <w:t xml:space="preserve">S1.9.6 Cross-Validation of Group Assignments (ARI)</w:t>
      </w:r>
    </w:p>
    <w:bookmarkStart w:id="202"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1" w:name="tbl-ari-bootstrap-sbm"/>
          <w:tbl>
            <w:tblPr>
              <w:tblStyle w:val="Table"/>
              <w:tblW w:type="pct" w:w="5000"/>
              <w:tblLook w:firstRow="1" w:lastRow="0" w:firstColumn="0" w:lastColumn="0" w:noHBand="0" w:noVBand="0" w:val="0020"/>
              <w:jc w:val="start"/>
              <w:tblLayout w:type="fixed"/>
            </w:tblPr>
            <w:tblGrid>
              <w:gridCol w:w="950"/>
              <w:gridCol w:w="1029"/>
              <w:gridCol w:w="1029"/>
              <w:gridCol w:w="950"/>
              <w:gridCol w:w="1029"/>
              <w:gridCol w:w="950"/>
              <w:gridCol w:w="1029"/>
              <w:gridCol w:w="950"/>
            </w:tblGrid>
            <w:tr>
              <w:trPr>
                <w:tblHeader w:val="true"/>
              </w:trPr>
              <w:tc>
                <w:tcPr/>
                <w:p>
                  <w:pPr>
                    <w:pStyle w:val="Compact"/>
                    <w:jc w:val="left"/>
                    <w:jc w:val="left"/>
                  </w:pPr>
                  <w:r>
                    <w:t xml:space="preserve">Phase</w:t>
                  </w:r>
                </w:p>
              </w:tc>
              <w:tc>
                <w:tcPr/>
                <w:p>
                  <w:pPr>
                    <w:pStyle w:val="Compact"/>
                    <w:jc w:val="left"/>
                    <w:jc w:val="left"/>
                  </w:pPr>
                  <w:r>
                    <w:t xml:space="preserve">ARI manual vs bootstrap</w:t>
                  </w:r>
                </w:p>
              </w:tc>
              <w:tc>
                <w:tcPr/>
                <w:p>
                  <w:pPr>
                    <w:pStyle w:val="Compact"/>
                    <w:jc w:val="left"/>
                    <w:jc w:val="left"/>
                  </w:pPr>
                  <w:r>
                    <w:t xml:space="preserve">ARI manual vs SBM (Bern)</w:t>
                  </w:r>
                </w:p>
              </w:tc>
              <w:tc>
                <w:tcPr/>
                <w:p>
                  <w:pPr>
                    <w:pStyle w:val="Compact"/>
                    <w:jc w:val="left"/>
                    <w:jc w:val="left"/>
                  </w:pPr>
                  <w:r>
                    <w:t xml:space="preserve">ARI boot vs SBM (Bern)</w:t>
                  </w:r>
                </w:p>
              </w:tc>
              <w:tc>
                <w:tcPr/>
                <w:p>
                  <w:pPr>
                    <w:pStyle w:val="Compact"/>
                    <w:jc w:val="left"/>
                    <w:jc w:val="left"/>
                  </w:pPr>
                  <w:r>
                    <w:t xml:space="preserve">ARI manual vs SBM (Gauss)</w:t>
                  </w:r>
                </w:p>
              </w:tc>
              <w:tc>
                <w:tcPr/>
                <w:p>
                  <w:pPr>
                    <w:pStyle w:val="Compact"/>
                    <w:jc w:val="left"/>
                    <w:jc w:val="left"/>
                  </w:pPr>
                  <w:r>
                    <w:t xml:space="preserve">ARI boot vs SBM (Gauss)</w:t>
                  </w:r>
                </w:p>
              </w:tc>
              <w:tc>
                <w:tcPr/>
                <w:p>
                  <w:pPr>
                    <w:pStyle w:val="Compact"/>
                    <w:jc w:val="left"/>
                    <w:jc w:val="left"/>
                  </w:pPr>
                  <w:r>
                    <w:t xml:space="preserve">ARI manual vs SBM (Pois)</w:t>
                  </w:r>
                </w:p>
              </w:tc>
              <w:tc>
                <w:tcPr/>
                <w:p>
                  <w:pPr>
                    <w:pStyle w:val="Compact"/>
                    <w:jc w:val="left"/>
                    <w:jc w:val="left"/>
                  </w:pPr>
                  <w:r>
                    <w:t xml:space="preserve">ARI boot vs SBM (Pois)</w:t>
                  </w:r>
                </w:p>
              </w:tc>
            </w:tr>
            <w:tr>
              <w:tc>
                <w:tcPr/>
                <w:p>
                  <w:pPr>
                    <w:pStyle w:val="Compact"/>
                    <w:jc w:val="left"/>
                    <w:jc w:val="left"/>
                  </w:pPr>
                  <w:r>
                    <w:t xml:space="preserve">Aur-P1</w:t>
                  </w:r>
                </w:p>
              </w:tc>
              <w:tc>
                <w:tcPr/>
                <w:p>
                  <w:pPr>
                    <w:pStyle w:val="Compact"/>
                    <w:jc w:val="left"/>
                    <w:jc w:val="left"/>
                  </w:pPr>
                  <w:r>
                    <w:t xml:space="preserve">0.80</w:t>
                  </w:r>
                </w:p>
              </w:tc>
              <w:tc>
                <w:tcPr/>
                <w:p>
                  <w:pPr>
                    <w:pStyle w:val="Compact"/>
                    <w:jc w:val="left"/>
                    <w:jc w:val="left"/>
                  </w:pPr>
                  <w:r>
                    <w:t xml:space="preserve">0.7</w:t>
                  </w:r>
                </w:p>
              </w:tc>
              <w:tc>
                <w:tcPr/>
                <w:p>
                  <w:pPr>
                    <w:pStyle w:val="Compact"/>
                    <w:jc w:val="left"/>
                    <w:jc w:val="left"/>
                  </w:pPr>
                  <w:r>
                    <w:t xml:space="preserve">0.71</w:t>
                  </w:r>
                </w:p>
              </w:tc>
              <w:tc>
                <w:tcPr/>
                <w:p>
                  <w:pPr>
                    <w:pStyle w:val="Compact"/>
                    <w:jc w:val="left"/>
                    <w:jc w:val="left"/>
                  </w:pPr>
                  <w:r>
                    <w:t xml:space="preserve">0.53</w:t>
                  </w:r>
                </w:p>
              </w:tc>
              <w:tc>
                <w:tcPr/>
                <w:p>
                  <w:pPr>
                    <w:pStyle w:val="Compact"/>
                    <w:jc w:val="left"/>
                    <w:jc w:val="left"/>
                  </w:pPr>
                  <w:r>
                    <w:t xml:space="preserve">0.55</w:t>
                  </w:r>
                </w:p>
              </w:tc>
              <w:tc>
                <w:tcPr/>
                <w:p>
                  <w:pPr>
                    <w:pStyle w:val="Compact"/>
                    <w:jc w:val="left"/>
                    <w:jc w:val="left"/>
                  </w:pPr>
                  <w:r>
                    <w:t xml:space="preserve">0.63</w:t>
                  </w:r>
                </w:p>
              </w:tc>
              <w:tc>
                <w:tcPr/>
                <w:p>
                  <w:pPr>
                    <w:pStyle w:val="Compact"/>
                    <w:jc w:val="left"/>
                    <w:jc w:val="left"/>
                  </w:pPr>
                  <w:r>
                    <w:t xml:space="preserve">0.45</w:t>
                  </w:r>
                </w:p>
              </w:tc>
            </w:tr>
            <w:tr>
              <w:tc>
                <w:tcPr/>
                <w:p>
                  <w:pPr>
                    <w:pStyle w:val="Compact"/>
                    <w:jc w:val="left"/>
                    <w:jc w:val="left"/>
                  </w:pPr>
                  <w:r>
                    <w:t xml:space="preserve">Aur-P2</w:t>
                  </w:r>
                </w:p>
              </w:tc>
              <w:tc>
                <w:tcPr/>
                <w:p>
                  <w:pPr>
                    <w:pStyle w:val="Compact"/>
                    <w:jc w:val="left"/>
                    <w:jc w:val="left"/>
                  </w:pPr>
                  <w:r>
                    <w:t xml:space="preserve">0.22</w:t>
                  </w:r>
                </w:p>
              </w:tc>
              <w:tc>
                <w:tcPr/>
                <w:p>
                  <w:pPr>
                    <w:pStyle w:val="Compact"/>
                    <w:jc w:val="left"/>
                    <w:jc w:val="left"/>
                  </w:pPr>
                  <w:r>
                    <w:t xml:space="preserve">0.0</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37: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201"/>
        </w:tc>
      </w:tr>
    </w:tbl>
    <w:bookmarkEnd w:id="202"/>
    <w:bookmarkStart w:id="203"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37</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37</w:t>
        </w:r>
      </w:hyperlink>
      <w:r>
        <w:t xml:space="preserve">). Thus subsampling of sites reproduces the manual labels closely in Aur-P1 and only weakly in Aur-P2. In Aur-P1 the Bernoulli SBM also agrees with the manual labels (manual–SBM 0.7) and with the bootstrap partition (bootstrap–SBM 0.71), and agreement is moderate under the other emission models (Gaussian manual–SBM 0.53; Poisson manual–SBM 0.63). In Aur-P2 the Bernoulli and Poisson values are 0 and 0, because those solutions are single blocks, and the Gaussian K = 2 solution is selected by only 0.90 ICL points (</w:t>
      </w:r>
      <w:r>
        <w:t xml:space="preserve">Section S1.9.4</w:t>
      </w:r>
      <w:r>
        <w:t xml:space="preserve">). All these partitions come from the same sign data. Their agreement shows that the restricted/broad labels are stable and recoverable, not that two discrete groups exist (</w:t>
      </w:r>
      <w:r>
        <w:t xml:space="preserve">Section S1.10</w:t>
      </w:r>
      <w:r>
        <w:t xml:space="preserve">).</w:t>
      </w:r>
    </w:p>
    <w:bookmarkEnd w:id="203"/>
    <w:bookmarkEnd w:id="204"/>
    <w:bookmarkEnd w:id="205"/>
    <w:bookmarkStart w:id="213" w:name="sec-s10"/>
    <w:p>
      <w:pPr>
        <w:pStyle w:val="Heading1"/>
      </w:pPr>
      <w:r>
        <w:t xml:space="preserve">S1.10 Withheld-Data Validation</w:t>
      </w:r>
    </w:p>
    <w:bookmarkStart w:id="207"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0"/>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0"/>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0"/>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[22,23]</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6" w:name="tbl-validation-summary"/>
          <w:tbl>
            <w:tblPr>
              <w:tblStyle w:val="Table"/>
              <w:tblW w:type="pct" w:w="5000"/>
              <w:tblLook w:firstRow="1" w:lastRow="0" w:firstColumn="0" w:lastColumn="0" w:noHBand="0" w:noVBand="0" w:val="0020"/>
              <w:jc w:val="start"/>
              <w:tblLayout w:type="fixed"/>
            </w:tblPr>
            <w:tblGrid>
              <w:gridCol w:w="3168"/>
              <w:gridCol w:w="2534"/>
              <w:gridCol w:w="2217"/>
            </w:tblGrid>
            <w:tr>
              <w:trPr>
                <w:tblHeader w:val="true"/>
              </w:trPr>
              <w:tc>
                <w:tcPr/>
                <w:p>
                  <w:pPr>
                    <w:pStyle w:val="Compact"/>
                    <w:jc w:val="left"/>
                    <w:jc w:val="left"/>
                  </w:pPr>
                  <w:r>
                    <w:t xml:space="preserve">Method</w:t>
                  </w:r>
                </w:p>
              </w:tc>
              <w:tc>
                <w:tcPr/>
                <w:p>
                  <w:pPr>
                    <w:pStyle w:val="Compact"/>
                    <w:jc w:val="left"/>
                    <w:jc w:val="left"/>
                  </w:pPr>
                  <w:r>
                    <w:t xml:space="preserve">Statistic</w:t>
                  </w:r>
                </w:p>
              </w:tc>
              <w:tc>
                <w:tcPr/>
                <w:p>
                  <w:pPr>
                    <w:pStyle w:val="Compact"/>
                    <w:jc w:val="left"/>
                    <w:jc w:val="left"/>
                  </w:pPr>
                  <w:r>
                    <w:t xml:space="preserve">p.value</w:t>
                  </w:r>
                </w:p>
              </w:tc>
            </w:tr>
            <w:tr>
              <w:tc>
                <w:tcPr/>
                <w:p>
                  <w:pPr>
                    <w:pStyle w:val="Compact"/>
                    <w:jc w:val="left"/>
                    <w:jc w:val="left"/>
                  </w:pPr>
                  <w:r>
                    <w:t xml:space="preserve">A: Maximally-selected split (P1)</w:t>
                  </w:r>
                </w:p>
              </w:tc>
              <w:tc>
                <w:tcPr/>
                <w:p>
                  <w:pPr>
                    <w:pStyle w:val="Compact"/>
                    <w:jc w:val="left"/>
                    <w:jc w:val="left"/>
                  </w:pPr>
                  <w:r>
                    <w:t xml:space="preserve">3.72</w:t>
                  </w:r>
                </w:p>
              </w:tc>
              <w:tc>
                <w:tcPr/>
                <w:p>
                  <w:pPr>
                    <w:pStyle w:val="Compact"/>
                    <w:jc w:val="left"/>
                    <w:jc w:val="left"/>
                  </w:pPr>
                  <w:r>
                    <w:t xml:space="preserve">0.139</w:t>
                  </w:r>
                </w:p>
              </w:tc>
            </w:tr>
            <w:tr>
              <w:tc>
                <w:tcPr/>
                <w:p>
                  <w:pPr>
                    <w:pStyle w:val="Compact"/>
                    <w:jc w:val="left"/>
                    <w:jc w:val="left"/>
                  </w:pPr>
                  <w:r>
                    <w:t xml:space="preserve">A: Maximally-selected split (P2)</w:t>
                  </w:r>
                </w:p>
              </w:tc>
              <w:tc>
                <w:tcPr/>
                <w:p>
                  <w:pPr>
                    <w:pStyle w:val="Compact"/>
                    <w:jc w:val="left"/>
                    <w:jc w:val="left"/>
                  </w:pPr>
                  <w:r>
                    <w:t xml:space="preserve">1.77</w:t>
                  </w:r>
                </w:p>
              </w:tc>
              <w:tc>
                <w:tcPr/>
                <w:p>
                  <w:pPr>
                    <w:pStyle w:val="Compact"/>
                    <w:jc w:val="left"/>
                    <w:jc w:val="left"/>
                  </w:pPr>
                  <w:r>
                    <w:t xml:space="preserve">1</w:t>
                  </w:r>
                </w:p>
              </w:tc>
            </w:tr>
            <w:tr>
              <w:tc>
                <w:tcPr/>
                <w:p>
                  <w:pPr>
                    <w:pStyle w:val="Compact"/>
                    <w:jc w:val="left"/>
                    <w:jc w:val="left"/>
                  </w:pPr>
                  <w:r>
                    <w:t xml:space="preserve">B-i: LOOCV site classification (P1)</w:t>
                  </w:r>
                </w:p>
              </w:tc>
              <w:tc>
                <w:tcPr/>
                <w:p>
                  <w:pPr>
                    <w:pStyle w:val="Compact"/>
                    <w:jc w:val="left"/>
                    <w:jc w:val="left"/>
                  </w:pPr>
                  <w:r>
                    <w:t xml:space="preserve">100 %</w:t>
                  </w:r>
                </w:p>
              </w:tc>
              <w:tc>
                <w:tcPr/>
                <w:p>
                  <w:pPr>
                    <w:pStyle w:val="Compact"/>
                    <w:jc w:val="left"/>
                    <w:jc w:val="left"/>
                  </w:pPr>
                  <w:r>
                    <w:t xml:space="preserve">0.001</w:t>
                  </w:r>
                </w:p>
              </w:tc>
            </w:tr>
            <w:tr>
              <w:tc>
                <w:tcPr/>
                <w:p>
                  <w:pPr>
                    <w:pStyle w:val="Compact"/>
                    <w:jc w:val="left"/>
                    <w:jc w:val="left"/>
                  </w:pPr>
                  <w:r>
                    <w:t xml:space="preserve">B-i: LOOCV site classification (P2)</w:t>
                  </w:r>
                </w:p>
              </w:tc>
              <w:tc>
                <w:tcPr/>
                <w:p>
                  <w:pPr>
                    <w:pStyle w:val="Compact"/>
                    <w:jc w:val="left"/>
                    <w:jc w:val="left"/>
                  </w:pPr>
                  <w:r>
                    <w:t xml:space="preserve">89 %</w:t>
                  </w:r>
                </w:p>
              </w:tc>
              <w:tc>
                <w:tcPr/>
                <w:p>
                  <w:pPr>
                    <w:pStyle w:val="Compact"/>
                    <w:jc w:val="left"/>
                    <w:jc w:val="left"/>
                  </w:pPr>
                  <w:r>
                    <w:t xml:space="preserve">0.028</w:t>
                  </w:r>
                </w:p>
              </w:tc>
            </w:tr>
            <w:tr>
              <w:tc>
                <w:tcPr/>
                <w:p>
                  <w:pPr>
                    <w:pStyle w:val="Compact"/>
                    <w:jc w:val="left"/>
                    <w:jc w:val="left"/>
                  </w:pPr>
                  <w:r>
                    <w:t xml:space="preserve">B-ii: Object-half holdout Jaccard (P1)</w:t>
                  </w:r>
                </w:p>
              </w:tc>
              <w:tc>
                <w:tcPr/>
                <w:p>
                  <w:pPr>
                    <w:pStyle w:val="Compact"/>
                    <w:jc w:val="left"/>
                    <w:jc w:val="left"/>
                  </w:pPr>
                  <w:r>
                    <w:t xml:space="preserve">55% sig, med p=0.04</w:t>
                  </w:r>
                </w:p>
              </w:tc>
              <w:tc>
                <w:tcPr/>
                <w:p>
                  <w:pPr>
                    <w:pStyle w:val="Compact"/>
                    <w:jc w:val="left"/>
                    <w:jc w:val="left"/>
                  </w:pPr>
                  <w:r>
                    <w:t xml:space="preserve">not combined (dependent splits)</w:t>
                  </w:r>
                </w:p>
              </w:tc>
            </w:tr>
            <w:tr>
              <w:tc>
                <w:tcPr/>
                <w:p>
                  <w:pPr>
                    <w:pStyle w:val="Compact"/>
                    <w:jc w:val="left"/>
                    <w:jc w:val="left"/>
                  </w:pPr>
                  <w:r>
                    <w:t xml:space="preserve">B-ii: Object-half holdout Jaccard (P2)</w:t>
                  </w:r>
                </w:p>
              </w:tc>
              <w:tc>
                <w:tcPr/>
                <w:p>
                  <w:pPr>
                    <w:pStyle w:val="Compact"/>
                    <w:jc w:val="left"/>
                    <w:jc w:val="left"/>
                  </w:pPr>
                  <w:r>
                    <w:t xml:space="preserve">0% sig, med p=0.199</w:t>
                  </w:r>
                </w:p>
              </w:tc>
              <w:tc>
                <w:tcPr/>
                <w:p>
                  <w:pPr>
                    <w:pStyle w:val="Compact"/>
                    <w:jc w:val="left"/>
                    <w:jc w:val="left"/>
                  </w:pPr>
                  <w:r>
                    <w:t xml:space="preserve">not combined (dependent splits)</w:t>
                  </w:r>
                </w:p>
              </w:tc>
            </w:tr>
            <w:tr>
              <w:tc>
                <w:tcPr/>
                <w:p>
                  <w:pPr>
                    <w:pStyle w:val="Compact"/>
                    <w:jc w:val="left"/>
                    <w:jc w:val="left"/>
                  </w:pPr>
                  <w:r>
                    <w:t xml:space="preserve">B-ii: Object-half holdout Simpson (P1)</w:t>
                  </w:r>
                </w:p>
              </w:tc>
              <w:tc>
                <w:tcPr/>
                <w:p>
                  <w:pPr>
                    <w:pStyle w:val="Compact"/>
                    <w:jc w:val="left"/>
                    <w:jc w:val="left"/>
                  </w:pPr>
                  <w:r>
                    <w:t xml:space="preserve">0% sig, med p=0.976</w:t>
                  </w:r>
                </w:p>
              </w:tc>
              <w:tc>
                <w:tcPr/>
                <w:p>
                  <w:pPr>
                    <w:pStyle w:val="Compact"/>
                    <w:jc w:val="left"/>
                    <w:jc w:val="left"/>
                  </w:pPr>
                  <w:r>
                    <w:t xml:space="preserve">not combined (dependent splits)</w:t>
                  </w:r>
                </w:p>
              </w:tc>
            </w:tr>
            <w:tr>
              <w:tc>
                <w:tcPr/>
                <w:p>
                  <w:pPr>
                    <w:pStyle w:val="Compact"/>
                    <w:jc w:val="left"/>
                    <w:jc w:val="left"/>
                  </w:pPr>
                  <w:r>
                    <w:t xml:space="preserve">B-ii: Object-half holdout Simpson (P2)</w:t>
                  </w:r>
                </w:p>
              </w:tc>
              <w:tc>
                <w:tcPr/>
                <w:p>
                  <w:pPr>
                    <w:pStyle w:val="Compact"/>
                    <w:jc w:val="left"/>
                    <w:jc w:val="left"/>
                  </w:pPr>
                  <w:r>
                    <w:t xml:space="preserve">0% sig, med p=0.917</w:t>
                  </w:r>
                </w:p>
              </w:tc>
              <w:tc>
                <w:tcPr/>
                <w:p>
                  <w:pPr>
                    <w:pStyle w:val="Compact"/>
                    <w:jc w:val="left"/>
                    <w:jc w:val="left"/>
                  </w:pPr>
                  <w:r>
                    <w:t xml:space="preserve">not combined (dependent splits)</w:t>
                  </w:r>
                </w:p>
              </w:tc>
            </w:tr>
            <w:tr>
              <w:tc>
                <w:tcPr/>
                <w:p>
                  <w:pPr>
                    <w:pStyle w:val="Compact"/>
                    <w:jc w:val="left"/>
                    <w:jc w:val="left"/>
                  </w:pPr>
                  <w:r>
                    <w:t xml:space="preserve">C: Gradient log(nobjects) (P1)</w:t>
                  </w:r>
                </w:p>
              </w:tc>
              <w:tc>
                <w:tcPr/>
                <w:p>
                  <w:pPr>
                    <w:pStyle w:val="Compact"/>
                    <w:jc w:val="left"/>
                    <w:jc w:val="left"/>
                  </w:pPr>
                  <w:r>
                    <w:t xml:space="preserve">R2=0.187</w:t>
                  </w:r>
                </w:p>
              </w:tc>
              <w:tc>
                <w:tcPr/>
                <w:p>
                  <w:pPr>
                    <w:pStyle w:val="Compact"/>
                    <w:jc w:val="left"/>
                    <w:jc w:val="left"/>
                  </w:pPr>
                  <w:r>
                    <w:t xml:space="preserve">0.001</w:t>
                  </w:r>
                </w:p>
              </w:tc>
            </w:tr>
            <w:tr>
              <w:tc>
                <w:tcPr/>
                <w:p>
                  <w:pPr>
                    <w:pStyle w:val="Compact"/>
                    <w:jc w:val="left"/>
                    <w:jc w:val="left"/>
                  </w:pPr>
                  <w:r>
                    <w:t xml:space="preserve">C: Gradient log(nobjects) (P2)</w:t>
                  </w:r>
                </w:p>
              </w:tc>
              <w:tc>
                <w:tcPr/>
                <w:p>
                  <w:pPr>
                    <w:pStyle w:val="Compact"/>
                    <w:jc w:val="left"/>
                    <w:jc w:val="left"/>
                  </w:pPr>
                  <w:r>
                    <w:t xml:space="preserve">R2=0.128</w:t>
                  </w:r>
                </w:p>
              </w:tc>
              <w:tc>
                <w:tcPr/>
                <w:p>
                  <w:pPr>
                    <w:pStyle w:val="Compact"/>
                    <w:jc w:val="left"/>
                    <w:jc w:val="left"/>
                  </w:pPr>
                  <w:r>
                    <w:t xml:space="preserve">0.428</w:t>
                  </w:r>
                </w:p>
              </w:tc>
            </w:tr>
            <w:tr>
              <w:tc>
                <w:tcPr/>
                <w:p>
                  <w:pPr>
                    <w:pStyle w:val="Compact"/>
                    <w:jc w:val="left"/>
                    <w:jc w:val="left"/>
                  </w:pPr>
                  <w:r>
                    <w:t xml:space="preserve">C: Gradient richness (P1)</w:t>
                  </w:r>
                </w:p>
              </w:tc>
              <w:tc>
                <w:tcPr/>
                <w:p>
                  <w:pPr>
                    <w:pStyle w:val="Compact"/>
                    <w:jc w:val="left"/>
                    <w:jc w:val="left"/>
                  </w:pPr>
                  <w:r>
                    <w:t xml:space="preserve">R2=0.207</w:t>
                  </w:r>
                </w:p>
              </w:tc>
              <w:tc>
                <w:tcPr/>
                <w:p>
                  <w:pPr>
                    <w:pStyle w:val="Compact"/>
                    <w:jc w:val="left"/>
                    <w:jc w:val="left"/>
                  </w:pPr>
                  <w:r>
                    <w:t xml:space="preserve">0.001</w:t>
                  </w:r>
                </w:p>
              </w:tc>
            </w:tr>
            <w:tr>
              <w:tc>
                <w:tcPr/>
                <w:p>
                  <w:pPr>
                    <w:pStyle w:val="Compact"/>
                    <w:jc w:val="left"/>
                    <w:jc w:val="left"/>
                  </w:pPr>
                  <w:r>
                    <w:t xml:space="preserve">C: Gradient richness (P2)</w:t>
                  </w:r>
                </w:p>
              </w:tc>
              <w:tc>
                <w:tcPr/>
                <w:p>
                  <w:pPr>
                    <w:pStyle w:val="Compact"/>
                    <w:jc w:val="left"/>
                    <w:jc w:val="left"/>
                  </w:pPr>
                  <w:r>
                    <w:t xml:space="preserve">R2=0.272</w:t>
                  </w:r>
                </w:p>
              </w:tc>
              <w:tc>
                <w:tcPr/>
                <w:p>
                  <w:pPr>
                    <w:pStyle w:val="Compact"/>
                    <w:jc w:val="left"/>
                    <w:jc w:val="left"/>
                  </w:pPr>
                  <w:r>
                    <w:t xml:space="preserve">0.038</w:t>
                  </w:r>
                </w:p>
              </w:tc>
            </w:tr>
          </w:tbl>
          <w:p>
            <w:pPr>
              <w:jc w:val="left"/>
            </w:pPr>
            <w:pPr>
              <w:jc w:val="start"/>
              <w:spacing w:before="200"/>
              <w:pStyle w:val="ImageCaption"/>
            </w:pPr>
            <w:r>
              <w:t xml:space="preserve">Table S 38: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6"/>
        </w:tc>
      </w:tr>
    </w:tbl>
    <w:bookmarkEnd w:id="207"/>
    <w:bookmarkStart w:id="208"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significant.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8"/>
    <w:bookmarkStart w:id="212" w:name="sec-s10-1"/>
    <w:p>
      <w:pPr>
        <w:pStyle w:val="Heading2"/>
      </w:pPr>
      <w:r>
        <w:t xml:space="preserve">S1.10.3 Richness-preserving nulls and Simpson turnover</w:t>
      </w:r>
    </w:p>
    <w:bookmarkStart w:id="210"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9" w:name="tbl-simpson-null"/>
          <w:tbl>
            <w:tblPr>
              <w:tblStyle w:val="Table"/>
              <w:tblW w:type="pct" w:w="5000"/>
              <w:tblLook w:firstRow="1" w:lastRow="0" w:firstColumn="0" w:lastColumn="0" w:noHBand="0" w:noVBand="0" w:val="0020"/>
              <w:jc w:val="start"/>
              <w:tblLayout w:type="fixed"/>
            </w:tblPr>
            <w:tblGrid>
              <w:gridCol w:w="792"/>
              <w:gridCol w:w="1108"/>
              <w:gridCol w:w="712"/>
              <w:gridCol w:w="792"/>
              <w:gridCol w:w="712"/>
              <w:gridCol w:w="792"/>
              <w:gridCol w:w="633"/>
              <w:gridCol w:w="633"/>
              <w:gridCol w:w="871"/>
              <w:gridCol w:w="871"/>
            </w:tblGrid>
            <w:tr>
              <w:trPr>
                <w:tblHeader w:val="true"/>
              </w:trPr>
              <w:tc>
                <w:tcPr/>
                <w:p>
                  <w:pPr>
                    <w:pStyle w:val="Compact"/>
                    <w:jc w:val="left"/>
                    <w:jc w:val="left"/>
                  </w:pPr>
                  <w:r>
                    <w:t xml:space="preserve">Phase</w:t>
                  </w:r>
                </w:p>
              </w:tc>
              <w:tc>
                <w:tcPr/>
                <w:p>
                  <w:pPr>
                    <w:pStyle w:val="Compact"/>
                    <w:jc w:val="left"/>
                    <w:jc w:val="left"/>
                  </w:pPr>
                  <w:r>
                    <w:t xml:space="preserve">Null</w:t>
                  </w:r>
                </w:p>
              </w:tc>
              <w:tc>
                <w:tcPr/>
                <w:p>
                  <w:pPr>
                    <w:pStyle w:val="Compact"/>
                    <w:jc w:val="left"/>
                    <w:jc w:val="left"/>
                  </w:pPr>
                  <w:r>
                    <w:t xml:space="preserve">R2_jac</w:t>
                  </w:r>
                </w:p>
              </w:tc>
              <w:tc>
                <w:tcPr/>
                <w:p>
                  <w:pPr>
                    <w:pStyle w:val="Compact"/>
                    <w:jc w:val="left"/>
                    <w:jc w:val="left"/>
                  </w:pPr>
                  <w:r>
                    <w:t xml:space="preserve">R2_jac_p</w:t>
                  </w:r>
                </w:p>
              </w:tc>
              <w:tc>
                <w:tcPr/>
                <w:p>
                  <w:pPr>
                    <w:pStyle w:val="Compact"/>
                    <w:jc w:val="left"/>
                    <w:jc w:val="left"/>
                  </w:pPr>
                  <w:r>
                    <w:t xml:space="preserve">R2_sim</w:t>
                  </w:r>
                </w:p>
              </w:tc>
              <w:tc>
                <w:tcPr/>
                <w:p>
                  <w:pPr>
                    <w:pStyle w:val="Compact"/>
                    <w:jc w:val="left"/>
                    <w:jc w:val="left"/>
                  </w:pPr>
                  <w:r>
                    <w:t xml:space="preserve">R2_sim_p</w:t>
                  </w:r>
                </w:p>
              </w:tc>
              <w:tc>
                <w:tcPr/>
                <w:p>
                  <w:pPr>
                    <w:pStyle w:val="Compact"/>
                    <w:jc w:val="left"/>
                    <w:jc w:val="left"/>
                  </w:pPr>
                  <w:r>
                    <w:t xml:space="preserve">ARI</w:t>
                  </w:r>
                </w:p>
              </w:tc>
              <w:tc>
                <w:tcPr/>
                <w:p>
                  <w:pPr>
                    <w:pStyle w:val="Compact"/>
                    <w:jc w:val="left"/>
                    <w:jc w:val="left"/>
                  </w:pPr>
                  <w:r>
                    <w:t xml:space="preserve">ARI_p</w:t>
                  </w:r>
                </w:p>
              </w:tc>
              <w:tc>
                <w:tcPr/>
                <w:p>
                  <w:pPr>
                    <w:pStyle w:val="Compact"/>
                    <w:jc w:val="left"/>
                    <w:jc w:val="left"/>
                  </w:pPr>
                  <w:r>
                    <w:t xml:space="preserve">adonis_jac_p</w:t>
                  </w:r>
                </w:p>
              </w:tc>
              <w:tc>
                <w:tcPr/>
                <w:p>
                  <w:pPr>
                    <w:pStyle w:val="Compact"/>
                    <w:jc w:val="left"/>
                    <w:jc w:val="left"/>
                  </w:pPr>
                  <w:r>
                    <w:t xml:space="preserve">adonis_sim_p</w:t>
                  </w:r>
                </w:p>
              </w:tc>
            </w:tr>
            <w:tr>
              <w:tc>
                <w:tcPr/>
                <w:p>
                  <w:pPr>
                    <w:pStyle w:val="Compact"/>
                    <w:jc w:val="left"/>
                    <w:jc w:val="left"/>
                  </w:pPr>
                  <w:r>
                    <w:t xml:space="preserve">Aur-P1</w:t>
                  </w:r>
                </w:p>
              </w:tc>
              <w:tc>
                <w:tcPr/>
                <w:p>
                  <w:pPr>
                    <w:pStyle w:val="Compact"/>
                    <w:jc w:val="left"/>
                    <w:jc w:val="left"/>
                  </w:pPr>
                  <w:r>
                    <w:t xml:space="preserve">Curveball</w:t>
                  </w:r>
                </w:p>
              </w:tc>
              <w:tc>
                <w:tcPr/>
                <w:p>
                  <w:pPr>
                    <w:pStyle w:val="Compact"/>
                    <w:jc w:val="left"/>
                    <w:jc w:val="left"/>
                  </w:pPr>
                  <w:r>
                    <w:t xml:space="preserve">0.196</w:t>
                  </w:r>
                </w:p>
              </w:tc>
              <w:tc>
                <w:tcPr/>
                <w:p>
                  <w:pPr>
                    <w:pStyle w:val="Compact"/>
                    <w:jc w:val="left"/>
                    <w:jc w:val="left"/>
                  </w:pPr>
                  <w:r>
                    <w:t xml:space="preserve">1.000</w:t>
                  </w:r>
                </w:p>
              </w:tc>
              <w:tc>
                <w:tcPr/>
                <w:p>
                  <w:pPr>
                    <w:pStyle w:val="Compact"/>
                    <w:jc w:val="left"/>
                    <w:jc w:val="left"/>
                  </w:pPr>
                  <w:r>
                    <w:t xml:space="preserve">-0.027</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Aur-P1</w:t>
                  </w:r>
                </w:p>
              </w:tc>
              <w:tc>
                <w:tcPr/>
                <w:p>
                  <w:pPr>
                    <w:pStyle w:val="Compact"/>
                    <w:jc w:val="left"/>
                    <w:jc w:val="left"/>
                  </w:pPr>
                  <w:r>
                    <w:t xml:space="preserve">Object-count</w:t>
                  </w:r>
                </w:p>
              </w:tc>
              <w:tc>
                <w:tcPr/>
                <w:p>
                  <w:pPr>
                    <w:pStyle w:val="Compact"/>
                    <w:jc w:val="left"/>
                    <w:jc w:val="left"/>
                  </w:pPr>
                  <w:r>
                    <w:t xml:space="preserve">0.196</w:t>
                  </w:r>
                </w:p>
              </w:tc>
              <w:tc>
                <w:tcPr/>
                <w:p>
                  <w:pPr>
                    <w:pStyle w:val="Compact"/>
                    <w:jc w:val="left"/>
                    <w:jc w:val="left"/>
                  </w:pPr>
                  <w:r>
                    <w:t xml:space="preserve">0.001</w:t>
                  </w:r>
                </w:p>
              </w:tc>
              <w:tc>
                <w:tcPr/>
                <w:p>
                  <w:pPr>
                    <w:pStyle w:val="Compact"/>
                    <w:jc w:val="left"/>
                    <w:jc w:val="left"/>
                  </w:pPr>
                  <w:r>
                    <w:t xml:space="preserve">-0.027</w:t>
                  </w:r>
                </w:p>
              </w:tc>
              <w:tc>
                <w:tcPr/>
                <w:p>
                  <w:pPr>
                    <w:pStyle w:val="Compact"/>
                    <w:jc w:val="left"/>
                    <w:jc w:val="left"/>
                  </w:pPr>
                  <w:r>
                    <w:t xml:space="preserve">0.003</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Aur-P2</w:t>
                  </w:r>
                </w:p>
              </w:tc>
              <w:tc>
                <w:tcPr/>
                <w:p>
                  <w:pPr>
                    <w:pStyle w:val="Compact"/>
                    <w:jc w:val="left"/>
                    <w:jc w:val="left"/>
                  </w:pPr>
                  <w:r>
                    <w:t xml:space="preserve">Curveball</w:t>
                  </w:r>
                </w:p>
              </w:tc>
              <w:tc>
                <w:tcPr/>
                <w:p>
                  <w:pPr>
                    <w:pStyle w:val="Compact"/>
                    <w:jc w:val="left"/>
                    <w:jc w:val="left"/>
                  </w:pPr>
                  <w:r>
                    <w:t xml:space="preserve">0.223</w:t>
                  </w:r>
                </w:p>
              </w:tc>
              <w:tc>
                <w:tcPr/>
                <w:p>
                  <w:pPr>
                    <w:pStyle w:val="Compact"/>
                    <w:jc w:val="left"/>
                    <w:jc w:val="left"/>
                  </w:pPr>
                  <w:r>
                    <w:t xml:space="preserve">1.000</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0.077</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Object-count</w:t>
                  </w:r>
                </w:p>
              </w:tc>
              <w:tc>
                <w:tcPr/>
                <w:p>
                  <w:pPr>
                    <w:pStyle w:val="Compact"/>
                    <w:jc w:val="left"/>
                    <w:jc w:val="left"/>
                  </w:pPr>
                  <w:r>
                    <w:t xml:space="preserve">0.223</w:t>
                  </w:r>
                </w:p>
              </w:tc>
              <w:tc>
                <w:tcPr/>
                <w:p>
                  <w:pPr>
                    <w:pStyle w:val="Compact"/>
                    <w:jc w:val="left"/>
                    <w:jc w:val="left"/>
                  </w:pPr>
                  <w:r>
                    <w:t xml:space="preserve">0.334</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0.077</w:t>
                  </w:r>
                </w:p>
              </w:tc>
              <w:tc>
                <w:tcPr/>
                <w:p>
                  <w:pPr>
                    <w:pStyle w:val="Compact"/>
                    <w:jc w:val="left"/>
                    <w:jc w:val="left"/>
                  </w:pPr>
                  <w:r>
                    <w:t xml:space="preserve">1.000</w:t>
                  </w:r>
                </w:p>
              </w:tc>
            </w:tr>
          </w:tbl>
          <w:p>
            <w:pPr>
              <w:jc w:val="left"/>
            </w:pPr>
            <w:pPr>
              <w:jc w:val="start"/>
              <w:spacing w:before="200"/>
              <w:pStyle w:val="ImageCaption"/>
            </w:pPr>
            <w:r>
              <w:t xml:space="preserve">Table S 39: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upper-tail p-value: the proportion of null replicates at or above the observed value, with a +1 correction. Negative R2_sim values occur because the Simpson dissimilarities are not Euclidean, so the between-group sum of squares can be negative; they indicate no between-group separation.</w:t>
            </w:r>
          </w:p>
          <w:bookmarkEnd w:id="209"/>
        </w:tc>
      </w:tr>
    </w:tbl>
    <w:bookmarkEnd w:id="210"/>
    <w:bookmarkStart w:id="211"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(upper-tail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in Aur-P1 and 1 in Aur-P2; here each Louvain community is first merged into the manual group of most of its members, so singleton communities such as Les Cottés and Trou al’Wesse join their own manual group;</w:t>
      </w:r>
      <w:r>
        <w:t xml:space="preserve"> </w:t>
      </w:r>
      <w:r>
        <w:t xml:space="preserve">Section S1.6.8</w:t>
      </w:r>
      <w:r>
        <w:t xml:space="preserve"> </w:t>
      </w:r>
      <w:r>
        <w:t xml:space="preserve">reports ARI for the unmerged communities) but is likewise reproduced by the fixed-fixed null (p = 1 and 1), exceeding only the object-count null. On Simpson turnover dissimilarity there is no separation to explain (Aur-P1 R² = -0.027, Aur-P2 R² = -0.676; adonis p = 0.958 and 1). These R² values are negative because the Simpson dissimilarities are not Euclidean, so the between-group sum of squares can be negative; a negative value means that there is no between-group separation. Under the object-count null, the Aur-P1 Simpson p is 0.003. This p is an upper-tail value (</w:t>
      </w:r>
      <w:hyperlink w:anchor="tbl-simpson-null">
        <w:r>
          <w:rPr>
            <w:rStyle w:val="Hyperlink"/>
          </w:rPr>
          <w:t xml:space="preserve">Table S 39</w:t>
        </w:r>
      </w:hyperlink>
      <w:r>
        <w:t xml:space="preserve">). Thus 99.8% of the object-count draws give a lower Simpson R² than the observed value of -0.027. Random draws of objects therefore give even less turnover separation than the observed groups. The observed value is below zero, so the observed groups do not differ in turnover (adonis p = 0.958).</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1"/>
    <w:bookmarkEnd w:id="212"/>
    <w:bookmarkEnd w:id="213"/>
    <w:bookmarkStart w:id="235" w:name="sec-s11"/>
    <w:p>
      <w:pPr>
        <w:pStyle w:val="Heading1"/>
      </w:pPr>
      <w:r>
        <w:t xml:space="preserve">S1.11 Community Description</w:t>
      </w:r>
    </w:p>
    <w:bookmarkStart w:id="214" w:name="sec-s11-rationale"/>
    <w:p>
      <w:pPr>
        <w:pStyle w:val="Heading2"/>
      </w:pPr>
      <w:r>
        <w:t xml:space="preserve">S1.11.1 Rationale</w:t>
      </w:r>
    </w:p>
    <w:p>
      <w:pPr>
        <w:pStyle w:val="FirstParagraph"/>
      </w:pPr>
      <w:r>
        <w:t xml:space="preserve">Section S1.6.6</w:t>
      </w:r>
      <w:r>
        <w:t xml:space="preserve"> </w:t>
      </w:r>
      <w:r>
        <w:t xml:space="preserve">and</w:t>
      </w:r>
      <w:r>
        <w:t xml:space="preserve"> </w:t>
      </w:r>
      <w:r>
        <w:t xml:space="preserve">Section S1.9.2</w:t>
      </w:r>
      <w:r>
        <w:t xml:space="preserve"> </w:t>
      </w:r>
      <w:r>
        <w:t xml:space="preserve">show that the algorithmically detected communities explain much of the variation in sign composition and are stable when sites are subsampled. Because the communities are fitted to the same data, these results are descriptive.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4"/>
    <w:bookmarkStart w:id="221" w:name="sec-s11-1"/>
    <w:p>
      <w:pPr>
        <w:pStyle w:val="Heading2"/>
      </w:pPr>
      <w:r>
        <w:t xml:space="preserve">S1.11.2 Community membership</w:t>
      </w:r>
    </w:p>
    <w:bookmarkStart w:id="220"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5" w:name="tbl-community-membership"/>
          <w:tbl>
            <w:tblPr>
              <w:tblStyle w:val="Table"/>
              <w:tblW w:type="pct" w:w="5000"/>
              <w:tblLook w:firstRow="1" w:lastRow="0" w:firstColumn="0" w:lastColumn="0" w:noHBand="0" w:noVBand="0" w:val="0020"/>
              <w:jc w:val="start"/>
              <w:tblLayout w:type="fixed"/>
            </w:tblPr>
            <w:tblGrid>
              <w:gridCol w:w="950"/>
              <w:gridCol w:w="2692"/>
              <w:gridCol w:w="871"/>
              <w:gridCol w:w="871"/>
              <w:gridCol w:w="871"/>
              <w:gridCol w:w="871"/>
              <w:gridCol w:w="79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Manual</w:t>
                  </w:r>
                </w:p>
              </w:tc>
              <w:tc>
                <w:tcPr/>
                <w:p>
                  <w:pPr>
                    <w:pStyle w:val="Compact"/>
                    <w:jc w:val="left"/>
                    <w:jc w:val="left"/>
                  </w:pPr>
                  <w:r>
                    <w:t xml:space="preserve">Louvain</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bl>
          <w:p>
            <w:pPr>
              <w:jc w:val="left"/>
            </w:pPr>
            <w:pPr>
              <w:jc w:val="start"/>
              <w:spacing w:before="200"/>
              <w:pStyle w:val="ImageCaption"/>
            </w:pPr>
            <w:r>
              <w:t xml:space="preserve">Table S 40: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5"/>
        </w:tc>
      </w:tr>
    </w:tbl>
    <w:tbl>
      <w:tblPr>
        <w:tblStyle w:val="Table"/>
        <w:tblW w:type="pct" w:w="5000"/>
        <w:tblLook w:firstRow="0" w:lastRow="0" w:firstColumn="0" w:lastColumn="0" w:noHBand="0" w:noVBand="0" w:val="0000"/>
        <w:jc w:val="start"/>
        <w:tblLayout w:type="fixed"/>
      </w:tblPr>
      <w:tblGrid>
        <w:gridCol w:w="7920"/>
      </w:tblGrid>
      <w:tr>
        <w:tc>
          <w:tcPr/>
          <w:bookmarkStart w:id="219" w:name="fig-comembership-heatmap"/>
          <w:p>
            <w:pPr>
              <w:pStyle w:val="Compact"/>
              <w:jc w:val="left"/>
            </w:pPr>
            <w:r>
              <w:drawing>
                <wp:inline>
                  <wp:extent cx="5943600" cy="5943600"/>
                  <wp:effectExtent b="0" l="0" r="0" t="0"/>
                  <wp:docPr descr="" title="" id="217" name="Picture"/>
                  <a:graphic>
                    <a:graphicData uri="http://schemas.openxmlformats.org/drawingml/2006/picture">
                      <pic:pic>
                        <pic:nvPicPr>
                          <pic:cNvPr descr="../figures/comembership-heatmap.png" id="218" name="Picture"/>
                          <pic:cNvPicPr>
                            <a:picLocks noChangeArrowheads="1" noChangeAspect="1"/>
                          </pic:cNvPicPr>
                        </pic:nvPicPr>
                        <pic:blipFill>
                          <a:blip r:embed="rId216"/>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9"/>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9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0"/>
    <w:bookmarkEnd w:id="221"/>
    <w:bookmarkStart w:id="224" w:name="sec-s11-2"/>
    <w:p>
      <w:pPr>
        <w:pStyle w:val="Heading2"/>
      </w:pPr>
      <w:r>
        <w:t xml:space="preserve">S1.11.3 Sign-type profiles</w:t>
      </w:r>
    </w:p>
    <w:bookmarkStart w:id="223"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2" w:name="tbl-community-composition"/>
          <w:tbl>
            <w:tblPr>
              <w:tblStyle w:val="Table"/>
              <w:tblW w:type="pct" w:w="5000"/>
              <w:tblLook w:firstRow="1" w:lastRow="0" w:firstColumn="0" w:lastColumn="0" w:noHBand="0" w:noVBand="0" w:val="0020"/>
              <w:jc w:val="start"/>
              <w:tblLayout w:type="fixed"/>
            </w:tblPr>
            <w:tblGrid>
              <w:gridCol w:w="1267"/>
              <w:gridCol w:w="950"/>
              <w:gridCol w:w="950"/>
              <w:gridCol w:w="950"/>
              <w:gridCol w:w="950"/>
              <w:gridCol w:w="950"/>
              <w:gridCol w:w="950"/>
              <w:gridCol w:w="950"/>
            </w:tblGrid>
            <w:tr>
              <w:trPr>
                <w:tblHeader w:val="true"/>
              </w:trPr>
              <w:tc>
                <w:tcPr/>
                <w:p>
                  <w:pPr>
                    <w:pStyle w:val="Compact"/>
                    <w:jc w:val="left"/>
                    <w:jc w:val="left"/>
                  </w:pPr>
                  <w:r>
                    <w:t xml:space="preserve">Sign type</w:t>
                  </w:r>
                </w:p>
              </w:tc>
              <w:tc>
                <w:tcPr/>
                <w:p>
                  <w:pPr>
                    <w:pStyle w:val="Compact"/>
                    <w:jc w:val="left"/>
                    <w:jc w:val="left"/>
                  </w:pPr>
                  <w:r>
                    <w:t xml:space="preserve">Aur-P1 C1 (9)</w:t>
                  </w:r>
                </w:p>
              </w:tc>
              <w:tc>
                <w:tcPr/>
                <w:p>
                  <w:pPr>
                    <w:pStyle w:val="Compact"/>
                    <w:jc w:val="left"/>
                    <w:jc w:val="left"/>
                  </w:pPr>
                  <w:r>
                    <w:t xml:space="preserve">Aur-P1 C2 (9)</w:t>
                  </w:r>
                </w:p>
              </w:tc>
              <w:tc>
                <w:tcPr/>
                <w:p>
                  <w:pPr>
                    <w:pStyle w:val="Compact"/>
                    <w:jc w:val="left"/>
                    <w:jc w:val="left"/>
                  </w:pPr>
                  <w:r>
                    <w:t xml:space="preserve">Aur-P1 C3 (1)</w:t>
                  </w:r>
                </w:p>
              </w:tc>
              <w:tc>
                <w:tcPr/>
                <w:p>
                  <w:pPr>
                    <w:pStyle w:val="Compact"/>
                    <w:jc w:val="left"/>
                    <w:jc w:val="left"/>
                  </w:pPr>
                  <w:r>
                    <w:t xml:space="preserve">Aur-P1 C4 (1)</w:t>
                  </w:r>
                </w:p>
              </w:tc>
              <w:tc>
                <w:tcPr/>
                <w:p>
                  <w:pPr>
                    <w:pStyle w:val="Compact"/>
                    <w:jc w:val="left"/>
                    <w:jc w:val="left"/>
                  </w:pPr>
                  <w:r>
                    <w:t xml:space="preserve">Aur-P2 C1 (3)</w:t>
                  </w:r>
                </w:p>
              </w:tc>
              <w:tc>
                <w:tcPr/>
                <w:p>
                  <w:pPr>
                    <w:pStyle w:val="Compact"/>
                    <w:jc w:val="left"/>
                    <w:jc w:val="left"/>
                  </w:pPr>
                  <w:r>
                    <w:t xml:space="preserve">Aur-P2 C2 (4)</w:t>
                  </w:r>
                </w:p>
              </w:tc>
              <w:tc>
                <w:tcPr/>
                <w:p>
                  <w:pPr>
                    <w:pStyle w:val="Compact"/>
                    <w:jc w:val="left"/>
                    <w:jc w:val="left"/>
                  </w:pPr>
                  <w:r>
                    <w:t xml:space="preserve">Aur-P2 C3 (2)</w:t>
                  </w:r>
                </w:p>
              </w:tc>
            </w:tr>
            <w:tr>
              <w:tc>
                <w:tcPr/>
                <w:p>
                  <w:pPr>
                    <w:pStyle w:val="Compact"/>
                    <w:jc w:val="left"/>
                    <w:jc w:val="left"/>
                  </w:pPr>
                  <w:r>
                    <w:t xml:space="preserve">anthropomorph</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circumline</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circumnotch</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circumspiral</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concenline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cross</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cupule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dashline</w:t>
                  </w:r>
                </w:p>
              </w:tc>
              <w:tc>
                <w:tcPr/>
                <w:p>
                  <w:pPr>
                    <w:pStyle w:val="Compact"/>
                    <w:jc w:val="left"/>
                    <w:jc w:val="left"/>
                  </w:pPr>
                  <w:r>
                    <w:t xml:space="preserve">0.11</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dot</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grid</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hashtag</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hatching</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line</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0.00</w:t>
                  </w:r>
                </w:p>
              </w:tc>
            </w:tr>
            <w:tr>
              <w:tc>
                <w:tcPr/>
                <w:p>
                  <w:pPr>
                    <w:pStyle w:val="Compact"/>
                    <w:jc w:val="left"/>
                    <w:jc w:val="left"/>
                  </w:pPr>
                  <w:r>
                    <w:t xml:space="preserve">maccaroni</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notch</w:t>
                  </w:r>
                </w:p>
              </w:tc>
              <w:tc>
                <w:tcPr/>
                <w:p>
                  <w:pPr>
                    <w:pStyle w:val="Compact"/>
                    <w:jc w:val="left"/>
                    <w:jc w:val="left"/>
                  </w:pPr>
                  <w:r>
                    <w:t xml:space="preserve">0.89</w:t>
                  </w:r>
                </w:p>
              </w:tc>
              <w:tc>
                <w:tcPr/>
                <w:p>
                  <w:pPr>
                    <w:pStyle w:val="Compact"/>
                    <w:jc w:val="left"/>
                    <w:jc w:val="left"/>
                  </w:pPr>
                  <w:r>
                    <w:t xml:space="preserve">0.89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0.50</w:t>
                  </w:r>
                </w:p>
              </w:tc>
              <w:tc>
                <w:tcPr/>
                <w:p>
                  <w:pPr>
                    <w:pStyle w:val="Compact"/>
                    <w:jc w:val="left"/>
                    <w:jc w:val="left"/>
                  </w:pPr>
                  <w:r>
                    <w:t xml:space="preserve">1.00</w:t>
                  </w:r>
                </w:p>
              </w:tc>
            </w:tr>
            <w:tr>
              <w:tc>
                <w:tcPr/>
                <w:p>
                  <w:pPr>
                    <w:pStyle w:val="Compact"/>
                    <w:jc w:val="left"/>
                    <w:jc w:val="left"/>
                  </w:pPr>
                  <w:r>
                    <w:t xml:space="preserve">obline</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0.25</w:t>
                  </w:r>
                </w:p>
              </w:tc>
              <w:tc>
                <w:tcPr/>
                <w:p>
                  <w:pPr>
                    <w:pStyle w:val="Compact"/>
                    <w:jc w:val="left"/>
                    <w:jc w:val="left"/>
                  </w:pPr>
                  <w:r>
                    <w:t xml:space="preserve">0.00</w:t>
                  </w:r>
                </w:p>
              </w:tc>
            </w:tr>
            <w:tr>
              <w:tc>
                <w:tcPr/>
                <w:p>
                  <w:pPr>
                    <w:pStyle w:val="Compact"/>
                    <w:jc w:val="left"/>
                    <w:jc w:val="left"/>
                  </w:pPr>
                  <w:r>
                    <w:t xml:space="preserve">obnotch</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paw</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pinleft</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pinright</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radline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radnotch</w:t>
                  </w:r>
                </w:p>
              </w:tc>
              <w:tc>
                <w:tcPr/>
                <w:p>
                  <w:pPr>
                    <w:pStyle w:val="Compact"/>
                    <w:jc w:val="left"/>
                    <w:jc w:val="left"/>
                  </w:pPr>
                  <w:r>
                    <w:t xml:space="preserve">0.11</w:t>
                  </w:r>
                </w:p>
              </w:tc>
              <w:tc>
                <w:tcPr/>
                <w:p>
                  <w:pPr>
                    <w:pStyle w:val="Compact"/>
                    <w:jc w:val="left"/>
                    <w:jc w:val="left"/>
                  </w:pPr>
                  <w:r>
                    <w:t xml:space="preserve">0.22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rhombus</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star</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v</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vulva</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zigzag</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zigzagrow</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zoomorph</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41: Sign-type composition of Louvain communities at threshold 0.2. Each column is one community, labelled by phase, community ID and, in brackets, the number of sites. Each value is the proportion of sites in the community that have at least one object with the sign type. A value of 0 means that no site in the community has the sign type. Only sign types present at ≥10% of the sites of at least one community are shown.</w:t>
            </w:r>
          </w:p>
          <w:bookmarkEnd w:id="222"/>
        </w:tc>
      </w:tr>
    </w:tbl>
    <w:bookmarkEnd w:id="223"/>
    <w:bookmarkEnd w:id="224"/>
    <w:bookmarkStart w:id="230" w:name="sec-s11-3"/>
    <w:p>
      <w:pPr>
        <w:pStyle w:val="Heading2"/>
      </w:pPr>
      <w:r>
        <w:t xml:space="preserve">S1.11.4 Geographic distribution</w:t>
      </w:r>
    </w:p>
    <w:bookmarkStart w:id="229"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8" w:name="fig-community-maps"/>
          <w:p>
            <w:pPr>
              <w:pStyle w:val="Compact"/>
              <w:jc w:val="left"/>
            </w:pPr>
            <w:r>
              <w:drawing>
                <wp:inline>
                  <wp:extent cx="5943600" cy="4622800"/>
                  <wp:effectExtent b="0" l="0" r="0" t="0"/>
                  <wp:docPr descr="" title="" id="226" name="Picture"/>
                  <a:graphic>
                    <a:graphicData uri="http://schemas.openxmlformats.org/drawingml/2006/picture">
                      <pic:pic>
                        <pic:nvPicPr>
                          <pic:cNvPr descr="../figures/community-maps.png" id="227" name="Picture"/>
                          <pic:cNvPicPr>
                            <a:picLocks noChangeArrowheads="1" noChangeAspect="1"/>
                          </pic:cNvPicPr>
                        </pic:nvPicPr>
                        <pic:blipFill>
                          <a:blip r:embed="rId225"/>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13: Geographic distribution of Louvain communities at Jaccard threshold 0.2, for Aur-P1 (a, 4 communities) and Aur-P2 (b, 3 communities). Community colours are arbitrary but consistent within each phase. Point size indicates assemblage size (number of objects). Map data from naturalearthdata.com.</w:t>
            </w:r>
          </w:p>
          <w:bookmarkEnd w:id="228"/>
        </w:tc>
      </w:tr>
    </w:tbl>
    <w:bookmarkEnd w:id="229"/>
    <w:bookmarkEnd w:id="230"/>
    <w:bookmarkStart w:id="233" w:name="sec-s11-4"/>
    <w:p>
      <w:pPr>
        <w:pStyle w:val="Heading2"/>
      </w:pPr>
      <w:r>
        <w:t xml:space="preserve">S1.11.5 Cross-algorithm comparison</w:t>
      </w:r>
    </w:p>
    <w:bookmarkStart w:id="232"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1" w:name="tbl-cross-algorithm-agreement"/>
          <w:tbl>
            <w:tblPr>
              <w:tblStyle w:val="Table"/>
              <w:tblW w:type="pct" w:w="5000"/>
              <w:tblLook w:firstRow="1" w:lastRow="0" w:firstColumn="0" w:lastColumn="0" w:noHBand="0" w:noVBand="0" w:val="0020"/>
              <w:jc w:val="start"/>
              <w:tblLayout w:type="fixed"/>
            </w:tblPr>
            <w:tblGrid>
              <w:gridCol w:w="871"/>
              <w:gridCol w:w="2851"/>
              <w:gridCol w:w="950"/>
              <w:gridCol w:w="871"/>
              <w:gridCol w:w="792"/>
              <w:gridCol w:w="871"/>
              <w:gridCol w:w="71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Louvain Comm.</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c>
                <w:tcPr/>
                <w:p>
                  <w:pPr>
                    <w:pStyle w:val="Compact"/>
                    <w:jc w:val="left"/>
                    <w:jc w:val="left"/>
                  </w:pPr>
                  <w:r>
                    <w:t xml:space="preserve">Any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4</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0.12</w:t>
                  </w:r>
                </w:p>
              </w:tc>
              <w:tc>
                <w:tcPr/>
                <w:p>
                  <w:pPr>
                    <w:pStyle w:val="Compact"/>
                    <w:jc w:val="left"/>
                    <w:jc w:val="left"/>
                  </w:pPr>
                  <w:r>
                    <w:t xml:space="preserve">0.12</w:t>
                  </w:r>
                </w:p>
              </w:tc>
              <w:tc>
                <w:tcPr/>
                <w:p>
                  <w:pPr>
                    <w:pStyle w:val="Compact"/>
                    <w:jc w:val="left"/>
                    <w:jc w:val="left"/>
                  </w:pPr>
                  <w:r>
                    <w:t xml:space="preserve">1</w:t>
                  </w:r>
                </w:p>
              </w:tc>
              <w:tc>
                <w:tcPr/>
                <w:p>
                  <w:pPr>
                    <w:pStyle w:val="Compact"/>
                    <w:jc w:val="left"/>
                    <w:jc w:val="left"/>
                  </w:pPr>
                  <w:r>
                    <w:t xml:space="preserve">0.42</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0.12</w:t>
                  </w:r>
                </w:p>
              </w:tc>
              <w:tc>
                <w:tcPr/>
                <w:p>
                  <w:pPr>
                    <w:pStyle w:val="Compact"/>
                    <w:jc w:val="left"/>
                    <w:jc w:val="left"/>
                  </w:pPr>
                  <w:r>
                    <w:t xml:space="preserve">0.12</w:t>
                  </w:r>
                </w:p>
              </w:tc>
              <w:tc>
                <w:tcPr/>
                <w:p>
                  <w:pPr>
                    <w:pStyle w:val="Compact"/>
                    <w:jc w:val="left"/>
                    <w:jc w:val="left"/>
                  </w:pPr>
                  <w:r>
                    <w:t xml:space="preserve">1</w:t>
                  </w:r>
                </w:p>
              </w:tc>
              <w:tc>
                <w:tcPr/>
                <w:p>
                  <w:pPr>
                    <w:pStyle w:val="Compact"/>
                    <w:jc w:val="left"/>
                    <w:jc w:val="left"/>
                  </w:pPr>
                  <w:r>
                    <w:t xml:space="preserve">0.42</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bl>
          <w:p>
            <w:pPr>
              <w:jc w:val="left"/>
            </w:pPr>
            <w:pPr>
              <w:jc w:val="start"/>
              <w:spacing w:before="200"/>
              <w:pStyle w:val="ImageCaption"/>
            </w:pPr>
            <w:r>
              <w:t xml:space="preserve">Table S 42: Cross-algorithm agreement in community assignment at threshold 0.2. For each site, the value is the proportion of the other sites in the same phase whose relation to it (same community or different community) is the same under the named algorithm as under Louvain. Any is the mean of the three values. The measure does not use community IDs. A value of 1.00 means that the algorithm groups the site exactly as Louvain does.</w:t>
            </w:r>
          </w:p>
          <w:bookmarkEnd w:id="231"/>
        </w:tc>
      </w:tr>
    </w:tbl>
    <w:bookmarkEnd w:id="232"/>
    <w:bookmarkEnd w:id="233"/>
    <w:bookmarkStart w:id="234"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40</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40</w:t>
        </w:r>
      </w:hyperlink>
      <w:r>
        <w:t xml:space="preserve">). With only 9 sites total, the communities are small (2–4 sites each). Because these communities are fitted to the same similarity matrix that the PerMANOVA tests, their low PerMANOVA p-values (</w:t>
      </w:r>
      <w:r>
        <w:t xml:space="preserve">Section S1.6.6</w:t>
      </w:r>
      <w:r>
        <w:t xml:space="preserve">) are not valid tests of a group difference; they probably reflect strong pairwise similarities among a few sites, not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41</w:t>
        </w:r>
      </w:hyperlink>
      <w:r>
        <w:t xml:space="preserve"> </w:t>
      </w:r>
      <w:r>
        <w:t xml:space="preserve">shows nested sign-type profiles. In Aur-P1, every sign type of the restricted community (community 1) also occurs in the broad community (community 2). The broad community also has 21 sign types that no restricted site has. Examples are cross (0.67 of its sites), dot (0.67) and obline (0.67). Notch, the most common sign type, has the same frequency in both communities (0.89). In Aur-P2, 12 sign types occur only in community 1, which holds the 3 broad-range sites. The communities therefore differ mainly in which of the less common sign types they contain, and several of these types occur in only one multi-site community. This nested pattern is consistent with graded repertoires rather than discrete provinces.</w:t>
      </w:r>
    </w:p>
    <w:p>
      <w:pPr>
        <w:pStyle w:val="BodyText"/>
      </w:pPr>
      <w:r>
        <w:rPr>
          <w:bCs/>
          <w:b/>
        </w:rPr>
        <w:t xml:space="preserve">Question: do communities map onto coherent geographic regions?</w:t>
      </w:r>
      <w:r>
        <w:t xml:space="preserve"> </w:t>
      </w:r>
      <w:r>
        <w:t xml:space="preserve">Partly. In Aur-P1 (</w:t>
      </w:r>
      <w:hyperlink w:anchor="fig-community-maps">
        <w:r>
          <w:rPr>
            <w:rStyle w:val="Hyperlink"/>
          </w:rPr>
          <w:t xml:space="preserve">Figure S 13</w:t>
        </w:r>
      </w:hyperlink>
      <w:r>
        <w:t xml:space="preserve">), community 1, which holds the restricted sites, covers the widest area: its two most distant sites are 1630 km apart. The two most distant sites of community 2, which holds 9 of the 11 broad sites, are 811 km apart. Communities 3 and 4 are single sites, Les Cottés and Trou al’Wesse.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42</w:t>
        </w:r>
      </w:hyperlink>
      <w:r>
        <w:t xml:space="preserve"> </w:t>
      </w:r>
      <w:r>
        <w:t xml:space="preserve">compares, for each site, which other sites share its community under each algorithm and under Louvain. Walktrap groups every site exactly as Louvain does (lowest agreement 1.00). Infomap does the same in Aur-P1 (lowest agreement 1.00). Leiden merges the restricted and broad Aur-P1 communities, so its agreement with Louvain falls to 0.53 at 18 of the 20 Aur-P1 sites. In Aur-P2, Infomap and Leiden put all 9 sites in one community, so their agreement with Louvain is only 0.12 to 0.38.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show that the restricted/broad division simplifies the data: the algorithms also find small communities, mostly single sites with rare sign types such as Les Cottés and Trou al’Wesse. The communities differ mainly in which of the less common sign types they contain, and several of these types occur in only one multi-site community (</w:t>
      </w:r>
      <w:r>
        <w:t xml:space="preserve">Section S1.11.3</w:t>
      </w:r>
      <w:r>
        <w:t xml:space="preserve">). This nested pattern is consistent with graded repertoires rather than discrete provinces. The communities map only partly onto geography (</w:t>
      </w:r>
      <w:r>
        <w:t xml:space="preserve">Section S1.11.4</w:t>
      </w:r>
      <w:r>
        <w:t xml:space="preserve">).</w:t>
      </w:r>
    </w:p>
    <w:bookmarkEnd w:id="234"/>
    <w:bookmarkEnd w:id="235"/>
    <w:bookmarkStart w:id="286" w:name="sec-s12"/>
    <w:p>
      <w:pPr>
        <w:pStyle w:val="Heading1"/>
      </w:pPr>
      <w:r>
        <w:t xml:space="preserve">S1.12 Object Types and Sampling Intensity</w:t>
      </w:r>
    </w:p>
    <w:bookmarkStart w:id="236"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6"/>
    <w:bookmarkStart w:id="245" w:name="sec-s12-1"/>
    <w:p>
      <w:pPr>
        <w:pStyle w:val="Heading2"/>
      </w:pPr>
      <w:r>
        <w:t xml:space="preserve">S1.12.2 Object-count distribution and feasible common counts</w:t>
      </w:r>
    </w:p>
    <w:bookmarkStart w:id="243"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7" w:name="tbl-objcount"/>
          <w:tbl>
            <w:tblPr>
              <w:tblStyle w:val="Table"/>
              <w:tblW w:type="pct" w:w="5000"/>
              <w:tblLook w:firstRow="1" w:lastRow="0" w:firstColumn="0" w:lastColumn="0" w:noHBand="0" w:noVBand="0" w:val="0020"/>
              <w:jc w:val="start"/>
              <w:tblLayout w:type="fixed"/>
            </w:tblPr>
            <w:tblGrid>
              <w:gridCol w:w="1267"/>
              <w:gridCol w:w="3960"/>
              <w:gridCol w:w="1425"/>
              <w:gridCol w:w="1267"/>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r>
          </w:tbl>
          <w:p>
            <w:pPr>
              <w:jc w:val="left"/>
            </w:pPr>
            <w:pPr>
              <w:jc w:val="start"/>
              <w:spacing w:before="200"/>
              <w:pStyle w:val="ImageCaption"/>
            </w:pPr>
            <w:r>
              <w:t xml:space="preserve">Table S 43: Per-site object counts by phase and manual restricted(1)/broad(2) group.</w:t>
            </w:r>
          </w:p>
          <w:bookmarkEnd w:id="23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8" w:name="tbl-divsite"/>
          <w:tbl>
            <w:tblPr>
              <w:tblStyle w:val="Table"/>
              <w:tblW w:type="pct" w:w="5000"/>
              <w:tblLook w:firstRow="1" w:lastRow="0" w:firstColumn="0" w:lastColumn="0" w:noHBand="0" w:noVBand="0" w:val="0020"/>
              <w:jc w:val="start"/>
              <w:tblLayout w:type="fixed"/>
            </w:tblPr>
            <w:tblGrid>
              <w:gridCol w:w="792"/>
              <w:gridCol w:w="2376"/>
              <w:gridCol w:w="1108"/>
              <w:gridCol w:w="871"/>
              <w:gridCol w:w="871"/>
              <w:gridCol w:w="871"/>
              <w:gridCol w:w="1029"/>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Sample size</w:t>
                  </w:r>
                </w:p>
              </w:tc>
              <w:tc>
                <w:tcPr/>
                <w:p>
                  <w:pPr>
                    <w:pStyle w:val="Compact"/>
                    <w:jc w:val="left"/>
                    <w:jc w:val="left"/>
                  </w:pPr>
                  <w:r>
                    <w:t xml:space="preserve">H obs</w:t>
                  </w:r>
                </w:p>
              </w:tc>
              <w:tc>
                <w:tcPr/>
                <w:p>
                  <w:pPr>
                    <w:pStyle w:val="Compact"/>
                    <w:jc w:val="left"/>
                    <w:jc w:val="left"/>
                  </w:pPr>
                  <w:r>
                    <w:t xml:space="preserve">H exp</w:t>
                  </w:r>
                </w:p>
              </w:tc>
              <w:tc>
                <w:tcPr/>
                <w:p>
                  <w:pPr>
                    <w:pStyle w:val="Compact"/>
                    <w:jc w:val="left"/>
                    <w:jc w:val="left"/>
                  </w:pPr>
                  <w:r>
                    <w:t xml:space="preserve">H excess</w:t>
                  </w:r>
                </w:p>
              </w:tc>
              <w:tc>
                <w:tcPr/>
                <w:p>
                  <w:pPr>
                    <w:pStyle w:val="Compact"/>
                    <w:jc w:val="left"/>
                    <w:jc w:val="left"/>
                  </w:pPr>
                  <w:r>
                    <w:t xml:space="preserve">Named in main-text figure</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0.000</w:t>
                  </w:r>
                </w:p>
              </w:tc>
              <w:tc>
                <w:tcPr/>
                <w:p>
                  <w:pPr>
                    <w:pStyle w:val="Compact"/>
                    <w:jc w:val="left"/>
                    <w:jc w:val="left"/>
                  </w:pPr>
                  <w:r>
                    <w:t xml:space="preserve">0.559</w:t>
                  </w:r>
                </w:p>
              </w:tc>
              <w:tc>
                <w:tcPr/>
                <w:p>
                  <w:pPr>
                    <w:pStyle w:val="Compact"/>
                    <w:jc w:val="left"/>
                    <w:jc w:val="left"/>
                  </w:pPr>
                  <w:r>
                    <w:t xml:space="preserve">-0.559</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0.637</w:t>
                  </w:r>
                </w:p>
              </w:tc>
              <w:tc>
                <w:tcPr/>
                <w:p>
                  <w:pPr>
                    <w:pStyle w:val="Compact"/>
                    <w:jc w:val="left"/>
                    <w:jc w:val="left"/>
                  </w:pPr>
                  <w:r>
                    <w:t xml:space="preserve">0.840</w:t>
                  </w:r>
                </w:p>
              </w:tc>
              <w:tc>
                <w:tcPr/>
                <w:p>
                  <w:pPr>
                    <w:pStyle w:val="Compact"/>
                    <w:jc w:val="left"/>
                    <w:jc w:val="left"/>
                  </w:pPr>
                  <w:r>
                    <w:t xml:space="preserve">-0.203</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0.562</w:t>
                  </w:r>
                </w:p>
              </w:tc>
              <w:tc>
                <w:tcPr/>
                <w:p>
                  <w:pPr>
                    <w:pStyle w:val="Compact"/>
                    <w:jc w:val="left"/>
                    <w:jc w:val="left"/>
                  </w:pPr>
                  <w:r>
                    <w:t xml:space="preserve">1.051</w:t>
                  </w:r>
                </w:p>
              </w:tc>
              <w:tc>
                <w:tcPr/>
                <w:p>
                  <w:pPr>
                    <w:pStyle w:val="Compact"/>
                    <w:jc w:val="left"/>
                    <w:jc w:val="left"/>
                  </w:pPr>
                  <w:r>
                    <w:t xml:space="preserve">-0.488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7</w:t>
                  </w:r>
                </w:p>
              </w:tc>
              <w:tc>
                <w:tcPr/>
                <w:p>
                  <w:pPr>
                    <w:pStyle w:val="Compact"/>
                    <w:jc w:val="left"/>
                    <w:jc w:val="left"/>
                  </w:pPr>
                  <w:r>
                    <w:t xml:space="preserve">1.004</w:t>
                  </w:r>
                </w:p>
              </w:tc>
              <w:tc>
                <w:tcPr/>
                <w:p>
                  <w:pPr>
                    <w:pStyle w:val="Compact"/>
                    <w:jc w:val="left"/>
                    <w:jc w:val="left"/>
                  </w:pPr>
                  <w:r>
                    <w:t xml:space="preserve">1.350</w:t>
                  </w:r>
                </w:p>
              </w:tc>
              <w:tc>
                <w:tcPr/>
                <w:p>
                  <w:pPr>
                    <w:pStyle w:val="Compact"/>
                    <w:jc w:val="left"/>
                    <w:jc w:val="left"/>
                  </w:pPr>
                  <w:r>
                    <w:t xml:space="preserve">-0.345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1.154</w:t>
                  </w:r>
                </w:p>
              </w:tc>
              <w:tc>
                <w:tcPr/>
                <w:p>
                  <w:pPr>
                    <w:pStyle w:val="Compact"/>
                    <w:jc w:val="left"/>
                    <w:jc w:val="left"/>
                  </w:pPr>
                  <w:r>
                    <w:t xml:space="preserve">1.350</w:t>
                  </w:r>
                </w:p>
              </w:tc>
              <w:tc>
                <w:tcPr/>
                <w:p>
                  <w:pPr>
                    <w:pStyle w:val="Compact"/>
                    <w:jc w:val="left"/>
                    <w:jc w:val="left"/>
                  </w:pPr>
                  <w:r>
                    <w:t xml:space="preserve">-0.196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7</w:t>
                  </w:r>
                </w:p>
              </w:tc>
              <w:tc>
                <w:tcPr/>
                <w:p>
                  <w:pPr>
                    <w:pStyle w:val="Compact"/>
                    <w:jc w:val="left"/>
                    <w:jc w:val="left"/>
                  </w:pPr>
                  <w:r>
                    <w:t xml:space="preserve">1.748</w:t>
                  </w:r>
                </w:p>
              </w:tc>
              <w:tc>
                <w:tcPr/>
                <w:p>
                  <w:pPr>
                    <w:pStyle w:val="Compact"/>
                    <w:jc w:val="left"/>
                    <w:jc w:val="left"/>
                  </w:pPr>
                  <w:r>
                    <w:t xml:space="preserve">1.350</w:t>
                  </w:r>
                </w:p>
              </w:tc>
              <w:tc>
                <w:tcPr/>
                <w:p>
                  <w:pPr>
                    <w:pStyle w:val="Compact"/>
                    <w:jc w:val="left"/>
                    <w:jc w:val="left"/>
                  </w:pPr>
                  <w:r>
                    <w:t xml:space="preserve">0.398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28</w:t>
                  </w:r>
                </w:p>
              </w:tc>
              <w:tc>
                <w:tcPr/>
                <w:p>
                  <w:pPr>
                    <w:pStyle w:val="Compact"/>
                    <w:jc w:val="left"/>
                    <w:jc w:val="left"/>
                  </w:pPr>
                  <w:r>
                    <w:t xml:space="preserve">1.336</w:t>
                  </w:r>
                </w:p>
              </w:tc>
              <w:tc>
                <w:tcPr/>
                <w:p>
                  <w:pPr>
                    <w:pStyle w:val="Compact"/>
                    <w:jc w:val="left"/>
                    <w:jc w:val="left"/>
                  </w:pPr>
                  <w:r>
                    <w:t xml:space="preserve">1.876</w:t>
                  </w:r>
                </w:p>
              </w:tc>
              <w:tc>
                <w:tcPr/>
                <w:p>
                  <w:pPr>
                    <w:pStyle w:val="Compact"/>
                    <w:jc w:val="left"/>
                    <w:jc w:val="left"/>
                  </w:pPr>
                  <w:r>
                    <w:t xml:space="preserve">-0.540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30</w:t>
                  </w:r>
                </w:p>
              </w:tc>
              <w:tc>
                <w:tcPr/>
                <w:p>
                  <w:pPr>
                    <w:pStyle w:val="Compact"/>
                    <w:jc w:val="left"/>
                    <w:jc w:val="left"/>
                  </w:pPr>
                  <w:r>
                    <w:t xml:space="preserve">1.948</w:t>
                  </w:r>
                </w:p>
              </w:tc>
              <w:tc>
                <w:tcPr/>
                <w:p>
                  <w:pPr>
                    <w:pStyle w:val="Compact"/>
                    <w:jc w:val="left"/>
                    <w:jc w:val="left"/>
                  </w:pPr>
                  <w:r>
                    <w:t xml:space="preserve">1.896</w:t>
                  </w:r>
                </w:p>
              </w:tc>
              <w:tc>
                <w:tcPr/>
                <w:p>
                  <w:pPr>
                    <w:pStyle w:val="Compact"/>
                    <w:jc w:val="left"/>
                    <w:jc w:val="left"/>
                  </w:pPr>
                  <w:r>
                    <w:t xml:space="preserve">0.052</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30</w:t>
                  </w:r>
                </w:p>
              </w:tc>
              <w:tc>
                <w:tcPr/>
                <w:p>
                  <w:pPr>
                    <w:pStyle w:val="Compact"/>
                    <w:jc w:val="left"/>
                    <w:jc w:val="left"/>
                  </w:pPr>
                  <w:r>
                    <w:t xml:space="preserve">1.868</w:t>
                  </w:r>
                </w:p>
              </w:tc>
              <w:tc>
                <w:tcPr/>
                <w:p>
                  <w:pPr>
                    <w:pStyle w:val="Compact"/>
                    <w:jc w:val="left"/>
                    <w:jc w:val="left"/>
                  </w:pPr>
                  <w:r>
                    <w:t xml:space="preserve">1.896</w:t>
                  </w:r>
                </w:p>
              </w:tc>
              <w:tc>
                <w:tcPr/>
                <w:p>
                  <w:pPr>
                    <w:pStyle w:val="Compact"/>
                    <w:jc w:val="left"/>
                    <w:jc w:val="left"/>
                  </w:pPr>
                  <w:r>
                    <w:t xml:space="preserve">-0.028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41</w:t>
                  </w:r>
                </w:p>
              </w:tc>
              <w:tc>
                <w:tcPr/>
                <w:p>
                  <w:pPr>
                    <w:pStyle w:val="Compact"/>
                    <w:jc w:val="left"/>
                    <w:jc w:val="left"/>
                  </w:pPr>
                  <w:r>
                    <w:t xml:space="preserve">2.153</w:t>
                  </w:r>
                </w:p>
              </w:tc>
              <w:tc>
                <w:tcPr/>
                <w:p>
                  <w:pPr>
                    <w:pStyle w:val="Compact"/>
                    <w:jc w:val="left"/>
                    <w:jc w:val="left"/>
                  </w:pPr>
                  <w:r>
                    <w:t xml:space="preserve">1.973</w:t>
                  </w:r>
                </w:p>
              </w:tc>
              <w:tc>
                <w:tcPr/>
                <w:p>
                  <w:pPr>
                    <w:pStyle w:val="Compact"/>
                    <w:jc w:val="left"/>
                    <w:jc w:val="left"/>
                  </w:pPr>
                  <w:r>
                    <w:t xml:space="preserve">0.181</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43</w:t>
                  </w:r>
                </w:p>
              </w:tc>
              <w:tc>
                <w:tcPr/>
                <w:p>
                  <w:pPr>
                    <w:pStyle w:val="Compact"/>
                    <w:jc w:val="left"/>
                    <w:jc w:val="left"/>
                  </w:pPr>
                  <w:r>
                    <w:t xml:space="preserve">1.578</w:t>
                  </w:r>
                </w:p>
              </w:tc>
              <w:tc>
                <w:tcPr/>
                <w:p>
                  <w:pPr>
                    <w:pStyle w:val="Compact"/>
                    <w:jc w:val="left"/>
                    <w:jc w:val="left"/>
                  </w:pPr>
                  <w:r>
                    <w:t xml:space="preserve">1.973</w:t>
                  </w:r>
                </w:p>
              </w:tc>
              <w:tc>
                <w:tcPr/>
                <w:p>
                  <w:pPr>
                    <w:pStyle w:val="Compact"/>
                    <w:jc w:val="left"/>
                    <w:jc w:val="left"/>
                  </w:pPr>
                  <w:r>
                    <w:t xml:space="preserve">-0.395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43</w:t>
                  </w:r>
                </w:p>
              </w:tc>
              <w:tc>
                <w:tcPr/>
                <w:p>
                  <w:pPr>
                    <w:pStyle w:val="Compact"/>
                    <w:jc w:val="left"/>
                    <w:jc w:val="left"/>
                  </w:pPr>
                  <w:r>
                    <w:t xml:space="preserve">1.677</w:t>
                  </w:r>
                </w:p>
              </w:tc>
              <w:tc>
                <w:tcPr/>
                <w:p>
                  <w:pPr>
                    <w:pStyle w:val="Compact"/>
                    <w:jc w:val="left"/>
                    <w:jc w:val="left"/>
                  </w:pPr>
                  <w:r>
                    <w:t xml:space="preserve">1.973</w:t>
                  </w:r>
                </w:p>
              </w:tc>
              <w:tc>
                <w:tcPr/>
                <w:p>
                  <w:pPr>
                    <w:pStyle w:val="Compact"/>
                    <w:jc w:val="left"/>
                    <w:jc w:val="left"/>
                  </w:pPr>
                  <w:r>
                    <w:t xml:space="preserve">-0.296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235</w:t>
                  </w:r>
                </w:p>
              </w:tc>
              <w:tc>
                <w:tcPr/>
                <w:p>
                  <w:pPr>
                    <w:pStyle w:val="Compact"/>
                    <w:jc w:val="left"/>
                    <w:jc w:val="left"/>
                  </w:pPr>
                  <w:r>
                    <w:t xml:space="preserve">1.940</w:t>
                  </w:r>
                </w:p>
              </w:tc>
              <w:tc>
                <w:tcPr/>
                <w:p>
                  <w:pPr>
                    <w:pStyle w:val="Compact"/>
                    <w:jc w:val="left"/>
                    <w:jc w:val="left"/>
                  </w:pPr>
                  <w:r>
                    <w:t xml:space="preserve">2.183</w:t>
                  </w:r>
                </w:p>
              </w:tc>
              <w:tc>
                <w:tcPr/>
                <w:p>
                  <w:pPr>
                    <w:pStyle w:val="Compact"/>
                    <w:jc w:val="left"/>
                    <w:jc w:val="left"/>
                  </w:pPr>
                  <w:r>
                    <w:t xml:space="preserve">-0.242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0.547</w:t>
                  </w:r>
                </w:p>
              </w:tc>
              <w:tc>
                <w:tcPr/>
                <w:p>
                  <w:pPr>
                    <w:pStyle w:val="Compact"/>
                    <w:jc w:val="left"/>
                    <w:jc w:val="left"/>
                  </w:pPr>
                  <w:r>
                    <w:t xml:space="preserve">0.146</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5</w:t>
                  </w:r>
                </w:p>
              </w:tc>
              <w:tc>
                <w:tcPr/>
                <w:p>
                  <w:pPr>
                    <w:pStyle w:val="Compact"/>
                    <w:jc w:val="left"/>
                    <w:jc w:val="left"/>
                  </w:pPr>
                  <w:r>
                    <w:t xml:space="preserve">1.609</w:t>
                  </w:r>
                </w:p>
              </w:tc>
              <w:tc>
                <w:tcPr/>
                <w:p>
                  <w:pPr>
                    <w:pStyle w:val="Compact"/>
                    <w:jc w:val="left"/>
                    <w:jc w:val="left"/>
                  </w:pPr>
                  <w:r>
                    <w:t xml:space="preserve">1.118</w:t>
                  </w:r>
                </w:p>
              </w:tc>
              <w:tc>
                <w:tcPr/>
                <w:p>
                  <w:pPr>
                    <w:pStyle w:val="Compact"/>
                    <w:jc w:val="left"/>
                    <w:jc w:val="left"/>
                  </w:pPr>
                  <w:r>
                    <w:t xml:space="preserve">0.492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6</w:t>
                  </w:r>
                </w:p>
              </w:tc>
              <w:tc>
                <w:tcPr/>
                <w:p>
                  <w:pPr>
                    <w:pStyle w:val="Compact"/>
                    <w:jc w:val="left"/>
                    <w:jc w:val="left"/>
                  </w:pPr>
                  <w:r>
                    <w:t xml:space="preserve">0.637</w:t>
                  </w:r>
                </w:p>
              </w:tc>
              <w:tc>
                <w:tcPr/>
                <w:p>
                  <w:pPr>
                    <w:pStyle w:val="Compact"/>
                    <w:jc w:val="left"/>
                    <w:jc w:val="left"/>
                  </w:pPr>
                  <w:r>
                    <w:t xml:space="preserve">1.222</w:t>
                  </w:r>
                </w:p>
              </w:tc>
              <w:tc>
                <w:tcPr/>
                <w:p>
                  <w:pPr>
                    <w:pStyle w:val="Compact"/>
                    <w:jc w:val="left"/>
                    <w:jc w:val="left"/>
                  </w:pPr>
                  <w:r>
                    <w:t xml:space="preserve">-0.586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13</w:t>
                  </w:r>
                </w:p>
              </w:tc>
              <w:tc>
                <w:tcPr/>
                <w:p>
                  <w:pPr>
                    <w:pStyle w:val="Compact"/>
                    <w:jc w:val="left"/>
                    <w:jc w:val="left"/>
                  </w:pPr>
                  <w:r>
                    <w:t xml:space="preserve">0.617</w:t>
                  </w:r>
                </w:p>
              </w:tc>
              <w:tc>
                <w:tcPr/>
                <w:p>
                  <w:pPr>
                    <w:pStyle w:val="Compact"/>
                    <w:jc w:val="left"/>
                    <w:jc w:val="left"/>
                  </w:pPr>
                  <w:r>
                    <w:t xml:space="preserve">1.517</w:t>
                  </w:r>
                </w:p>
              </w:tc>
              <w:tc>
                <w:tcPr/>
                <w:p>
                  <w:pPr>
                    <w:pStyle w:val="Compact"/>
                    <w:jc w:val="left"/>
                    <w:jc w:val="left"/>
                  </w:pPr>
                  <w:r>
                    <w:t xml:space="preserve">-0.899</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21</w:t>
                  </w:r>
                </w:p>
              </w:tc>
              <w:tc>
                <w:tcPr/>
                <w:p>
                  <w:pPr>
                    <w:pStyle w:val="Compact"/>
                    <w:jc w:val="left"/>
                    <w:jc w:val="left"/>
                  </w:pPr>
                  <w:r>
                    <w:t xml:space="preserve">1.737</w:t>
                  </w:r>
                </w:p>
              </w:tc>
              <w:tc>
                <w:tcPr/>
                <w:p>
                  <w:pPr>
                    <w:pStyle w:val="Compact"/>
                    <w:jc w:val="left"/>
                    <w:jc w:val="left"/>
                  </w:pPr>
                  <w:r>
                    <w:t xml:space="preserve">1.641</w:t>
                  </w:r>
                </w:p>
              </w:tc>
              <w:tc>
                <w:tcPr/>
                <w:p>
                  <w:pPr>
                    <w:pStyle w:val="Compact"/>
                    <w:jc w:val="left"/>
                    <w:jc w:val="left"/>
                  </w:pPr>
                  <w:r>
                    <w:t xml:space="preserve">0.096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43</w:t>
                  </w:r>
                </w:p>
              </w:tc>
              <w:tc>
                <w:tcPr/>
                <w:p>
                  <w:pPr>
                    <w:pStyle w:val="Compact"/>
                    <w:jc w:val="left"/>
                    <w:jc w:val="left"/>
                  </w:pPr>
                  <w:r>
                    <w:t xml:space="preserve">1.945</w:t>
                  </w:r>
                </w:p>
              </w:tc>
              <w:tc>
                <w:tcPr/>
                <w:p>
                  <w:pPr>
                    <w:pStyle w:val="Compact"/>
                    <w:jc w:val="left"/>
                    <w:jc w:val="left"/>
                  </w:pPr>
                  <w:r>
                    <w:t xml:space="preserve">1.781</w:t>
                  </w:r>
                </w:p>
              </w:tc>
              <w:tc>
                <w:tcPr/>
                <w:p>
                  <w:pPr>
                    <w:pStyle w:val="Compact"/>
                    <w:jc w:val="left"/>
                    <w:jc w:val="left"/>
                  </w:pPr>
                  <w:r>
                    <w:t xml:space="preserve">0.165</w:t>
                  </w:r>
                </w:p>
              </w:tc>
              <w:tc>
                <w:tcPr/>
                <w:p>
                  <w:pPr>
                    <w:pStyle w:val="Compact"/>
                    <w:jc w:val="left"/>
                    <w:jc w:val="left"/>
                  </w:pPr>
                  <w:r>
                    <w:t xml:space="preserve">yes</w:t>
                  </w:r>
                </w:p>
              </w:tc>
            </w:tr>
          </w:tbl>
          <w:p>
            <w:pPr>
              <w:jc w:val="left"/>
            </w:pPr>
            <w:pPr>
              <w:jc w:val="start"/>
              <w:spacing w:before="200"/>
              <w:pStyle w:val="ImageCaption"/>
            </w:pPr>
            <w:r>
              <w:t xml:space="preserve">Table S 44: Per-site values behind the main-text figure of observed and simulated sign diversity,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43</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8"/>
        </w:tc>
      </w:tr>
    </w:tbl>
    <w:tbl>
      <w:tblPr>
        <w:tblStyle w:val="Table"/>
        <w:tblW w:type="pct" w:w="5000"/>
        <w:tblLook w:firstRow="0" w:lastRow="0" w:firstColumn="0" w:lastColumn="0" w:noHBand="0" w:noVBand="0" w:val="0000"/>
        <w:jc w:val="start"/>
        <w:tblLayout w:type="fixed"/>
      </w:tblPr>
      <w:tblGrid>
        <w:gridCol w:w="7920"/>
      </w:tblGrid>
      <w:tr>
        <w:tc>
          <w:tcPr/>
          <w:bookmarkStart w:id="242" w:name="fig-objhist"/>
          <w:p>
            <w:pPr>
              <w:pStyle w:val="Compact"/>
              <w:jc w:val="left"/>
            </w:pPr>
            <w:r>
              <w:drawing>
                <wp:inline>
                  <wp:extent cx="5943600" cy="2971800"/>
                  <wp:effectExtent b="0" l="0" r="0" t="0"/>
                  <wp:docPr descr="" title="" id="240" name="Picture"/>
                  <a:graphic>
                    <a:graphicData uri="http://schemas.openxmlformats.org/drawingml/2006/picture">
                      <pic:pic>
                        <pic:nvPicPr>
                          <pic:cNvPr descr="S1-supplement-sensitivity_files/figure-docx/fig-objhist-1.png" id="241" name="Picture"/>
                          <pic:cNvPicPr>
                            <a:picLocks noChangeArrowheads="1" noChangeAspect="1"/>
                          </pic:cNvPicPr>
                        </pic:nvPicPr>
                        <pic:blipFill>
                          <a:blip r:embed="rId239"/>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2"/>
        </w:tc>
      </w:tr>
    </w:tbl>
    <w:bookmarkEnd w:id="243"/>
    <w:bookmarkStart w:id="244"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4"/>
    <w:bookmarkEnd w:id="245"/>
    <w:bookmarkStart w:id="254" w:name="sec-s12-2"/>
    <w:p>
      <w:pPr>
        <w:pStyle w:val="Heading2"/>
      </w:pPr>
      <w:r>
        <w:t xml:space="preserve">S1.12.3 Object-level downsampling sensitivity</w:t>
      </w:r>
    </w:p>
    <w:bookmarkStart w:id="252"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6" w:name="tbl-retention"/>
          <w:tbl>
            <w:tblPr>
              <w:tblStyle w:val="Table"/>
              <w:tblW w:type="pct" w:w="5000"/>
              <w:tblLook w:firstRow="1" w:lastRow="0" w:firstColumn="0" w:lastColumn="0" w:noHBand="0" w:noVBand="0" w:val="0020"/>
              <w:jc w:val="start"/>
              <w:tblLayout w:type="fixed"/>
            </w:tblPr>
            <w:tblGrid>
              <w:gridCol w:w="2534"/>
              <w:gridCol w:w="1029"/>
              <w:gridCol w:w="950"/>
              <w:gridCol w:w="871"/>
              <w:gridCol w:w="871"/>
              <w:gridCol w:w="871"/>
              <w:gridCol w:w="792"/>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k=3</w:t>
                  </w:r>
                </w:p>
              </w:tc>
              <w:tc>
                <w:tcPr/>
                <w:p>
                  <w:pPr>
                    <w:pStyle w:val="Compact"/>
                    <w:jc w:val="left"/>
                    <w:jc w:val="left"/>
                  </w:pPr>
                  <w:r>
                    <w:t xml:space="preserve">k=5</w:t>
                  </w:r>
                </w:p>
              </w:tc>
              <w:tc>
                <w:tcPr/>
                <w:p>
                  <w:pPr>
                    <w:pStyle w:val="Compact"/>
                    <w:jc w:val="left"/>
                    <w:jc w:val="left"/>
                  </w:pPr>
                  <w:r>
                    <w:t xml:space="preserve">k=10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0.15</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0.16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0.73</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30</w:t>
                  </w:r>
                </w:p>
              </w:tc>
              <w:tc>
                <w:tcPr/>
                <w:p>
                  <w:pPr>
                    <w:pStyle w:val="Compact"/>
                    <w:jc w:val="left"/>
                    <w:jc w:val="left"/>
                  </w:pPr>
                  <w:r>
                    <w:t xml:space="preserve">0.71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28</w:t>
                  </w:r>
                </w:p>
              </w:tc>
              <w:tc>
                <w:tcPr/>
                <w:p>
                  <w:pPr>
                    <w:pStyle w:val="Compact"/>
                    <w:jc w:val="left"/>
                    <w:jc w:val="left"/>
                  </w:pPr>
                  <w:r>
                    <w:t xml:space="preserve">0.81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21</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20</w:t>
                  </w:r>
                </w:p>
              </w:tc>
              <w:tc>
                <w:tcPr/>
                <w:p>
                  <w:pPr>
                    <w:pStyle w:val="Compact"/>
                    <w:jc w:val="left"/>
                    <w:jc w:val="left"/>
                  </w:pPr>
                  <w:r>
                    <w:t xml:space="preserve">0.97</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18</w:t>
                  </w:r>
                </w:p>
              </w:tc>
              <w:tc>
                <w:tcPr/>
                <w:p>
                  <w:pPr>
                    <w:pStyle w:val="Compact"/>
                    <w:jc w:val="left"/>
                    <w:jc w:val="left"/>
                  </w:pPr>
                  <w:r>
                    <w:t xml:space="preserve">0.89</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7</w:t>
                  </w:r>
                </w:p>
              </w:tc>
              <w:tc>
                <w:tcPr/>
                <w:p>
                  <w:pPr>
                    <w:pStyle w:val="Compact"/>
                    <w:jc w:val="left"/>
                    <w:jc w:val="left"/>
                  </w:pPr>
                  <w:r>
                    <w:t xml:space="preserve">0.94</w:t>
                  </w:r>
                </w:p>
              </w:tc>
              <w:tc>
                <w:tcPr/>
                <w:p>
                  <w:pPr>
                    <w:pStyle w:val="Compact"/>
                    <w:jc w:val="left"/>
                    <w:jc w:val="left"/>
                  </w:pPr>
                  <w:r>
                    <w:t xml:space="preserve">1.00</w:t>
                  </w:r>
                </w:p>
              </w:tc>
              <w:tc>
                <w:tcPr/>
                <w:p>
                  <w:pPr>
                    <w:pStyle w:val="Compact"/>
                    <w:jc w:val="left"/>
                    <w:jc w:val="left"/>
                  </w:pPr>
                  <w:r>
                    <w:t xml:space="preserve">NA</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0.87</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11</w:t>
                  </w:r>
                </w:p>
              </w:tc>
              <w:tc>
                <w:tcPr/>
                <w:p>
                  <w:pPr>
                    <w:pStyle w:val="Compact"/>
                    <w:jc w:val="left"/>
                    <w:jc w:val="left"/>
                  </w:pPr>
                  <w:r>
                    <w:t xml:space="preserve">0.47</w:t>
                  </w:r>
                </w:p>
              </w:tc>
              <w:tc>
                <w:tcPr/>
                <w:p>
                  <w:pPr>
                    <w:pStyle w:val="Compact"/>
                    <w:jc w:val="left"/>
                    <w:jc w:val="left"/>
                  </w:pPr>
                  <w:r>
                    <w:t xml:space="preserve">0.15</w:t>
                  </w:r>
                </w:p>
              </w:tc>
              <w:tc>
                <w:tcPr/>
                <w:p>
                  <w:pPr>
                    <w:pStyle w:val="Compact"/>
                    <w:jc w:val="left"/>
                    <w:jc w:val="left"/>
                  </w:pPr>
                  <w:r>
                    <w:t xml:space="preserve">0.03</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0.46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29</w:t>
                  </w:r>
                </w:p>
              </w:tc>
              <w:tc>
                <w:tcPr/>
                <w:p>
                  <w:pPr>
                    <w:pStyle w:val="Compact"/>
                    <w:jc w:val="left"/>
                    <w:jc w:val="left"/>
                  </w:pPr>
                  <w:r>
                    <w:t xml:space="preserve">0.92</w:t>
                  </w:r>
                </w:p>
              </w:tc>
              <w:tc>
                <w:tcPr/>
                <w:p>
                  <w:pPr>
                    <w:pStyle w:val="Compact"/>
                    <w:jc w:val="left"/>
                    <w:jc w:val="left"/>
                  </w:pPr>
                  <w:r>
                    <w:t xml:space="preserve">0.99</w:t>
                  </w:r>
                </w:p>
              </w:tc>
              <w:tc>
                <w:tcPr/>
                <w:p>
                  <w:pPr>
                    <w:pStyle w:val="Compact"/>
                    <w:jc w:val="left"/>
                    <w:jc w:val="left"/>
                  </w:pPr>
                  <w:r>
                    <w:t xml:space="preserve">1.00</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12</w:t>
                  </w:r>
                </w:p>
              </w:tc>
              <w:tc>
                <w:tcPr/>
                <w:p>
                  <w:pPr>
                    <w:pStyle w:val="Compact"/>
                    <w:jc w:val="left"/>
                    <w:jc w:val="left"/>
                  </w:pPr>
                  <w:r>
                    <w:t xml:space="preserve">0.70</w:t>
                  </w:r>
                </w:p>
              </w:tc>
              <w:tc>
                <w:tcPr/>
                <w:p>
                  <w:pPr>
                    <w:pStyle w:val="Compact"/>
                    <w:jc w:val="left"/>
                    <w:jc w:val="left"/>
                  </w:pPr>
                  <w:r>
                    <w:t xml:space="preserve">0.88</w:t>
                  </w:r>
                </w:p>
              </w:tc>
              <w:tc>
                <w:tcPr/>
                <w:p>
                  <w:pPr>
                    <w:pStyle w:val="Compact"/>
                    <w:jc w:val="left"/>
                    <w:jc w:val="left"/>
                  </w:pPr>
                  <w:r>
                    <w:t xml:space="preserve">0.97</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0.76</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45: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7" w:name="tbl-stability"/>
          <w:tbl>
            <w:tblPr>
              <w:tblStyle w:val="Table"/>
              <w:tblW w:type="pct" w:w="5000"/>
              <w:tblLook w:firstRow="1" w:lastRow="0" w:firstColumn="0" w:lastColumn="0" w:noHBand="0" w:noVBand="0" w:val="0020"/>
              <w:jc w:val="start"/>
              <w:tblLayout w:type="fixed"/>
            </w:tblPr>
            <w:tblGrid>
              <w:gridCol w:w="1188"/>
              <w:gridCol w:w="633"/>
              <w:gridCol w:w="950"/>
              <w:gridCol w:w="1267"/>
              <w:gridCol w:w="1900"/>
              <w:gridCol w:w="1980"/>
            </w:tblGrid>
            <w:tr>
              <w:trPr>
                <w:tblHeader w:val="true"/>
              </w:trPr>
              <w:tc>
                <w:tcPr/>
                <w:p>
                  <w:pPr>
                    <w:pStyle w:val="Compact"/>
                    <w:jc w:val="left"/>
                    <w:jc w:val="left"/>
                  </w:pPr>
                  <w:r>
                    <w:t xml:space="preserve">Phase</w:t>
                  </w:r>
                </w:p>
              </w:tc>
              <w:tc>
                <w:tcPr/>
                <w:p>
                  <w:pPr>
                    <w:pStyle w:val="Compact"/>
                    <w:jc w:val="left"/>
                    <w:jc w:val="left"/>
                  </w:pPr>
                  <w:r>
                    <w:t xml:space="preserve">k</w:t>
                  </w:r>
                </w:p>
              </w:tc>
              <w:tc>
                <w:tcPr/>
                <w:p>
                  <w:pPr>
                    <w:pStyle w:val="Compact"/>
                    <w:jc w:val="left"/>
                    <w:jc w:val="left"/>
                  </w:pPr>
                  <w:r>
                    <w:t xml:space="preserve">Sites</w:t>
                  </w:r>
                </w:p>
              </w:tc>
              <w:tc>
                <w:tcPr/>
                <w:p>
                  <w:pPr>
                    <w:pStyle w:val="Compact"/>
                    <w:jc w:val="left"/>
                    <w:jc w:val="left"/>
                  </w:pPr>
                  <w:r>
                    <w:t xml:space="preserve">Mean ARI</w:t>
                  </w:r>
                </w:p>
              </w:tc>
              <w:tc>
                <w:tcPr/>
                <w:p>
                  <w:pPr>
                    <w:pStyle w:val="Compact"/>
                    <w:jc w:val="left"/>
                    <w:jc w:val="left"/>
                  </w:pPr>
                  <w:r>
                    <w:t xml:space="preserve">Mean modularity</w:t>
                  </w:r>
                </w:p>
              </w:tc>
              <w:tc>
                <w:tcPr/>
                <w:p>
                  <w:pPr>
                    <w:pStyle w:val="Compact"/>
                    <w:jc w:val="left"/>
                    <w:jc w:val="left"/>
                  </w:pPr>
                  <w:r>
                    <w:t xml:space="preserve">Mean # communities</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13</w:t>
                  </w:r>
                </w:p>
              </w:tc>
              <w:tc>
                <w:tcPr/>
                <w:p>
                  <w:pPr>
                    <w:pStyle w:val="Compact"/>
                    <w:jc w:val="left"/>
                    <w:jc w:val="left"/>
                  </w:pPr>
                  <w:r>
                    <w:t xml:space="preserve">0.186</w:t>
                  </w:r>
                </w:p>
              </w:tc>
              <w:tc>
                <w:tcPr/>
                <w:p>
                  <w:pPr>
                    <w:pStyle w:val="Compact"/>
                    <w:jc w:val="left"/>
                    <w:jc w:val="left"/>
                  </w:pPr>
                  <w:r>
                    <w:t xml:space="preserve">0.145</w:t>
                  </w:r>
                </w:p>
              </w:tc>
              <w:tc>
                <w:tcPr/>
                <w:p>
                  <w:pPr>
                    <w:pStyle w:val="Compact"/>
                    <w:jc w:val="left"/>
                    <w:jc w:val="left"/>
                  </w:pPr>
                  <w:r>
                    <w:t xml:space="preserve">2.690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0.118</w:t>
                  </w:r>
                </w:p>
              </w:tc>
              <w:tc>
                <w:tcPr/>
                <w:p>
                  <w:pPr>
                    <w:pStyle w:val="Compact"/>
                    <w:jc w:val="left"/>
                    <w:jc w:val="left"/>
                  </w:pPr>
                  <w:r>
                    <w:t xml:space="preserve">0.009</w:t>
                  </w:r>
                </w:p>
              </w:tc>
              <w:tc>
                <w:tcPr/>
                <w:p>
                  <w:pPr>
                    <w:pStyle w:val="Compact"/>
                    <w:jc w:val="left"/>
                    <w:jc w:val="left"/>
                  </w:pPr>
                  <w:r>
                    <w:t xml:space="preserve">1.486</w:t>
                  </w:r>
                </w:p>
              </w:tc>
            </w:tr>
            <w:tr>
              <w:tc>
                <w:tcPr/>
                <w:p>
                  <w:pPr>
                    <w:pStyle w:val="Compact"/>
                    <w:jc w:val="left"/>
                    <w:jc w:val="left"/>
                  </w:pPr>
                  <w:r>
                    <w:t xml:space="preserve">Aur-P1</w:t>
                  </w:r>
                </w:p>
              </w:tc>
              <w:tc>
                <w:tcPr/>
                <w:p>
                  <w:pPr>
                    <w:pStyle w:val="Compact"/>
                    <w:jc w:val="left"/>
                    <w:jc w:val="left"/>
                  </w:pPr>
                  <w:r>
                    <w:t xml:space="preserve">5</w:t>
                  </w:r>
                </w:p>
              </w:tc>
              <w:tc>
                <w:tcPr/>
                <w:p>
                  <w:pPr>
                    <w:pStyle w:val="Compact"/>
                    <w:jc w:val="left"/>
                    <w:jc w:val="left"/>
                  </w:pPr>
                  <w:r>
                    <w:t xml:space="preserve">8</w:t>
                  </w:r>
                </w:p>
              </w:tc>
              <w:tc>
                <w:tcPr/>
                <w:p>
                  <w:pPr>
                    <w:pStyle w:val="Compact"/>
                    <w:jc w:val="left"/>
                    <w:jc w:val="left"/>
                  </w:pPr>
                  <w:r>
                    <w:t xml:space="preserve">NA</w:t>
                  </w:r>
                </w:p>
              </w:tc>
              <w:tc>
                <w:tcPr/>
                <w:p>
                  <w:pPr>
                    <w:pStyle w:val="Compact"/>
                    <w:jc w:val="left"/>
                    <w:jc w:val="left"/>
                  </w:pPr>
                  <w:r>
                    <w:t xml:space="preserve">0.115</w:t>
                  </w:r>
                </w:p>
              </w:tc>
              <w:tc>
                <w:tcPr/>
                <w:p>
                  <w:pPr>
                    <w:pStyle w:val="Compact"/>
                    <w:jc w:val="left"/>
                    <w:jc w:val="left"/>
                  </w:pPr>
                  <w:r>
                    <w:t xml:space="preserve">2.198</w:t>
                  </w:r>
                </w:p>
              </w:tc>
            </w:tr>
            <w:tr>
              <w:tc>
                <w:tcPr/>
                <w:p>
                  <w:pPr>
                    <w:pStyle w:val="Compact"/>
                    <w:jc w:val="left"/>
                    <w:jc w:val="left"/>
                  </w:pPr>
                  <w:r>
                    <w:t xml:space="preserve">Aur-P2</w:t>
                  </w:r>
                </w:p>
              </w:tc>
              <w:tc>
                <w:tcPr/>
                <w:p>
                  <w:pPr>
                    <w:pStyle w:val="Compact"/>
                    <w:jc w:val="left"/>
                    <w:jc w:val="left"/>
                  </w:pPr>
                  <w:r>
                    <w:t xml:space="preserve">5</w:t>
                  </w:r>
                </w:p>
              </w:tc>
              <w:tc>
                <w:tcPr/>
                <w:p>
                  <w:pPr>
                    <w:pStyle w:val="Compact"/>
                    <w:jc w:val="left"/>
                    <w:jc w:val="left"/>
                  </w:pPr>
                  <w:r>
                    <w:t xml:space="preserve">3</w:t>
                  </w:r>
                </w:p>
              </w:tc>
              <w:tc>
                <w:tcPr/>
                <w:p>
                  <w:pPr>
                    <w:pStyle w:val="Compact"/>
                    <w:jc w:val="left"/>
                    <w:jc w:val="left"/>
                  </w:pPr>
                  <w:r>
                    <w:t xml:space="preserve">-0.266</w:t>
                  </w:r>
                </w:p>
              </w:tc>
              <w:tc>
                <w:tcPr/>
                <w:p>
                  <w:pPr>
                    <w:pStyle w:val="Compact"/>
                    <w:jc w:val="left"/>
                    <w:jc w:val="left"/>
                  </w:pPr>
                  <w:r>
                    <w:t xml:space="preserve">0.000</w:t>
                  </w:r>
                </w:p>
              </w:tc>
              <w:tc>
                <w:tcPr/>
                <w:p>
                  <w:pPr>
                    <w:pStyle w:val="Compact"/>
                    <w:jc w:val="left"/>
                    <w:jc w:val="left"/>
                  </w:pPr>
                  <w:r>
                    <w:t xml:space="preserve">1.160</w:t>
                  </w:r>
                </w:p>
              </w:tc>
            </w:tr>
            <w:tr>
              <w:tc>
                <w:tcPr/>
                <w:p>
                  <w:pPr>
                    <w:pStyle w:val="Compact"/>
                    <w:jc w:val="left"/>
                    <w:jc w:val="left"/>
                  </w:pPr>
                  <w:r>
                    <w:t xml:space="preserve">Aur-P1</w:t>
                  </w:r>
                </w:p>
              </w:tc>
              <w:tc>
                <w:tcPr/>
                <w:p>
                  <w:pPr>
                    <w:pStyle w:val="Compact"/>
                    <w:jc w:val="left"/>
                    <w:jc w:val="left"/>
                  </w:pPr>
                  <w:r>
                    <w:t xml:space="preserve">10</w:t>
                  </w:r>
                </w:p>
              </w:tc>
              <w:tc>
                <w:tcPr/>
                <w:p>
                  <w:pPr>
                    <w:pStyle w:val="Compact"/>
                    <w:jc w:val="left"/>
                    <w:jc w:val="left"/>
                  </w:pPr>
                  <w:r>
                    <w:t xml:space="preserve">7</w:t>
                  </w:r>
                </w:p>
              </w:tc>
              <w:tc>
                <w:tcPr/>
                <w:p>
                  <w:pPr>
                    <w:pStyle w:val="Compact"/>
                    <w:jc w:val="left"/>
                    <w:jc w:val="left"/>
                  </w:pPr>
                  <w:r>
                    <w:t xml:space="preserve">NA</w:t>
                  </w:r>
                </w:p>
              </w:tc>
              <w:tc>
                <w:tcPr/>
                <w:p>
                  <w:pPr>
                    <w:pStyle w:val="Compact"/>
                    <w:jc w:val="left"/>
                    <w:jc w:val="left"/>
                  </w:pPr>
                  <w:r>
                    <w:t xml:space="preserve">0.086</w:t>
                  </w:r>
                </w:p>
              </w:tc>
              <w:tc>
                <w:tcPr/>
                <w:p>
                  <w:pPr>
                    <w:pStyle w:val="Compact"/>
                    <w:jc w:val="left"/>
                    <w:jc w:val="left"/>
                  </w:pPr>
                  <w:r>
                    <w:t xml:space="preserve">1.990</w:t>
                  </w:r>
                </w:p>
              </w:tc>
            </w:tr>
            <w:tr>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3</w:t>
                  </w:r>
                </w:p>
              </w:tc>
              <w:tc>
                <w:tcPr/>
                <w:p>
                  <w:pPr>
                    <w:pStyle w:val="Compact"/>
                    <w:jc w:val="left"/>
                    <w:jc w:val="left"/>
                  </w:pPr>
                  <w:r>
                    <w:t xml:space="preserve">-0.500</w:t>
                  </w:r>
                </w:p>
              </w:tc>
              <w:tc>
                <w:tcPr/>
                <w:p>
                  <w:pPr>
                    <w:pStyle w:val="Compact"/>
                    <w:jc w:val="left"/>
                    <w:jc w:val="left"/>
                  </w:pPr>
                  <w:r>
                    <w:t xml:space="preserve">0.000</w:t>
                  </w:r>
                </w:p>
              </w:tc>
              <w:tc>
                <w:tcPr/>
                <w:p>
                  <w:pPr>
                    <w:pStyle w:val="Compact"/>
                    <w:jc w:val="left"/>
                    <w:jc w:val="left"/>
                  </w:pPr>
                  <w:r>
                    <w:t xml:space="preserve">1.032</w:t>
                  </w:r>
                </w:p>
              </w:tc>
            </w:tr>
          </w:tbl>
          <w:p>
            <w:pPr>
              <w:jc w:val="left"/>
            </w:pPr>
            <w:pPr>
              <w:jc w:val="start"/>
              <w:spacing w:before="200"/>
              <w:pStyle w:val="ImageCaption"/>
            </w:pPr>
            <w:r>
              <w:t xml:space="preserve">Table S 46: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7"/>
        </w:tc>
      </w:tr>
    </w:tbl>
    <w:tbl>
      <w:tblPr>
        <w:tblStyle w:val="Table"/>
        <w:tblW w:type="pct" w:w="5000"/>
        <w:tblLook w:firstRow="0" w:lastRow="0" w:firstColumn="0" w:lastColumn="0" w:noHBand="0" w:noVBand="0" w:val="0000"/>
        <w:jc w:val="start"/>
        <w:tblLayout w:type="fixed"/>
      </w:tblPr>
      <w:tblGrid>
        <w:gridCol w:w="7920"/>
      </w:tblGrid>
      <w:tr>
        <w:tc>
          <w:tcPr/>
          <w:bookmarkStart w:id="251" w:name="fig-retention"/>
          <w:p>
            <w:pPr>
              <w:pStyle w:val="Compact"/>
              <w:jc w:val="left"/>
            </w:pPr>
            <w:r>
              <w:drawing>
                <wp:inline>
                  <wp:extent cx="5943600" cy="5943600"/>
                  <wp:effectExtent b="0" l="0" r="0" t="0"/>
                  <wp:docPr descr="" title="" id="249" name="Picture"/>
                  <a:graphic>
                    <a:graphicData uri="http://schemas.openxmlformats.org/drawingml/2006/picture">
                      <pic:pic>
                        <pic:nvPicPr>
                          <pic:cNvPr descr="S1-supplement-sensitivity_files/figure-docx/fig-retention-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1"/>
        </w:tc>
      </w:tr>
    </w:tbl>
    <w:bookmarkEnd w:id="252"/>
    <w:bookmarkStart w:id="253"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In Aur-P1 the mean ARI between the downsampled partition and the manual groups is low at k = 3 (0.19). At k = 5 and k = 10 the ARI cannot be computed: no restricted Aur-P1 site has more than 4 objects, so only broad-range sites qualify (</w:t>
      </w:r>
      <w:hyperlink w:anchor="tbl-retention">
        <w:r>
          <w:rPr>
            <w:rStyle w:val="Hyperlink"/>
          </w:rPr>
          <w:t xml:space="preserve">Table S 45</w:t>
        </w:r>
      </w:hyperlink>
      <w:r>
        <w:t xml:space="preserve">). Mean modularity in Aur-P1 falls to 0.15, 0.11 and 0.09 at k = 3, 5 and 10. This is lower than at baseline (</w:t>
      </w:r>
      <w:hyperlink w:anchor="tbl-sens-stats">
        <w:r>
          <w:rPr>
            <w:rStyle w:val="Hyperlink"/>
          </w:rPr>
          <w:t xml:space="preserve">Table S 2</w:t>
        </w:r>
      </w:hyperlink>
      <w:r>
        <w:t xml:space="preserve">) but not near zero. In Aur-P2, mean modularity falls to near zero (0.009, 0 and 0). This reflects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3"/>
    <w:bookmarkEnd w:id="254"/>
    <w:bookmarkStart w:id="262" w:name="sec-s12-3"/>
    <w:p>
      <w:pPr>
        <w:pStyle w:val="Heading2"/>
      </w:pPr>
      <w:r>
        <w:t xml:space="preserve">S1.12.4 Coverage-based rarefaction</w:t>
      </w:r>
    </w:p>
    <w:bookmarkStart w:id="260"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5" w:name="tbl-rarefaction"/>
          <w:tbl>
            <w:tblPr>
              <w:tblStyle w:val="Table"/>
              <w:tblW w:type="pct" w:w="5000"/>
              <w:tblLook w:firstRow="1" w:lastRow="0" w:firstColumn="0" w:lastColumn="0" w:noHBand="0" w:noVBand="0" w:val="0020"/>
              <w:jc w:val="start"/>
              <w:tblLayout w:type="fixed"/>
            </w:tblPr>
            <w:tblGrid>
              <w:gridCol w:w="554"/>
              <w:gridCol w:w="1188"/>
              <w:gridCol w:w="554"/>
              <w:gridCol w:w="475"/>
              <w:gridCol w:w="554"/>
              <w:gridCol w:w="633"/>
              <w:gridCol w:w="475"/>
              <w:gridCol w:w="475"/>
              <w:gridCol w:w="633"/>
              <w:gridCol w:w="396"/>
              <w:gridCol w:w="396"/>
              <w:gridCol w:w="396"/>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Richness (full)</w:t>
                  </w:r>
                </w:p>
              </w:tc>
              <w:tc>
                <w:tcPr/>
                <w:p>
                  <w:pPr>
                    <w:pStyle w:val="Compact"/>
                    <w:jc w:val="left"/>
                    <w:jc w:val="left"/>
                  </w:pPr>
                  <w:r>
                    <w:t xml:space="preserve">Coverage (Chao)</w:t>
                  </w:r>
                </w:p>
              </w:tc>
              <w:tc>
                <w:tcPr/>
                <w:p>
                  <w:pPr>
                    <w:pStyle w:val="Compact"/>
                    <w:jc w:val="left"/>
                    <w:jc w:val="left"/>
                  </w:pPr>
                  <w:r>
                    <w:t xml:space="preserve">Cov LCL</w:t>
                  </w:r>
                </w:p>
              </w:tc>
              <w:tc>
                <w:tcPr/>
                <w:p>
                  <w:pPr>
                    <w:pStyle w:val="Compact"/>
                    <w:jc w:val="left"/>
                    <w:jc w:val="left"/>
                  </w:pPr>
                  <w:r>
                    <w:t xml:space="preserve">Cov UCL</w:t>
                  </w:r>
                </w:p>
              </w:tc>
              <w:tc>
                <w:tcPr/>
                <w:p>
                  <w:pPr>
                    <w:pStyle w:val="Compact"/>
                    <w:jc w:val="left"/>
                    <w:jc w:val="left"/>
                  </w:pPr>
                  <w:r>
                    <w:t xml:space="preserve">Richness at 0.9 cov.</w:t>
                  </w:r>
                </w:p>
              </w:tc>
              <w:tc>
                <w:tcPr/>
                <w:p>
                  <w:pPr>
                    <w:pStyle w:val="Compact"/>
                    <w:jc w:val="left"/>
                    <w:jc w:val="left"/>
                  </w:pPr>
                  <w:r>
                    <w:t xml:space="preserve">Rt LCL</w:t>
                  </w:r>
                </w:p>
              </w:tc>
              <w:tc>
                <w:tcPr/>
                <w:p>
                  <w:pPr>
                    <w:pStyle w:val="Compact"/>
                    <w:jc w:val="left"/>
                    <w:jc w:val="left"/>
                  </w:pPr>
                  <w:r>
                    <w:t xml:space="preserve">Rt UCL</w:t>
                  </w:r>
                </w:p>
              </w:tc>
              <w:tc>
                <w:tcPr/>
                <w:p>
                  <w:pPr>
                    <w:pStyle w:val="Compact"/>
                    <w:jc w:val="left"/>
                    <w:jc w:val="left"/>
                  </w:pPr>
                  <w:r>
                    <w:t xml:space="preserve">Chao2</w:t>
                  </w:r>
                </w:p>
              </w:tc>
              <w:tc>
                <w:tcPr/>
                <w:p>
                  <w:pPr>
                    <w:pStyle w:val="Compact"/>
                    <w:jc w:val="left"/>
                    <w:jc w:val="left"/>
                  </w:pPr>
                  <w:r>
                    <w:t xml:space="preserve">Target method</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c>
                <w:tcPr/>
                <w:p>
                  <w:pPr>
                    <w:pStyle w:val="Compact"/>
                    <w:jc w:val="left"/>
                    <w:jc w:val="left"/>
                  </w:pPr>
                  <w:r>
                    <w:t xml:space="preserve">9</w:t>
                  </w:r>
                </w:p>
              </w:tc>
              <w:tc>
                <w:tcPr/>
                <w:p>
                  <w:pPr>
                    <w:pStyle w:val="Compact"/>
                    <w:jc w:val="left"/>
                    <w:jc w:val="left"/>
                  </w:pPr>
                  <w:r>
                    <w:t xml:space="preserve">0.84</w:t>
                  </w:r>
                </w:p>
              </w:tc>
              <w:tc>
                <w:tcPr/>
                <w:p>
                  <w:pPr>
                    <w:pStyle w:val="Compact"/>
                    <w:jc w:val="left"/>
                    <w:jc w:val="left"/>
                  </w:pPr>
                  <w:r>
                    <w:t xml:space="preserve">0.78</w:t>
                  </w:r>
                </w:p>
              </w:tc>
              <w:tc>
                <w:tcPr/>
                <w:p>
                  <w:pPr>
                    <w:pStyle w:val="Compact"/>
                    <w:jc w:val="left"/>
                    <w:jc w:val="left"/>
                  </w:pPr>
                  <w:r>
                    <w:t xml:space="preserve">1</w:t>
                  </w:r>
                </w:p>
              </w:tc>
              <w:tc>
                <w:tcPr/>
                <w:p>
                  <w:pPr>
                    <w:pStyle w:val="Compact"/>
                    <w:jc w:val="left"/>
                    <w:jc w:val="left"/>
                  </w:pPr>
                  <w:r>
                    <w:t xml:space="preserve">8.83</w:t>
                  </w:r>
                </w:p>
              </w:tc>
              <w:tc>
                <w:tcPr/>
                <w:p>
                  <w:pPr>
                    <w:pStyle w:val="Compact"/>
                    <w:jc w:val="left"/>
                    <w:jc w:val="left"/>
                  </w:pPr>
                  <w:r>
                    <w:t xml:space="preserve">3.07</w:t>
                  </w:r>
                </w:p>
              </w:tc>
              <w:tc>
                <w:tcPr/>
                <w:p>
                  <w:pPr>
                    <w:pStyle w:val="Compact"/>
                    <w:jc w:val="left"/>
                    <w:jc w:val="left"/>
                  </w:pPr>
                  <w:r>
                    <w:t xml:space="preserve">14.60</w:t>
                  </w:r>
                </w:p>
              </w:tc>
              <w:tc>
                <w:tcPr/>
                <w:p>
                  <w:pPr>
                    <w:pStyle w:val="Compact"/>
                    <w:jc w:val="left"/>
                    <w:jc w:val="left"/>
                  </w:pPr>
                  <w:r>
                    <w:t xml:space="preserve">13.25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c>
                <w:tcPr/>
                <w:p>
                  <w:pPr>
                    <w:pStyle w:val="Compact"/>
                    <w:jc w:val="left"/>
                    <w:jc w:val="left"/>
                  </w:pPr>
                  <w:r>
                    <w:t xml:space="preserve">9</w:t>
                  </w:r>
                </w:p>
              </w:tc>
              <w:tc>
                <w:tcPr/>
                <w:p>
                  <w:pPr>
                    <w:pStyle w:val="Compact"/>
                    <w:jc w:val="left"/>
                    <w:jc w:val="left"/>
                  </w:pPr>
                  <w:r>
                    <w:t xml:space="preserve">0.82</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10.77</w:t>
                  </w:r>
                </w:p>
              </w:tc>
              <w:tc>
                <w:tcPr/>
                <w:p>
                  <w:pPr>
                    <w:pStyle w:val="Compact"/>
                    <w:jc w:val="left"/>
                    <w:jc w:val="left"/>
                  </w:pPr>
                  <w:r>
                    <w:t xml:space="preserve">1.70</w:t>
                  </w:r>
                </w:p>
              </w:tc>
              <w:tc>
                <w:tcPr/>
                <w:p>
                  <w:pPr>
                    <w:pStyle w:val="Compact"/>
                    <w:jc w:val="left"/>
                    <w:jc w:val="left"/>
                  </w:pPr>
                  <w:r>
                    <w:t xml:space="preserve">19.84</w:t>
                  </w:r>
                </w:p>
              </w:tc>
              <w:tc>
                <w:tcPr/>
                <w:p>
                  <w:pPr>
                    <w:pStyle w:val="Compact"/>
                    <w:jc w:val="left"/>
                    <w:jc w:val="left"/>
                  </w:pPr>
                  <w:r>
                    <w:t xml:space="preserve">16.64</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c>
                <w:tcPr/>
                <w:p>
                  <w:pPr>
                    <w:pStyle w:val="Compact"/>
                    <w:jc w:val="left"/>
                    <w:jc w:val="left"/>
                  </w:pPr>
                  <w:r>
                    <w:t xml:space="preserve">11</w:t>
                  </w:r>
                </w:p>
              </w:tc>
              <w:tc>
                <w:tcPr/>
                <w:p>
                  <w:pPr>
                    <w:pStyle w:val="Compact"/>
                    <w:jc w:val="left"/>
                    <w:jc w:val="left"/>
                  </w:pPr>
                  <w:r>
                    <w:t xml:space="preserve">0.91</w:t>
                  </w:r>
                </w:p>
              </w:tc>
              <w:tc>
                <w:tcPr/>
                <w:p>
                  <w:pPr>
                    <w:pStyle w:val="Compact"/>
                    <w:jc w:val="left"/>
                    <w:jc w:val="left"/>
                  </w:pPr>
                  <w:r>
                    <w:t xml:space="preserve">0.76</w:t>
                  </w:r>
                </w:p>
              </w:tc>
              <w:tc>
                <w:tcPr/>
                <w:p>
                  <w:pPr>
                    <w:pStyle w:val="Compact"/>
                    <w:jc w:val="left"/>
                    <w:jc w:val="left"/>
                  </w:pPr>
                  <w:r>
                    <w:t xml:space="preserve">1</w:t>
                  </w:r>
                </w:p>
              </w:tc>
              <w:tc>
                <w:tcPr/>
                <w:p>
                  <w:pPr>
                    <w:pStyle w:val="Compact"/>
                    <w:jc w:val="left"/>
                    <w:jc w:val="left"/>
                  </w:pPr>
                  <w:r>
                    <w:t xml:space="preserve">10.06</w:t>
                  </w:r>
                </w:p>
              </w:tc>
              <w:tc>
                <w:tcPr/>
                <w:p>
                  <w:pPr>
                    <w:pStyle w:val="Compact"/>
                    <w:jc w:val="left"/>
                    <w:jc w:val="left"/>
                  </w:pPr>
                  <w:r>
                    <w:t xml:space="preserve">7.35</w:t>
                  </w:r>
                </w:p>
              </w:tc>
              <w:tc>
                <w:tcPr/>
                <w:p>
                  <w:pPr>
                    <w:pStyle w:val="Compact"/>
                    <w:jc w:val="left"/>
                    <w:jc w:val="left"/>
                  </w:pPr>
                  <w:r>
                    <w:t xml:space="preserve">12.77</w:t>
                  </w:r>
                </w:p>
              </w:tc>
              <w:tc>
                <w:tcPr/>
                <w:p>
                  <w:pPr>
                    <w:pStyle w:val="Compact"/>
                    <w:jc w:val="left"/>
                    <w:jc w:val="left"/>
                  </w:pPr>
                  <w:r>
                    <w:t xml:space="preserve">11.63</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0.83</w:t>
                  </w:r>
                </w:p>
              </w:tc>
              <w:tc>
                <w:tcPr/>
                <w:p>
                  <w:pPr>
                    <w:pStyle w:val="Compact"/>
                    <w:jc w:val="left"/>
                    <w:jc w:val="left"/>
                  </w:pPr>
                  <w:r>
                    <w:t xml:space="preserve">0.83</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2.25</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c>
                <w:tcPr/>
                <w:p>
                  <w:pPr>
                    <w:pStyle w:val="Compact"/>
                    <w:jc w:val="left"/>
                    <w:jc w:val="left"/>
                  </w:pPr>
                  <w:r>
                    <w:t xml:space="preserve">6</w:t>
                  </w:r>
                </w:p>
              </w:tc>
              <w:tc>
                <w:tcPr/>
                <w:p>
                  <w:pPr>
                    <w:pStyle w:val="Compact"/>
                    <w:jc w:val="left"/>
                    <w:jc w:val="left"/>
                  </w:pPr>
                  <w:r>
                    <w:t xml:space="preserve">-0.10</w:t>
                  </w:r>
                </w:p>
              </w:tc>
              <w:tc>
                <w:tcPr/>
                <w:p>
                  <w:pPr>
                    <w:pStyle w:val="Compact"/>
                    <w:jc w:val="left"/>
                    <w:jc w:val="left"/>
                  </w:pPr>
                  <w:r>
                    <w:t xml:space="preserve">-0.10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15.38</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c>
                <w:tcPr/>
                <w:p>
                  <w:pPr>
                    <w:pStyle w:val="Compact"/>
                    <w:jc w:val="left"/>
                    <w:jc w:val="left"/>
                  </w:pPr>
                  <w:r>
                    <w:t xml:space="preserve">4</w:t>
                  </w:r>
                </w:p>
              </w:tc>
              <w:tc>
                <w:tcPr/>
                <w:p>
                  <w:pPr>
                    <w:pStyle w:val="Compact"/>
                    <w:jc w:val="left"/>
                    <w:jc w:val="left"/>
                  </w:pPr>
                  <w:r>
                    <w:t xml:space="preserve">0.57</w:t>
                  </w:r>
                </w:p>
              </w:tc>
              <w:tc>
                <w:tcPr/>
                <w:p>
                  <w:pPr>
                    <w:pStyle w:val="Compact"/>
                    <w:jc w:val="left"/>
                    <w:jc w:val="left"/>
                  </w:pPr>
                  <w:r>
                    <w:t xml:space="preserve">0.57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6.57</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c>
                <w:tcPr/>
                <w:p>
                  <w:pPr>
                    <w:pStyle w:val="Compact"/>
                    <w:jc w:val="left"/>
                    <w:jc w:val="left"/>
                  </w:pPr>
                  <w:r>
                    <w:t xml:space="preserve">11</w:t>
                  </w:r>
                </w:p>
              </w:tc>
              <w:tc>
                <w:tcPr/>
                <w:p>
                  <w:pPr>
                    <w:pStyle w:val="Compact"/>
                    <w:jc w:val="left"/>
                    <w:jc w:val="left"/>
                  </w:pPr>
                  <w:r>
                    <w:t xml:space="preserve">0.80</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15.79</w:t>
                  </w:r>
                </w:p>
              </w:tc>
              <w:tc>
                <w:tcPr/>
                <w:p>
                  <w:pPr>
                    <w:pStyle w:val="Compact"/>
                    <w:jc w:val="left"/>
                    <w:jc w:val="left"/>
                  </w:pPr>
                  <w:r>
                    <w:t xml:space="preserve">0.00</w:t>
                  </w:r>
                </w:p>
              </w:tc>
              <w:tc>
                <w:tcPr/>
                <w:p>
                  <w:pPr>
                    <w:pStyle w:val="Compact"/>
                    <w:jc w:val="left"/>
                    <w:jc w:val="left"/>
                  </w:pPr>
                  <w:r>
                    <w:t xml:space="preserve">33.53</w:t>
                  </w:r>
                </w:p>
              </w:tc>
              <w:tc>
                <w:tcPr/>
                <w:p>
                  <w:pPr>
                    <w:pStyle w:val="Compact"/>
                    <w:jc w:val="left"/>
                    <w:jc w:val="left"/>
                  </w:pPr>
                  <w:r>
                    <w:t xml:space="preserve">28.40</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c>
                <w:tcPr/>
                <w:p>
                  <w:pPr>
                    <w:pStyle w:val="Compact"/>
                    <w:jc w:val="left"/>
                    <w:jc w:val="left"/>
                  </w:pPr>
                  <w:r>
                    <w:t xml:space="preserve">6</w:t>
                  </w:r>
                </w:p>
              </w:tc>
              <w:tc>
                <w:tcPr/>
                <w:p>
                  <w:pPr>
                    <w:pStyle w:val="Compact"/>
                    <w:jc w:val="left"/>
                    <w:jc w:val="left"/>
                  </w:pPr>
                  <w:r>
                    <w:t xml:space="preserve">0.91</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5.43</w:t>
                  </w:r>
                </w:p>
              </w:tc>
              <w:tc>
                <w:tcPr/>
                <w:p>
                  <w:pPr>
                    <w:pStyle w:val="Compact"/>
                    <w:jc w:val="left"/>
                    <w:jc w:val="left"/>
                  </w:pPr>
                  <w:r>
                    <w:t xml:space="preserve">2.73</w:t>
                  </w:r>
                </w:p>
              </w:tc>
              <w:tc>
                <w:tcPr/>
                <w:p>
                  <w:pPr>
                    <w:pStyle w:val="Compact"/>
                    <w:jc w:val="left"/>
                    <w:jc w:val="left"/>
                  </w:pPr>
                  <w:r>
                    <w:t xml:space="preserve">8.13</w:t>
                  </w:r>
                </w:p>
              </w:tc>
              <w:tc>
                <w:tcPr/>
                <w:p>
                  <w:pPr>
                    <w:pStyle w:val="Compact"/>
                    <w:jc w:val="left"/>
                    <w:jc w:val="left"/>
                  </w:pPr>
                  <w:r>
                    <w:t xml:space="preserve">6.95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c>
                <w:tcPr/>
                <w:p>
                  <w:pPr>
                    <w:pStyle w:val="Compact"/>
                    <w:jc w:val="left"/>
                    <w:jc w:val="left"/>
                  </w:pPr>
                  <w:r>
                    <w:t xml:space="preserve">5</w:t>
                  </w:r>
                </w:p>
              </w:tc>
              <w:tc>
                <w:tcPr/>
                <w:p>
                  <w:pPr>
                    <w:pStyle w:val="Compact"/>
                    <w:jc w:val="left"/>
                    <w:jc w:val="left"/>
                  </w:pPr>
                  <w:r>
                    <w:t xml:space="preserve">1.00</w:t>
                  </w:r>
                </w:p>
              </w:tc>
              <w:tc>
                <w:tcPr/>
                <w:p>
                  <w:pPr>
                    <w:pStyle w:val="Compact"/>
                    <w:jc w:val="left"/>
                    <w:jc w:val="left"/>
                  </w:pPr>
                  <w:r>
                    <w:t xml:space="preserve">0.96</w:t>
                  </w:r>
                </w:p>
              </w:tc>
              <w:tc>
                <w:tcPr/>
                <w:p>
                  <w:pPr>
                    <w:pStyle w:val="Compact"/>
                    <w:jc w:val="left"/>
                    <w:jc w:val="left"/>
                  </w:pPr>
                  <w:r>
                    <w:t xml:space="preserve">1</w:t>
                  </w:r>
                </w:p>
              </w:tc>
              <w:tc>
                <w:tcPr/>
                <w:p>
                  <w:pPr>
                    <w:pStyle w:val="Compact"/>
                    <w:jc w:val="left"/>
                    <w:jc w:val="left"/>
                  </w:pPr>
                  <w:r>
                    <w:t xml:space="preserve">4.52</w:t>
                  </w:r>
                </w:p>
              </w:tc>
              <w:tc>
                <w:tcPr/>
                <w:p>
                  <w:pPr>
                    <w:pStyle w:val="Compact"/>
                    <w:jc w:val="left"/>
                    <w:jc w:val="left"/>
                  </w:pPr>
                  <w:r>
                    <w:t xml:space="preserve">4.21</w:t>
                  </w:r>
                </w:p>
              </w:tc>
              <w:tc>
                <w:tcPr/>
                <w:p>
                  <w:pPr>
                    <w:pStyle w:val="Compact"/>
                    <w:jc w:val="left"/>
                    <w:jc w:val="left"/>
                  </w:pPr>
                  <w:r>
                    <w:t xml:space="preserve">4.82</w:t>
                  </w:r>
                </w:p>
              </w:tc>
              <w:tc>
                <w:tcPr/>
                <w:p>
                  <w:pPr>
                    <w:pStyle w:val="Compact"/>
                    <w:jc w:val="left"/>
                    <w:jc w:val="left"/>
                  </w:pPr>
                  <w:r>
                    <w:t xml:space="preserve">5.00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2.50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c>
                <w:tcPr/>
                <w:p>
                  <w:pPr>
                    <w:pStyle w:val="Compact"/>
                    <w:jc w:val="left"/>
                    <w:jc w:val="left"/>
                  </w:pPr>
                  <w:r>
                    <w:t xml:space="preserve">17</w:t>
                  </w:r>
                </w:p>
              </w:tc>
              <w:tc>
                <w:tcPr/>
                <w:p>
                  <w:pPr>
                    <w:pStyle w:val="Compact"/>
                    <w:jc w:val="left"/>
                    <w:jc w:val="left"/>
                  </w:pPr>
                  <w:r>
                    <w:t xml:space="preserve">0.98</w:t>
                  </w:r>
                </w:p>
              </w:tc>
              <w:tc>
                <w:tcPr/>
                <w:p>
                  <w:pPr>
                    <w:pStyle w:val="Compact"/>
                    <w:jc w:val="left"/>
                    <w:jc w:val="left"/>
                  </w:pPr>
                  <w:r>
                    <w:t xml:space="preserve">0.97</w:t>
                  </w:r>
                </w:p>
              </w:tc>
              <w:tc>
                <w:tcPr/>
                <w:p>
                  <w:pPr>
                    <w:pStyle w:val="Compact"/>
                    <w:jc w:val="left"/>
                    <w:jc w:val="left"/>
                  </w:pPr>
                  <w:r>
                    <w:t xml:space="preserve">1</w:t>
                  </w:r>
                </w:p>
              </w:tc>
              <w:tc>
                <w:tcPr/>
                <w:p>
                  <w:pPr>
                    <w:pStyle w:val="Compact"/>
                    <w:jc w:val="left"/>
                    <w:jc w:val="left"/>
                  </w:pPr>
                  <w:r>
                    <w:t xml:space="preserve">9.84</w:t>
                  </w:r>
                </w:p>
              </w:tc>
              <w:tc>
                <w:tcPr/>
                <w:p>
                  <w:pPr>
                    <w:pStyle w:val="Compact"/>
                    <w:jc w:val="left"/>
                    <w:jc w:val="left"/>
                  </w:pPr>
                  <w:r>
                    <w:t xml:space="preserve">8.28</w:t>
                  </w:r>
                </w:p>
              </w:tc>
              <w:tc>
                <w:tcPr/>
                <w:p>
                  <w:pPr>
                    <w:pStyle w:val="Compact"/>
                    <w:jc w:val="left"/>
                    <w:jc w:val="left"/>
                  </w:pPr>
                  <w:r>
                    <w:t xml:space="preserve">11.39</w:t>
                  </w:r>
                </w:p>
              </w:tc>
              <w:tc>
                <w:tcPr/>
                <w:p>
                  <w:pPr>
                    <w:pStyle w:val="Compact"/>
                    <w:jc w:val="left"/>
                    <w:jc w:val="left"/>
                  </w:pPr>
                  <w:r>
                    <w:t xml:space="preserve">18.12</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2.77</w:t>
                  </w:r>
                </w:p>
              </w:tc>
              <w:tc>
                <w:tcPr/>
                <w:p>
                  <w:pPr>
                    <w:pStyle w:val="Compact"/>
                    <w:jc w:val="left"/>
                    <w:jc w:val="left"/>
                  </w:pPr>
                  <w:r>
                    <w:t xml:space="preserve">2.05</w:t>
                  </w:r>
                </w:p>
              </w:tc>
              <w:tc>
                <w:tcPr/>
                <w:p>
                  <w:pPr>
                    <w:pStyle w:val="Compact"/>
                    <w:jc w:val="left"/>
                    <w:jc w:val="left"/>
                  </w:pPr>
                  <w:r>
                    <w:t xml:space="preserve">3.49</w:t>
                  </w:r>
                </w:p>
              </w:tc>
              <w:tc>
                <w:tcPr/>
                <w:p>
                  <w:pPr>
                    <w:pStyle w:val="Compact"/>
                    <w:jc w:val="left"/>
                    <w:jc w:val="left"/>
                  </w:pPr>
                  <w:r>
                    <w:t xml:space="preserve">3.00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0.75</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1.90</w:t>
                  </w:r>
                </w:p>
              </w:tc>
              <w:tc>
                <w:tcPr/>
                <w:p>
                  <w:pPr>
                    <w:pStyle w:val="Compact"/>
                    <w:jc w:val="left"/>
                    <w:jc w:val="left"/>
                  </w:pPr>
                  <w:r>
                    <w:t xml:space="preserve">1.00</w:t>
                  </w:r>
                </w:p>
              </w:tc>
              <w:tc>
                <w:tcPr/>
                <w:p>
                  <w:pPr>
                    <w:pStyle w:val="Compact"/>
                    <w:jc w:val="left"/>
                    <w:jc w:val="left"/>
                  </w:pPr>
                  <w:r>
                    <w:t xml:space="preserve">2.80</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c>
                <w:tcPr/>
                <w:p>
                  <w:pPr>
                    <w:pStyle w:val="Compact"/>
                    <w:jc w:val="left"/>
                    <w:jc w:val="left"/>
                  </w:pPr>
                  <w:r>
                    <w:t xml:space="preserve">10</w:t>
                  </w:r>
                </w:p>
              </w:tc>
              <w:tc>
                <w:tcPr/>
                <w:p>
                  <w:pPr>
                    <w:pStyle w:val="Compact"/>
                    <w:jc w:val="left"/>
                    <w:jc w:val="left"/>
                  </w:pPr>
                  <w:r>
                    <w:t xml:space="preserve">0.90</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8.95</w:t>
                  </w:r>
                </w:p>
              </w:tc>
              <w:tc>
                <w:tcPr/>
                <w:p>
                  <w:pPr>
                    <w:pStyle w:val="Compact"/>
                    <w:jc w:val="left"/>
                    <w:jc w:val="left"/>
                  </w:pPr>
                  <w:r>
                    <w:t xml:space="preserve">4.60</w:t>
                  </w:r>
                </w:p>
              </w:tc>
              <w:tc>
                <w:tcPr/>
                <w:p>
                  <w:pPr>
                    <w:pStyle w:val="Compact"/>
                    <w:jc w:val="left"/>
                    <w:jc w:val="left"/>
                  </w:pPr>
                  <w:r>
                    <w:t xml:space="preserve">13.31</w:t>
                  </w:r>
                </w:p>
              </w:tc>
              <w:tc>
                <w:tcPr/>
                <w:p>
                  <w:pPr>
                    <w:pStyle w:val="Compact"/>
                    <w:jc w:val="left"/>
                    <w:jc w:val="left"/>
                  </w:pPr>
                  <w:r>
                    <w:t xml:space="preserve">12.17</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1.85</w:t>
                  </w:r>
                </w:p>
              </w:tc>
              <w:tc>
                <w:tcPr/>
                <w:p>
                  <w:pPr>
                    <w:pStyle w:val="Compact"/>
                    <w:jc w:val="left"/>
                    <w:jc w:val="left"/>
                  </w:pPr>
                  <w:r>
                    <w:t xml:space="preserve">1.44</w:t>
                  </w:r>
                </w:p>
              </w:tc>
              <w:tc>
                <w:tcPr/>
                <w:p>
                  <w:pPr>
                    <w:pStyle w:val="Compact"/>
                    <w:jc w:val="left"/>
                    <w:jc w:val="left"/>
                  </w:pPr>
                  <w:r>
                    <w:t xml:space="preserve">2.26</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11.67</w:t>
                  </w:r>
                </w:p>
              </w:tc>
              <w:tc>
                <w:tcPr/>
                <w:p>
                  <w:pPr>
                    <w:pStyle w:val="Compact"/>
                    <w:jc w:val="left"/>
                    <w:jc w:val="left"/>
                  </w:pPr>
                  <w:r>
                    <w:t xml:space="preserve">target unreachable (extrapolation beyond 2x sample)</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0.91</w:t>
                  </w:r>
                </w:p>
              </w:tc>
              <w:tc>
                <w:tcPr/>
                <w:p>
                  <w:pPr>
                    <w:pStyle w:val="Compact"/>
                    <w:jc w:val="left"/>
                    <w:jc w:val="left"/>
                  </w:pPr>
                  <w:r>
                    <w:t xml:space="preserve">1</w:t>
                  </w:r>
                </w:p>
              </w:tc>
              <w:tc>
                <w:tcPr/>
                <w:p>
                  <w:pPr>
                    <w:pStyle w:val="Compact"/>
                    <w:jc w:val="left"/>
                    <w:jc w:val="left"/>
                  </w:pPr>
                  <w:r>
                    <w:t xml:space="preserve">1.76</w:t>
                  </w:r>
                </w:p>
              </w:tc>
              <w:tc>
                <w:tcPr/>
                <w:p>
                  <w:pPr>
                    <w:pStyle w:val="Compact"/>
                    <w:jc w:val="left"/>
                    <w:jc w:val="left"/>
                  </w:pPr>
                  <w:r>
                    <w:t xml:space="preserve">1.57</w:t>
                  </w:r>
                </w:p>
              </w:tc>
              <w:tc>
                <w:tcPr/>
                <w:p>
                  <w:pPr>
                    <w:pStyle w:val="Compact"/>
                    <w:jc w:val="left"/>
                    <w:jc w:val="left"/>
                  </w:pPr>
                  <w:r>
                    <w:t xml:space="preserve">1.95</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c>
                <w:tcPr/>
                <w:p>
                  <w:pPr>
                    <w:pStyle w:val="Compact"/>
                    <w:jc w:val="left"/>
                    <w:jc w:val="left"/>
                  </w:pPr>
                  <w:r>
                    <w:t xml:space="preserve">8</w:t>
                  </w:r>
                </w:p>
              </w:tc>
              <w:tc>
                <w:tcPr/>
                <w:p>
                  <w:pPr>
                    <w:pStyle w:val="Compact"/>
                    <w:jc w:val="left"/>
                    <w:jc w:val="left"/>
                  </w:pPr>
                  <w:r>
                    <w:t xml:space="preserve">0.69</w:t>
                  </w:r>
                </w:p>
              </w:tc>
              <w:tc>
                <w:tcPr/>
                <w:p>
                  <w:pPr>
                    <w:pStyle w:val="Compact"/>
                    <w:jc w:val="left"/>
                    <w:jc w:val="left"/>
                  </w:pPr>
                  <w:r>
                    <w:t xml:space="preserve">0.60</w:t>
                  </w:r>
                </w:p>
              </w:tc>
              <w:tc>
                <w:tcPr/>
                <w:p>
                  <w:pPr>
                    <w:pStyle w:val="Compact"/>
                    <w:jc w:val="left"/>
                    <w:jc w:val="left"/>
                  </w:pPr>
                  <w:r>
                    <w:t xml:space="preserve">1</w:t>
                  </w:r>
                </w:p>
              </w:tc>
              <w:tc>
                <w:tcPr/>
                <w:p>
                  <w:pPr>
                    <w:pStyle w:val="Compact"/>
                    <w:jc w:val="left"/>
                    <w:jc w:val="left"/>
                  </w:pPr>
                  <w:r>
                    <w:t xml:space="preserve">9.57</w:t>
                  </w:r>
                </w:p>
              </w:tc>
              <w:tc>
                <w:tcPr/>
                <w:p>
                  <w:pPr>
                    <w:pStyle w:val="Compact"/>
                    <w:jc w:val="left"/>
                    <w:jc w:val="left"/>
                  </w:pPr>
                  <w:r>
                    <w:t xml:space="preserve">2.09</w:t>
                  </w:r>
                </w:p>
              </w:tc>
              <w:tc>
                <w:tcPr/>
                <w:p>
                  <w:pPr>
                    <w:pStyle w:val="Compact"/>
                    <w:jc w:val="left"/>
                    <w:jc w:val="left"/>
                  </w:pPr>
                  <w:r>
                    <w:t xml:space="preserve">17.05</w:t>
                  </w:r>
                </w:p>
              </w:tc>
              <w:tc>
                <w:tcPr/>
                <w:p>
                  <w:pPr>
                    <w:pStyle w:val="Compact"/>
                    <w:jc w:val="left"/>
                    <w:jc w:val="left"/>
                  </w:pPr>
                  <w:r>
                    <w:t xml:space="preserve">11.67</w:t>
                  </w:r>
                </w:p>
              </w:tc>
              <w:tc>
                <w:tcPr/>
                <w:p>
                  <w:pPr>
                    <w:pStyle w:val="Compact"/>
                    <w:jc w:val="left"/>
                    <w:jc w:val="left"/>
                  </w:pPr>
                  <w:r>
                    <w:t xml:space="preserve">iNEXT incidence_raw (Extrapolation)</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bl>
          <w:p>
            <w:pPr>
              <w:jc w:val="left"/>
            </w:pPr>
            <w:pPr>
              <w:jc w:val="start"/>
              <w:spacing w:before="200"/>
              <w:pStyle w:val="ImageCaption"/>
            </w:pPr>
            <w:r>
              <w:t xml:space="preserve">Table S 47: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5"/>
        </w:tc>
      </w:tr>
    </w:tbl>
    <w:tbl>
      <w:tblPr>
        <w:tblStyle w:val="Table"/>
        <w:tblW w:type="pct" w:w="5000"/>
        <w:tblLook w:firstRow="0" w:lastRow="0" w:firstColumn="0" w:lastColumn="0" w:noHBand="0" w:noVBand="0" w:val="0000"/>
        <w:jc w:val="start"/>
        <w:tblLayout w:type="fixed"/>
      </w:tblPr>
      <w:tblGrid>
        <w:gridCol w:w="7920"/>
      </w:tblGrid>
      <w:tr>
        <w:tc>
          <w:tcPr/>
          <w:bookmarkStart w:id="259" w:name="fig-rarefaction"/>
          <w:p>
            <w:pPr>
              <w:pStyle w:val="Compact"/>
              <w:jc w:val="left"/>
            </w:pPr>
            <w:r>
              <w:drawing>
                <wp:inline>
                  <wp:extent cx="5943600" cy="3396342"/>
                  <wp:effectExtent b="0" l="0" r="0" t="0"/>
                  <wp:docPr descr="" title="" id="257" name="Picture"/>
                  <a:graphic>
                    <a:graphicData uri="http://schemas.openxmlformats.org/drawingml/2006/picture">
                      <pic:pic>
                        <pic:nvPicPr>
                          <pic:cNvPr descr="S1-supplement-sensitivity_files/figure-docx/fig-rarefaction-1.png" id="258" name="Picture"/>
                          <pic:cNvPicPr>
                            <a:picLocks noChangeArrowheads="1" noChangeAspect="1"/>
                          </pic:cNvPicPr>
                        </pic:nvPicPr>
                        <pic:blipFill>
                          <a:blip r:embed="rId256"/>
                          <a:stretch>
                            <a:fillRect/>
                          </a:stretch>
                        </pic:blipFill>
                        <pic:spPr bwMode="auto">
                          <a:xfrm>
                            <a:off x="0" y="0"/>
                            <a:ext cx="5943600" cy="339634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9"/>
        </w:tc>
      </w:tr>
    </w:tbl>
    <w:bookmarkEnd w:id="260"/>
    <w:bookmarkStart w:id="261"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1"/>
    <w:bookmarkEnd w:id="262"/>
    <w:bookmarkStart w:id="266" w:name="sec-s12-4"/>
    <w:p>
      <w:pPr>
        <w:pStyle w:val="Heading2"/>
      </w:pPr>
      <w:r>
        <w:t xml:space="preserve">S1.12.5 Negative-binomial regression with object-count covariate</w:t>
      </w:r>
    </w:p>
    <w:bookmarkStart w:id="264"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3" w:name="tbl-mixed-nb"/>
          <w:tbl>
            <w:tblPr>
              <w:tblStyle w:val="Table"/>
              <w:tblW w:type="pct" w:w="5000"/>
              <w:tblLook w:firstRow="1" w:lastRow="0" w:firstColumn="0" w:lastColumn="0" w:noHBand="0" w:noVBand="0" w:val="0020"/>
              <w:jc w:val="start"/>
              <w:tblLayout w:type="fixed"/>
            </w:tblPr>
            <w:tblGrid>
              <w:gridCol w:w="2376"/>
              <w:gridCol w:w="1425"/>
              <w:gridCol w:w="1346"/>
              <w:gridCol w:w="1425"/>
              <w:gridCol w:w="1346"/>
            </w:tblGrid>
            <w:tr>
              <w:trPr>
                <w:tblHeader w:val="true"/>
              </w:trPr>
              <w:tc>
                <w:tcPr/>
                <w:p>
                  <w:pPr>
                    <w:pStyle w:val="Compact"/>
                    <w:jc w:val="left"/>
                    <w:jc w:val="left"/>
                  </w:pPr>
                  <w:r>
                    <w:t xml:space="preserve">Term</w:t>
                  </w:r>
                </w:p>
              </w:tc>
              <w:tc>
                <w:tcPr/>
                <w:p>
                  <w:pPr>
                    <w:pStyle w:val="Compact"/>
                    <w:jc w:val="left"/>
                    <w:jc w:val="left"/>
                  </w:pPr>
                  <w:r>
                    <w:t xml:space="preserve">log-rate (offset)</w:t>
                  </w:r>
                </w:p>
              </w:tc>
              <w:tc>
                <w:tcPr/>
                <w:p>
                  <w:pPr>
                    <w:pStyle w:val="Compact"/>
                    <w:jc w:val="left"/>
                    <w:jc w:val="left"/>
                  </w:pPr>
                  <w:r>
                    <w:t xml:space="preserve">rate ratio (offset)</w:t>
                  </w:r>
                </w:p>
              </w:tc>
              <w:tc>
                <w:tcPr/>
                <w:p>
                  <w:pPr>
                    <w:pStyle w:val="Compact"/>
                    <w:jc w:val="left"/>
                    <w:jc w:val="left"/>
                  </w:pPr>
                  <w:r>
                    <w:t xml:space="preserve">log-rate (free slope)</w:t>
                  </w:r>
                </w:p>
              </w:tc>
              <w:tc>
                <w:tcPr/>
                <w:p>
                  <w:pPr>
                    <w:pStyle w:val="Compact"/>
                    <w:jc w:val="left"/>
                    <w:jc w:val="left"/>
                  </w:pPr>
                  <w:r>
                    <w:t xml:space="preserve">rate ratio (free slope)</w:t>
                  </w:r>
                </w:p>
              </w:tc>
            </w:tr>
            <w:tr>
              <w:tc>
                <w:tcPr/>
                <w:p>
                  <w:pPr>
                    <w:pStyle w:val="Compact"/>
                    <w:jc w:val="left"/>
                    <w:jc w:val="left"/>
                  </w:pPr>
                  <w:r>
                    <w:t xml:space="preserve">Intercept</w:t>
                  </w:r>
                </w:p>
              </w:tc>
              <w:tc>
                <w:tcPr/>
                <w:p>
                  <w:pPr>
                    <w:pStyle w:val="Compact"/>
                    <w:jc w:val="left"/>
                    <w:jc w:val="left"/>
                  </w:pPr>
                  <w:r>
                    <w:t xml:space="preserve">-0.455</w:t>
                  </w:r>
                </w:p>
              </w:tc>
              <w:tc>
                <w:tcPr/>
                <w:p>
                  <w:pPr>
                    <w:pStyle w:val="Compact"/>
                    <w:jc w:val="left"/>
                    <w:jc w:val="left"/>
                  </w:pPr>
                  <w:r>
                    <w:t xml:space="preserve">0.635</w:t>
                  </w:r>
                </w:p>
              </w:tc>
              <w:tc>
                <w:tcPr/>
                <w:p>
                  <w:pPr>
                    <w:pStyle w:val="Compact"/>
                    <w:jc w:val="left"/>
                    <w:jc w:val="left"/>
                  </w:pPr>
                  <w:r>
                    <w:t xml:space="preserve">0.085</w:t>
                  </w:r>
                </w:p>
              </w:tc>
              <w:tc>
                <w:tcPr/>
                <w:p>
                  <w:pPr>
                    <w:pStyle w:val="Compact"/>
                    <w:jc w:val="left"/>
                    <w:jc w:val="left"/>
                  </w:pPr>
                  <w:r>
                    <w:t xml:space="preserve">1.089</w:t>
                  </w:r>
                </w:p>
              </w:tc>
            </w:tr>
            <w:tr>
              <w:tc>
                <w:tcPr/>
                <w:p>
                  <w:pPr>
                    <w:pStyle w:val="Compact"/>
                    <w:jc w:val="left"/>
                    <w:jc w:val="left"/>
                  </w:pPr>
                  <w:r>
                    <w:t xml:space="preserve">Group (broad vs restricted)</w:t>
                  </w:r>
                </w:p>
              </w:tc>
              <w:tc>
                <w:tcPr/>
                <w:p>
                  <w:pPr>
                    <w:pStyle w:val="Compact"/>
                    <w:jc w:val="left"/>
                    <w:jc w:val="left"/>
                  </w:pPr>
                  <w:r>
                    <w:t xml:space="preserve">-0.329</w:t>
                  </w:r>
                </w:p>
              </w:tc>
              <w:tc>
                <w:tcPr/>
                <w:p>
                  <w:pPr>
                    <w:pStyle w:val="Compact"/>
                    <w:jc w:val="left"/>
                    <w:jc w:val="left"/>
                  </w:pPr>
                  <w:r>
                    <w:t xml:space="preserve">0.720</w:t>
                  </w:r>
                </w:p>
              </w:tc>
              <w:tc>
                <w:tcPr/>
                <w:p>
                  <w:pPr>
                    <w:pStyle w:val="Compact"/>
                    <w:jc w:val="left"/>
                    <w:jc w:val="left"/>
                  </w:pPr>
                  <w:r>
                    <w:t xml:space="preserve">0.838</w:t>
                  </w:r>
                </w:p>
              </w:tc>
              <w:tc>
                <w:tcPr/>
                <w:p>
                  <w:pPr>
                    <w:pStyle w:val="Compact"/>
                    <w:jc w:val="left"/>
                    <w:jc w:val="left"/>
                  </w:pPr>
                  <w:r>
                    <w:t xml:space="preserve">2.311</w:t>
                  </w:r>
                </w:p>
              </w:tc>
            </w:tr>
            <w:tr>
              <w:tc>
                <w:tcPr/>
                <w:p>
                  <w:pPr>
                    <w:pStyle w:val="Compact"/>
                    <w:jc w:val="left"/>
                    <w:jc w:val="left"/>
                  </w:pPr>
                  <w:r>
                    <w:t xml:space="preserve">Phase (Aur-P2 vs Aur-P1)</w:t>
                  </w:r>
                </w:p>
              </w:tc>
              <w:tc>
                <w:tcPr/>
                <w:p>
                  <w:pPr>
                    <w:pStyle w:val="Compact"/>
                    <w:jc w:val="left"/>
                    <w:jc w:val="left"/>
                  </w:pPr>
                  <w:r>
                    <w:t xml:space="preserve">0.238</w:t>
                  </w:r>
                </w:p>
              </w:tc>
              <w:tc>
                <w:tcPr/>
                <w:p>
                  <w:pPr>
                    <w:pStyle w:val="Compact"/>
                    <w:jc w:val="left"/>
                    <w:jc w:val="left"/>
                  </w:pPr>
                  <w:r>
                    <w:t xml:space="preserve">1.269</w:t>
                  </w:r>
                </w:p>
              </w:tc>
              <w:tc>
                <w:tcPr/>
                <w:p>
                  <w:pPr>
                    <w:pStyle w:val="Compact"/>
                    <w:jc w:val="left"/>
                    <w:jc w:val="left"/>
                  </w:pPr>
                  <w:r>
                    <w:t xml:space="preserve">0.130</w:t>
                  </w:r>
                </w:p>
              </w:tc>
              <w:tc>
                <w:tcPr/>
                <w:p>
                  <w:pPr>
                    <w:pStyle w:val="Compact"/>
                    <w:jc w:val="left"/>
                    <w:jc w:val="left"/>
                  </w:pPr>
                  <w:r>
                    <w:t xml:space="preserve">1.139</w:t>
                  </w:r>
                </w:p>
              </w:tc>
            </w:tr>
            <w:tr>
              <w:tc>
                <w:tcPr/>
                <w:p>
                  <w:pPr>
                    <w:pStyle w:val="Compact"/>
                    <w:jc w:val="left"/>
                    <w:jc w:val="left"/>
                  </w:pPr>
                  <w:r>
                    <w:t xml:space="preserve">log(objects) exponent (free-slope only)</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0.377</w:t>
                  </w:r>
                </w:p>
              </w:tc>
              <w:tc>
                <w:tcPr/>
                <w:p>
                  <w:pPr>
                    <w:pStyle w:val="Compact"/>
                    <w:jc w:val="left"/>
                    <w:jc w:val="left"/>
                  </w:pPr>
                  <w:r>
                    <w:t xml:space="preserve">1.459</w:t>
                  </w:r>
                </w:p>
              </w:tc>
            </w:tr>
          </w:tbl>
          <w:p>
            <w:pPr>
              <w:jc w:val="left"/>
            </w:pPr>
            <w:pPr>
              <w:jc w:val="start"/>
              <w:spacing w:before="200"/>
              <w:pStyle w:val="ImageCaption"/>
            </w:pPr>
            <w:r>
              <w:t xml:space="preserve">Table S 48: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5"/>
    <w:bookmarkEnd w:id="266"/>
    <w:bookmarkStart w:id="274" w:name="sec-s12-5"/>
    <w:p>
      <w:pPr>
        <w:pStyle w:val="Heading2"/>
      </w:pPr>
      <w:r>
        <w:t xml:space="preserve">S1.12.6 Equal-effort pool comparison (iNEXT)</w:t>
      </w:r>
    </w:p>
    <w:bookmarkStart w:id="272" w:name="rationale-24"/>
    <w:p>
      <w:pPr>
        <w:pStyle w:val="Heading3"/>
      </w:pPr>
      <w:r>
        <w:t xml:space="preserve">Rationale</w:t>
      </w:r>
    </w:p>
    <w:p>
      <w:pPr>
        <w:pStyle w:val="FirstParagraph"/>
      </w:pPr>
      <w:r>
        <w:t xml:space="preserve">The main-text Discussion asks whether the larger sign-type pool in Aur-P1 (26 types) than in Aur-P2 (15 types) could reflect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7" w:name="tbl-pool-inext"/>
          <w:tbl>
            <w:tblPr>
              <w:tblStyle w:val="Table"/>
              <w:tblW w:type="pct" w:w="5000"/>
              <w:tblLook w:firstRow="1" w:lastRow="0" w:firstColumn="0" w:lastColumn="0" w:noHBand="0" w:noVBand="0" w:val="0020"/>
              <w:jc w:val="start"/>
              <w:tblLayout w:type="fixed"/>
            </w:tblPr>
            <w:tblGrid>
              <w:gridCol w:w="1425"/>
              <w:gridCol w:w="950"/>
              <w:gridCol w:w="950"/>
              <w:gridCol w:w="1108"/>
              <w:gridCol w:w="950"/>
              <w:gridCol w:w="950"/>
              <w:gridCol w:w="1584"/>
            </w:tblGrid>
            <w:tr>
              <w:trPr>
                <w:tblHeader w:val="true"/>
              </w:trPr>
              <w:tc>
                <w:tcPr/>
                <w:p>
                  <w:pPr>
                    <w:pStyle w:val="Compact"/>
                    <w:jc w:val="left"/>
                    <w:jc w:val="left"/>
                  </w:pPr>
                  <w:r>
                    <w:t xml:space="preserve">Object-type set</w:t>
                  </w:r>
                </w:p>
              </w:tc>
              <w:tc>
                <w:tcPr/>
                <w:p>
                  <w:pPr>
                    <w:pStyle w:val="Compact"/>
                    <w:jc w:val="left"/>
                    <w:jc w:val="left"/>
                  </w:pPr>
                  <w:r>
                    <w:t xml:space="preserve">Phase</w:t>
                  </w:r>
                </w:p>
              </w:tc>
              <w:tc>
                <w:tcPr/>
                <w:p>
                  <w:pPr>
                    <w:pStyle w:val="Compact"/>
                    <w:jc w:val="left"/>
                    <w:jc w:val="left"/>
                  </w:pPr>
                  <w:r>
                    <w:t xml:space="preserve">m (objects)</w:t>
                  </w:r>
                </w:p>
              </w:tc>
              <w:tc>
                <w:tcPr/>
                <w:p>
                  <w:pPr>
                    <w:pStyle w:val="Compact"/>
                    <w:jc w:val="left"/>
                    <w:jc w:val="left"/>
                  </w:pPr>
                  <w:r>
                    <w:t xml:space="preserve">Richness (qD)</w:t>
                  </w:r>
                </w:p>
              </w:tc>
              <w:tc>
                <w:tcPr/>
                <w:p>
                  <w:pPr>
                    <w:pStyle w:val="Compact"/>
                    <w:jc w:val="left"/>
                    <w:jc w:val="left"/>
                  </w:pPr>
                  <w:r>
                    <w:t xml:space="preserve">LCL</w:t>
                  </w:r>
                </w:p>
              </w:tc>
              <w:tc>
                <w:tcPr/>
                <w:p>
                  <w:pPr>
                    <w:pStyle w:val="Compact"/>
                    <w:jc w:val="left"/>
                    <w:jc w:val="left"/>
                  </w:pPr>
                  <w:r>
                    <w:t xml:space="preserve">UCL</w:t>
                  </w:r>
                </w:p>
              </w:tc>
              <w:tc>
                <w:tcPr/>
                <w:p>
                  <w:pPr>
                    <w:pStyle w:val="Compact"/>
                    <w:jc w:val="left"/>
                    <w:jc w:val="left"/>
                  </w:pPr>
                  <w:r>
                    <w:t xml:space="preserve">Method</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16.9</w:t>
                  </w:r>
                </w:p>
              </w:tc>
              <w:tc>
                <w:tcPr/>
                <w:p>
                  <w:pPr>
                    <w:pStyle w:val="Compact"/>
                    <w:jc w:val="left"/>
                    <w:jc w:val="left"/>
                  </w:pPr>
                  <w:r>
                    <w:t xml:space="preserve">15.5</w:t>
                  </w:r>
                </w:p>
              </w:tc>
              <w:tc>
                <w:tcPr/>
                <w:p>
                  <w:pPr>
                    <w:pStyle w:val="Compact"/>
                    <w:jc w:val="left"/>
                    <w:jc w:val="left"/>
                  </w:pPr>
                  <w:r>
                    <w:t xml:space="preserve">18.3</w:t>
                  </w:r>
                </w:p>
              </w:tc>
              <w:tc>
                <w:tcPr/>
                <w:p>
                  <w:pPr>
                    <w:pStyle w:val="Compact"/>
                    <w:jc w:val="left"/>
                    <w:jc w:val="left"/>
                  </w:pPr>
                  <w:r>
                    <w:t xml:space="preserve">Rarefaction</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346</w:t>
                  </w:r>
                </w:p>
              </w:tc>
              <w:tc>
                <w:tcPr/>
                <w:p>
                  <w:pPr>
                    <w:pStyle w:val="Compact"/>
                    <w:jc w:val="left"/>
                    <w:jc w:val="left"/>
                  </w:pPr>
                  <w:r>
                    <w:t xml:space="preserve">26.0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all types</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11.5</w:t>
                  </w:r>
                </w:p>
              </w:tc>
              <w:tc>
                <w:tcPr/>
                <w:p>
                  <w:pPr>
                    <w:pStyle w:val="Compact"/>
                    <w:jc w:val="left"/>
                    <w:jc w:val="left"/>
                  </w:pPr>
                  <w:r>
                    <w:t xml:space="preserve">18.5</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15.4</w:t>
                  </w:r>
                </w:p>
              </w:tc>
              <w:tc>
                <w:tcPr/>
                <w:p>
                  <w:pPr>
                    <w:pStyle w:val="Compact"/>
                    <w:jc w:val="left"/>
                    <w:jc w:val="left"/>
                  </w:pPr>
                  <w:r>
                    <w:t xml:space="preserve">13.6</w:t>
                  </w:r>
                </w:p>
              </w:tc>
              <w:tc>
                <w:tcPr/>
                <w:p>
                  <w:pPr>
                    <w:pStyle w:val="Compact"/>
                    <w:jc w:val="left"/>
                    <w:jc w:val="left"/>
                  </w:pPr>
                  <w:r>
                    <w:t xml:space="preserve">17.1</w:t>
                  </w:r>
                </w:p>
              </w:tc>
              <w:tc>
                <w:tcPr/>
                <w:p>
                  <w:pPr>
                    <w:pStyle w:val="Compact"/>
                    <w:jc w:val="left"/>
                    <w:jc w:val="left"/>
                  </w:pPr>
                  <w:r>
                    <w:t xml:space="preserve">Rarefaction</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220</w:t>
                  </w:r>
                </w:p>
              </w:tc>
              <w:tc>
                <w:tcPr/>
                <w:p>
                  <w:pPr>
                    <w:pStyle w:val="Compact"/>
                    <w:jc w:val="left"/>
                    <w:jc w:val="left"/>
                  </w:pPr>
                  <w:r>
                    <w:t xml:space="preserve">22.0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11.3</w:t>
                  </w:r>
                </w:p>
              </w:tc>
              <w:tc>
                <w:tcPr/>
                <w:p>
                  <w:pPr>
                    <w:pStyle w:val="Compact"/>
                    <w:jc w:val="left"/>
                    <w:jc w:val="left"/>
                  </w:pPr>
                  <w:r>
                    <w:t xml:space="preserve">18.7</w:t>
                  </w:r>
                </w:p>
              </w:tc>
              <w:tc>
                <w:tcPr/>
                <w:p>
                  <w:pPr>
                    <w:pStyle w:val="Compact"/>
                    <w:jc w:val="left"/>
                    <w:jc w:val="left"/>
                  </w:pPr>
                  <w:r>
                    <w:t xml:space="preserve">Observed</w:t>
                  </w:r>
                </w:p>
              </w:tc>
            </w:tr>
          </w:tbl>
          <w:p>
            <w:pPr>
              <w:jc w:val="left"/>
            </w:pPr>
            <w:pPr>
              <w:jc w:val="start"/>
              <w:spacing w:before="200"/>
              <w:pStyle w:val="ImageCaption"/>
            </w:pPr>
            <w:r>
              <w:t xml:space="preserve">Table S 49: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pool-inext"/>
          <w:p>
            <w:pPr>
              <w:pStyle w:val="Compact"/>
              <w:jc w:val="left"/>
            </w:pPr>
            <w:r>
              <w:drawing>
                <wp:inline>
                  <wp:extent cx="5943600" cy="3566160"/>
                  <wp:effectExtent b="0" l="0" r="0" t="0"/>
                  <wp:docPr descr="" title="" id="269" name="Picture"/>
                  <a:graphic>
                    <a:graphicData uri="http://schemas.openxmlformats.org/drawingml/2006/picture">
                      <pic:pic>
                        <pic:nvPicPr>
                          <pic:cNvPr descr="S1-supplement-sensitivity_files/figure-docx/fig-pool-inext-1.png" id="270" name="Picture"/>
                          <pic:cNvPicPr>
                            <a:picLocks noChangeArrowheads="1" noChangeAspect="1"/>
                          </pic:cNvPicPr>
                        </pic:nvPicPr>
                        <pic:blipFill>
                          <a:blip r:embed="rId26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1"/>
        </w:tc>
      </w:tr>
    </w:tbl>
    <w:bookmarkEnd w:id="272"/>
    <w:bookmarkStart w:id="273"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3"/>
    <w:bookmarkEnd w:id="274"/>
    <w:bookmarkStart w:id="284" w:name="sec-s12-6"/>
    <w:p>
      <w:pPr>
        <w:pStyle w:val="Heading2"/>
      </w:pPr>
      <w:r>
        <w:t xml:space="preserve">S1.12.7 Figurine Exclusion</w:t>
      </w:r>
    </w:p>
    <w:bookmarkStart w:id="282" w:name="rationale-25"/>
    <w:p>
      <w:pPr>
        <w:pStyle w:val="Heading3"/>
      </w:pPr>
      <w:r>
        <w:t xml:space="preserve">Rationale</w:t>
      </w:r>
    </w:p>
    <w:p>
      <w:pPr>
        <w:pStyle w:val="FirstParagraph"/>
      </w:pPr>
      <w:r>
        <w:t xml:space="preserve">Bentz and Dutkiewicz</w:t>
      </w:r>
      <w:r>
        <w:t xml:space="preserve"> </w:t>
      </w:r>
      <w:r>
        <w:t xml:space="preserve">[28]</w:t>
      </w:r>
      <w:r>
        <w:t xml:space="preserve"> </w:t>
      </w:r>
      <w:r>
        <w:t xml:space="preserve">argue that ivory figurines in the Swabian Aurignacian carry sign sequences with higher information density than tools. If figurines encode different sign repertoires than other object types, their inclusion could bias site-level sign assemblages,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5" w:name="tbl-figurine-count"/>
          <w:tbl>
            <w:tblPr>
              <w:tblStyle w:val="Table"/>
              <w:tblW w:type="pct" w:w="5000"/>
              <w:tblLook w:firstRow="1" w:lastRow="0" w:firstColumn="0" w:lastColumn="0" w:noHBand="0" w:noVBand="0" w:val="0020"/>
              <w:jc w:val="start"/>
              <w:tblLayout w:type="fixed"/>
            </w:tblPr>
            <w:tblGrid>
              <w:gridCol w:w="792"/>
              <w:gridCol w:w="2059"/>
              <w:gridCol w:w="1029"/>
              <w:gridCol w:w="1029"/>
              <w:gridCol w:w="950"/>
              <w:gridCol w:w="950"/>
              <w:gridCol w:w="110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figurine zoomorph</w:t>
                  </w:r>
                </w:p>
              </w:tc>
              <w:tc>
                <w:tcPr/>
                <w:p>
                  <w:pPr>
                    <w:pStyle w:val="Compact"/>
                    <w:jc w:val="left"/>
                    <w:jc w:val="left"/>
                  </w:pPr>
                  <w:r>
                    <w:t xml:space="preserve">figurine anthropomorph</w:t>
                  </w:r>
                </w:p>
              </w:tc>
              <w:tc>
                <w:tcPr/>
                <w:p>
                  <w:pPr>
                    <w:pStyle w:val="Compact"/>
                    <w:jc w:val="left"/>
                    <w:jc w:val="left"/>
                  </w:pPr>
                  <w:r>
                    <w:t xml:space="preserve">figurine undet.</w:t>
                  </w:r>
                </w:p>
              </w:tc>
              <w:tc>
                <w:tcPr/>
                <w:p>
                  <w:pPr>
                    <w:pStyle w:val="Compact"/>
                    <w:jc w:val="left"/>
                    <w:jc w:val="left"/>
                  </w:pPr>
                  <w:r>
                    <w:t xml:space="preserve">possible figurine</w:t>
                  </w:r>
                </w:p>
              </w:tc>
              <w:tc>
                <w:tcPr/>
                <w:p>
                  <w:pPr>
                    <w:pStyle w:val="Compact"/>
                    <w:jc w:val="left"/>
                    <w:jc w:val="left"/>
                  </w:pPr>
                  <w:r>
                    <w:t xml:space="preserve">Total</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19</w:t>
                  </w:r>
                </w:p>
              </w:tc>
              <w:tc>
                <w:tcPr/>
                <w:p>
                  <w:pPr>
                    <w:pStyle w:val="Compact"/>
                    <w:jc w:val="left"/>
                    <w:jc w:val="left"/>
                  </w:pPr>
                  <w:r>
                    <w:t xml:space="preserve">1</w:t>
                  </w:r>
                </w:p>
              </w:tc>
              <w:tc>
                <w:tcPr/>
                <w:p>
                  <w:pPr>
                    <w:pStyle w:val="Compact"/>
                    <w:jc w:val="left"/>
                    <w:jc w:val="left"/>
                  </w:pPr>
                  <w:r>
                    <w:t xml:space="preserve">8</w:t>
                  </w:r>
                </w:p>
              </w:tc>
              <w:tc>
                <w:tcPr/>
                <w:p>
                  <w:pPr>
                    <w:pStyle w:val="Compact"/>
                    <w:jc w:val="left"/>
                    <w:jc w:val="left"/>
                  </w:pPr>
                  <w:r>
                    <w:t xml:space="preserve">22</w:t>
                  </w:r>
                </w:p>
              </w:tc>
              <w:tc>
                <w:tcPr/>
                <w:p>
                  <w:pPr>
                    <w:pStyle w:val="Compact"/>
                    <w:jc w:val="left"/>
                    <w:jc w:val="left"/>
                  </w:pPr>
                  <w:r>
                    <w:t xml:space="preserve">50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0</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4</w:t>
                  </w:r>
                </w:p>
              </w:tc>
            </w:tr>
          </w:tbl>
          <w:p>
            <w:pPr>
              <w:jc w:val="left"/>
            </w:pPr>
            <w:pPr>
              <w:jc w:val="start"/>
              <w:spacing w:before="200"/>
              <w:pStyle w:val="ImageCaption"/>
            </w:pPr>
            <w:r>
              <w:t xml:space="preserve">Table S 50: Distribution of figurine objects across phases and sites. Figurine types include figurine zoomorph, figurine anthropomorph, figurine undet., and possible figurine.</w:t>
            </w:r>
          </w:p>
          <w:bookmarkEnd w:id="275"/>
        </w:tc>
      </w:tr>
    </w:tbl>
    <w:p>
      <w:pPr>
        <w:pStyle w:val="BodyText"/>
      </w:pPr>
      <w:hyperlink w:anchor="tbl-figurine-count">
        <w:r>
          <w:rPr>
            <w:rStyle w:val="Hyperlink"/>
          </w:rPr>
          <w:t xml:space="preserve">Table S 50</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all Hohle Fels objects from AH IV and Iid, fall within Aur-P2 under the layer-level assignment. The analysis therefore tests whether the Aur-P1 network structure, which has the higher mean degree (7.5),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6" w:name="tbl-exclude-figurines"/>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Exclude all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all figurines</w:t>
                  </w:r>
                </w:p>
              </w:tc>
            </w:tr>
          </w:tbl>
          <w:p>
            <w:pPr>
              <w:jc w:val="left"/>
            </w:pPr>
            <w:pPr>
              <w:jc w:val="start"/>
              <w:spacing w:before="200"/>
              <w:pStyle w:val="ImageCaption"/>
            </w:pPr>
            <w:r>
              <w:t xml:space="preserve">Table S 51: Network statistics before and after excluding all figurine objects (figurine zoomorph, figurine anthropomorph, figurine undet., and possible figurine).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figurine-sites-lost"/>
          <w:tbl>
            <w:tblPr>
              <w:tblStyle w:val="Table"/>
              <w:tblW w:type="pct" w:w="5000"/>
              <w:tblLook w:firstRow="1" w:lastRow="0" w:firstColumn="0" w:lastColumn="0" w:noHBand="0" w:noVBand="0" w:val="0020"/>
              <w:jc w:val="start"/>
              <w:tblLayout w:type="fixed"/>
            </w:tblPr>
            <w:tblGrid>
              <w:gridCol w:w="1742"/>
              <w:gridCol w:w="2059"/>
              <w:gridCol w:w="2376"/>
              <w:gridCol w:w="1742"/>
            </w:tblGrid>
            <w:tr>
              <w:trPr>
                <w:tblHeader w:val="true"/>
              </w:trPr>
              <w:tc>
                <w:tcPr/>
                <w:p>
                  <w:pPr>
                    <w:pStyle w:val="Compact"/>
                    <w:jc w:val="left"/>
                    <w:jc w:val="left"/>
                  </w:pPr>
                  <w:r>
                    <w:t xml:space="preserve">Phase</w:t>
                  </w:r>
                </w:p>
              </w:tc>
              <w:tc>
                <w:tcPr/>
                <w:p>
                  <w:pPr>
                    <w:pStyle w:val="Compact"/>
                    <w:jc w:val="left"/>
                    <w:jc w:val="left"/>
                  </w:pPr>
                  <w:r>
                    <w:t xml:space="preserve">Sites (all)</w:t>
                  </w:r>
                </w:p>
              </w:tc>
              <w:tc>
                <w:tcPr/>
                <w:p>
                  <w:pPr>
                    <w:pStyle w:val="Compact"/>
                    <w:jc w:val="left"/>
                    <w:jc w:val="left"/>
                  </w:pPr>
                  <w:r>
                    <w:t xml:space="preserve">Sites (no figurines)</w:t>
                  </w:r>
                </w:p>
              </w:tc>
              <w:tc>
                <w:tcPr/>
                <w:p>
                  <w:pPr>
                    <w:pStyle w:val="Compact"/>
                    <w:jc w:val="left"/>
                    <w:jc w:val="left"/>
                  </w:pPr>
                  <w:r>
                    <w:t xml:space="preserve">Sites lost</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20</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9</w:t>
                  </w:r>
                </w:p>
              </w:tc>
              <w:tc>
                <w:tcPr/>
                <w:p>
                  <w:pPr>
                    <w:pStyle w:val="Compact"/>
                    <w:jc w:val="left"/>
                    <w:jc w:val="left"/>
                  </w:pPr>
                  <w:r>
                    <w:t xml:space="preserve">0</w:t>
                  </w:r>
                </w:p>
              </w:tc>
            </w:tr>
          </w:tbl>
          <w:p>
            <w:pPr>
              <w:jc w:val="left"/>
            </w:pPr>
            <w:pPr>
              <w:jc w:val="start"/>
              <w:spacing w:before="200"/>
              <w:pStyle w:val="ImageCaption"/>
            </w:pPr>
            <w:r>
              <w:t xml:space="preserve">Table S 52: Number of sites per phase before and after figurine exclusion. Sites are lost when all objects at that site are figurines.</w:t>
            </w:r>
          </w:p>
          <w:bookmarkEnd w:id="277"/>
        </w:tc>
      </w:tr>
    </w:tbl>
    <w:p>
      <w:pPr>
        <w:pStyle w:val="BodyText"/>
      </w:pPr>
      <w:r>
        <w:rPr>
          <w:bCs/>
          <w:b/>
        </w:rPr>
        <w:t xml:space="preserve">Result under all-figurine exclusion.</w:t>
      </w:r>
      <w:r>
        <w:t xml:space="preserve"> </w:t>
      </w:r>
      <w:r>
        <w:t xml:space="preserve">Excluding all 63 figurines has only a small effect on the Aur-P1 network: the number of edges changes from 75 to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the site where figurines are most concentrated,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8" w:name="tbl-vogelherd-exclude"/>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Exclude Vogelherd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Vogelherd figurines</w:t>
                  </w:r>
                </w:p>
              </w:tc>
            </w:tr>
          </w:tbl>
          <w:p>
            <w:pPr>
              <w:jc w:val="left"/>
            </w:pPr>
            <w:pPr>
              <w:jc w:val="start"/>
              <w:spacing w:before="200"/>
              <w:pStyle w:val="ImageCaption"/>
            </w:pPr>
            <w:r>
              <w:t xml:space="preserve">Table S 53: Network statistics before and after excluding figurines from Vogelherd only. All other figurines (Hohle Fels, Geissenklösterle, Hohlenstein-Stadel, La Ferrassie) are retained. Threshold = 0.2, Jaccard similarity.</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vogelherd-objects"/>
          <w:tbl>
            <w:tblPr>
              <w:tblStyle w:val="Table"/>
              <w:tblW w:type="pct" w:w="5000"/>
              <w:tblLook w:firstRow="1" w:lastRow="0" w:firstColumn="0" w:lastColumn="0" w:noHBand="0" w:noVBand="0" w:val="0020"/>
              <w:jc w:val="start"/>
              <w:tblLayout w:type="fixed"/>
            </w:tblPr>
            <w:tblGrid>
              <w:gridCol w:w="1900"/>
              <w:gridCol w:w="2059"/>
              <w:gridCol w:w="2376"/>
              <w:gridCol w:w="1584"/>
            </w:tblGrid>
            <w:tr>
              <w:trPr>
                <w:tblHeader w:val="true"/>
              </w:trPr>
              <w:tc>
                <w:tcPr/>
                <w:p>
                  <w:pPr>
                    <w:pStyle w:val="Compact"/>
                    <w:jc w:val="left"/>
                    <w:jc w:val="left"/>
                  </w:pPr>
                  <w:r>
                    <w:t xml:space="preserve">Phase</w:t>
                  </w:r>
                </w:p>
              </w:tc>
              <w:tc>
                <w:tcPr/>
                <w:p>
                  <w:pPr>
                    <w:pStyle w:val="Compact"/>
                    <w:jc w:val="left"/>
                    <w:jc w:val="left"/>
                  </w:pPr>
                  <w:r>
                    <w:t xml:space="preserve">Objects (all)</w:t>
                  </w:r>
                </w:p>
              </w:tc>
              <w:tc>
                <w:tcPr/>
                <w:p>
                  <w:pPr>
                    <w:pStyle w:val="Compact"/>
                    <w:jc w:val="left"/>
                    <w:jc w:val="left"/>
                  </w:pPr>
                  <w:r>
                    <w:t xml:space="preserve">Objects (no figurines)</w:t>
                  </w:r>
                </w:p>
              </w:tc>
              <w:tc>
                <w:tcPr/>
                <w:p>
                  <w:pPr>
                    <w:pStyle w:val="Compact"/>
                    <w:jc w:val="left"/>
                    <w:jc w:val="left"/>
                  </w:pPr>
                  <w:r>
                    <w:t xml:space="preserve">Removed</w:t>
                  </w:r>
                </w:p>
              </w:tc>
            </w:tr>
            <w:tr>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123</w:t>
                  </w:r>
                </w:p>
              </w:tc>
              <w:tc>
                <w:tcPr/>
                <w:p>
                  <w:pPr>
                    <w:pStyle w:val="Compact"/>
                    <w:jc w:val="left"/>
                    <w:jc w:val="left"/>
                  </w:pPr>
                  <w:r>
                    <w:t xml:space="preserve">50</w:t>
                  </w:r>
                </w:p>
              </w:tc>
            </w:tr>
          </w:tbl>
          <w:p>
            <w:pPr>
              <w:jc w:val="left"/>
            </w:pPr>
            <w:pPr>
              <w:jc w:val="start"/>
              <w:spacing w:before="200"/>
              <w:pStyle w:val="ImageCaption"/>
            </w:pPr>
            <w:r>
              <w:t xml:space="preserve">Table S 54: Vogelherd object counts before and after removing figurines. Non-figurine objects at Vogelherd (tools, plaquettes, etc.) are retained.</w:t>
            </w:r>
          </w:p>
          <w:bookmarkEnd w:id="279"/>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the number of edges changes from 75 to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mean degree is essentially unchanged. The figurines at Hohle Fels (4, 4), Geissenklösterle (3), Hohlenstein-Stadel (1) and La Ferrassie (1) do not change the number of edges or the mean degree. They do change the finer structure of the Aur-P1 network. When they are removed together with the Vogelherd figurines, transitivity falls from 0.706 to 0.683 and modularity falls from 0.333 to 0.318 (</w:t>
      </w:r>
      <w:hyperlink w:anchor="tbl-objtype-joint">
        <w:r>
          <w:rPr>
            <w:rStyle w:val="Hyperlink"/>
          </w:rPr>
          <w:t xml:space="preserve">Table S 55</w:t>
        </w:r>
      </w:hyperlink>
      <w:r>
        <w:t xml:space="preserve">). The 4 Hohle Fels figurines assigned to Aur-P2 leave that phase’s network unchanged. Within Aur-P1, the connectivity of Vogelherd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0" w:name="tbl-objtype-joint"/>
          <w:tbl>
            <w:tblPr>
              <w:tblStyle w:val="Table"/>
              <w:tblW w:type="pct" w:w="5000"/>
              <w:tblLook w:firstRow="1" w:lastRow="0" w:firstColumn="0" w:lastColumn="0" w:noHBand="0" w:noVBand="0" w:val="0020"/>
              <w:jc w:val="start"/>
              <w:tblLayout w:type="fixed"/>
            </w:tblPr>
            <w:tblGrid>
              <w:gridCol w:w="792"/>
              <w:gridCol w:w="1742"/>
              <w:gridCol w:w="633"/>
              <w:gridCol w:w="633"/>
              <w:gridCol w:w="1029"/>
              <w:gridCol w:w="1108"/>
              <w:gridCol w:w="1108"/>
              <w:gridCol w:w="871"/>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Δ mean degree (%)</w:t>
                  </w:r>
                </w:p>
              </w:tc>
            </w:tr>
            <w:tr>
              <w:tc>
                <w:tcPr/>
                <w:p>
                  <w:pPr>
                    <w:pStyle w:val="Compact"/>
                    <w:jc w:val="left"/>
                    <w:jc w:val="left"/>
                  </w:pPr>
                  <w:r>
                    <w:t xml:space="preserve">Aur-P1</w:t>
                  </w:r>
                </w:p>
              </w:tc>
              <w:tc>
                <w:tcPr/>
                <w:p>
                  <w:pPr>
                    <w:pStyle w:val="Compact"/>
                    <w:jc w:val="left"/>
                    <w:jc w:val="left"/>
                  </w:pPr>
                  <w:r>
                    <w:t xml:space="preserve">Baseline (all objects)</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0.0</w:t>
                  </w:r>
                </w:p>
              </w:tc>
            </w:tr>
            <w:tr>
              <w:tc>
                <w:tcPr/>
                <w:p>
                  <w:pPr>
                    <w:pStyle w:val="Compact"/>
                    <w:jc w:val="left"/>
                    <w:jc w:val="left"/>
                  </w:pPr>
                  <w:r>
                    <w:t xml:space="preserve">Aur-P2</w:t>
                  </w:r>
                </w:p>
              </w:tc>
              <w:tc>
                <w:tcPr/>
                <w:p>
                  <w:pPr>
                    <w:pStyle w:val="Compact"/>
                    <w:jc w:val="left"/>
                    <w:jc w:val="left"/>
                  </w:pPr>
                  <w:r>
                    <w:t xml:space="preserve">Baseline (all objects)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all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all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Vogelherd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Vogelherd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bl>
          <w:p>
            <w:pPr>
              <w:jc w:val="left"/>
            </w:pPr>
            <w:pPr>
              <w:jc w:val="start"/>
              <w:spacing w:before="200"/>
              <w:pStyle w:val="ImageCaption"/>
            </w:pPr>
            <w:r>
              <w:t xml:space="preserve">Table S 55: Side-by-side comparison of network statistics across all conditions: baseline (all objects), exclude all figurines, and exclude Vogelherd figurines only. The rightmost columns show the percentage change in mean degree from baseline.</w:t>
            </w:r>
          </w:p>
          <w:bookmarkEnd w:id="280"/>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55</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1" w:name="tbl-meandegree-summary"/>
          <w:tbl>
            <w:tblPr>
              <w:tblStyle w:val="Table"/>
              <w:tblW w:type="pct" w:w="5000"/>
              <w:tblLook w:firstRow="1" w:lastRow="0" w:firstColumn="0" w:lastColumn="0" w:noHBand="0" w:noVBand="0" w:val="0020"/>
              <w:jc w:val="start"/>
              <w:tblLayout w:type="fixed"/>
            </w:tblPr>
            <w:tblGrid>
              <w:gridCol w:w="1029"/>
              <w:gridCol w:w="1742"/>
              <w:gridCol w:w="1425"/>
              <w:gridCol w:w="871"/>
              <w:gridCol w:w="1742"/>
              <w:gridCol w:w="1108"/>
            </w:tblGrid>
            <w:tr>
              <w:trPr>
                <w:tblHeader w:val="true"/>
              </w:trPr>
              <w:tc>
                <w:tcPr/>
                <w:p>
                  <w:pPr>
                    <w:pStyle w:val="Compact"/>
                    <w:jc w:val="left"/>
                    <w:jc w:val="left"/>
                  </w:pPr>
                  <w:r>
                    <w:t xml:space="preserve">Phase</w:t>
                  </w:r>
                </w:p>
              </w:tc>
              <w:tc>
                <w:tcPr/>
                <w:p>
                  <w:pPr>
                    <w:pStyle w:val="Compact"/>
                    <w:jc w:val="left"/>
                    <w:jc w:val="left"/>
                  </w:pPr>
                  <w:r>
                    <w:t xml:space="preserve">Baseline mean degree</w:t>
                  </w:r>
                </w:p>
              </w:tc>
              <w:tc>
                <w:tcPr/>
                <w:p>
                  <w:pPr>
                    <w:pStyle w:val="Compact"/>
                    <w:jc w:val="left"/>
                    <w:jc w:val="left"/>
                  </w:pPr>
                  <w:r>
                    <w:t xml:space="preserve">No figurines</w:t>
                  </w:r>
                </w:p>
              </w:tc>
              <w:tc>
                <w:tcPr/>
                <w:p>
                  <w:pPr>
                    <w:pStyle w:val="Compact"/>
                    <w:jc w:val="left"/>
                    <w:jc w:val="left"/>
                  </w:pPr>
                  <w:r>
                    <w:t xml:space="preserve">Δ</w:t>
                  </w:r>
                </w:p>
              </w:tc>
              <w:tc>
                <w:tcPr/>
                <w:p>
                  <w:pPr>
                    <w:pStyle w:val="Compact"/>
                    <w:jc w:val="left"/>
                    <w:jc w:val="left"/>
                  </w:pPr>
                  <w:r>
                    <w:t xml:space="preserve">Vogelherd only</w:t>
                  </w:r>
                </w:p>
              </w:tc>
              <w:tc>
                <w:tcPr/>
                <w:p>
                  <w:pPr>
                    <w:pStyle w:val="Compact"/>
                    <w:jc w:val="left"/>
                    <w:jc w:val="left"/>
                  </w:pPr>
                  <w:r>
                    <w:t xml:space="preserve">Δ</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7.40</w:t>
                  </w:r>
                </w:p>
              </w:tc>
              <w:tc>
                <w:tcPr/>
                <w:p>
                  <w:pPr>
                    <w:pStyle w:val="Compact"/>
                    <w:jc w:val="left"/>
                    <w:jc w:val="left"/>
                  </w:pPr>
                  <w:r>
                    <w:t xml:space="preserve">-1.3%</w:t>
                  </w:r>
                </w:p>
              </w:tc>
              <w:tc>
                <w:tcPr/>
                <w:p>
                  <w:pPr>
                    <w:pStyle w:val="Compact"/>
                    <w:jc w:val="left"/>
                    <w:jc w:val="left"/>
                  </w:pPr>
                  <w:r>
                    <w:t xml:space="preserve">7.40</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4.22</w:t>
                  </w:r>
                </w:p>
              </w:tc>
              <w:tc>
                <w:tcPr/>
                <w:p>
                  <w:pPr>
                    <w:pStyle w:val="Compact"/>
                    <w:jc w:val="left"/>
                    <w:jc w:val="left"/>
                  </w:pPr>
                  <w:r>
                    <w:t xml:space="preserve">0.0%</w:t>
                  </w:r>
                </w:p>
              </w:tc>
              <w:tc>
                <w:tcPr/>
                <w:p>
                  <w:pPr>
                    <w:pStyle w:val="Compact"/>
                    <w:jc w:val="left"/>
                    <w:jc w:val="left"/>
                  </w:pPr>
                  <w:r>
                    <w:t xml:space="preserve">4.22</w:t>
                  </w:r>
                </w:p>
              </w:tc>
              <w:tc>
                <w:tcPr/>
                <w:p>
                  <w:pPr>
                    <w:pStyle w:val="Compact"/>
                    <w:jc w:val="left"/>
                    <w:jc w:val="left"/>
                  </w:pPr>
                  <w:r>
                    <w:t xml:space="preserve">0.0%</w:t>
                  </w:r>
                </w:p>
              </w:tc>
            </w:tr>
          </w:tbl>
          <w:p>
            <w:pPr>
              <w:jc w:val="left"/>
            </w:pPr>
            <w:pPr>
              <w:jc w:val="start"/>
              <w:spacing w:before="200"/>
              <w:pStyle w:val="ImageCaption"/>
            </w:pPr>
            <w:r>
              <w:t xml:space="preserve">Table S 56: Mean degree by figurine-exclusion condition, with percentage change from baseline. Reproduced directly from the joint comparison in</w:t>
            </w:r>
            <w:r>
              <w:t xml:space="preserve"> </w:t>
            </w:r>
            <w:hyperlink w:anchor="tbl-objtype-joint">
              <w:r>
                <w:rPr>
                  <w:rStyle w:val="Hyperlink"/>
                </w:rPr>
                <w:t xml:space="preserve">Table S 55</w:t>
              </w:r>
            </w:hyperlink>
            <w:r>
              <w:t xml:space="preserve">.</w:t>
            </w:r>
          </w:p>
          <w:bookmarkEnd w:id="281"/>
        </w:tc>
      </w:tr>
    </w:tbl>
    <w:bookmarkEnd w:id="282"/>
    <w:bookmarkStart w:id="283"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changes the number of Aur-P1 edges from 75 to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raw mean-degree ordering Aur-P1 &gt; Aur-P2 (7.5 &gt; 4.22) is unchanged when all figurines are excluded (7.4 &gt; 4.22), so Aur-P1 keeps the higher raw mean degree;</w:t>
      </w:r>
      <w:r>
        <w:t xml:space="preserve"> </w:t>
      </w:r>
      <w:r>
        <w:t xml:space="preserve">Section S1.7.6</w:t>
      </w:r>
      <w:r>
        <w:t xml:space="preserve"> </w:t>
      </w:r>
      <w:r>
        <w:t xml:space="preserve">shows that this difference reflects network size.</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higher raw mean degree of Aur-P1, the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 the argument of Bentz and Dutkiewicz</w:t>
      </w:r>
      <w:r>
        <w:t xml:space="preserve"> </w:t>
      </w:r>
      <w:r>
        <w:t xml:space="preserve">[28]</w:t>
      </w:r>
      <w:r>
        <w:t xml:space="preserve"> </w:t>
      </w:r>
      <w:r>
        <w:t xml:space="preserve">that figurines carry high-information sign sequences, but the communities themselves are defined by shared sign types across all object types.</w:t>
      </w:r>
    </w:p>
    <w:bookmarkEnd w:id="283"/>
    <w:bookmarkEnd w:id="284"/>
    <w:bookmarkStart w:id="285"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mean network modularity falls: in Aur-P1 to 0.09 at k = 10, against 0.336 at baseline, and in Aur-P2 to near zero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large broad-range assemblages keep their group under downsampling. The test cannot show the same for restricted assemblages, because no restricted Aur-P1 site has more than 4 objects. Gargas, the largest restricted Aur-P2 site (11 objects), keeps its group in only 3% of the replicates at k = 10. For the many small assemblages, the division is partly an artefact of how many objects were recovered. The raw 26 vs 15 pool contraction does not survive equal-effort standardisation.</w:t>
      </w:r>
    </w:p>
    <w:bookmarkEnd w:id="285"/>
    <w:bookmarkEnd w:id="286"/>
    <w:bookmarkStart w:id="295" w:name="sec-s-power"/>
    <w:p>
      <w:pPr>
        <w:pStyle w:val="Heading1"/>
      </w:pPr>
      <w:r>
        <w:t xml:space="preserve">S1.13 Design Sensitivity: Minimum Detectable Effects</w:t>
      </w:r>
    </w:p>
    <w:bookmarkStart w:id="287" w:name="sec-s-power-rationale"/>
    <w:p>
      <w:pPr>
        <w:pStyle w:val="Heading2"/>
      </w:pPr>
      <w:r>
        <w:t xml:space="preserve">S1.13.1 Rationale</w:t>
      </w:r>
    </w:p>
    <w:p>
      <w:pPr>
        <w:pStyle w:val="FirstParagraph"/>
      </w:pPr>
      <w:r>
        <w:t xml:space="preserve">The main text reports three headline tests: the per-phase Mantel isolation-by-distance tests, the restricted/broad PerMANOVA tests and the Aur-P1 versus Aur-P2 network phase contrast. All of them are non-significant except the Aur-P1 PerMANOVA (p = 0.001;</w:t>
      </w:r>
      <w:r>
        <w:t xml:space="preserve"> </w:t>
      </w:r>
      <w:hyperlink w:anchor="tbl-permanova-comparison">
        <w:r>
          <w:rPr>
            <w:rStyle w:val="Hyperlink"/>
          </w:rPr>
          <w:t xml:space="preserve">Table S 21</w:t>
        </w:r>
      </w:hyperlink>
      <w:r>
        <w:t xml:space="preserve">).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[17]</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7"/>
    <w:bookmarkStart w:id="293"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8" w:name="tbl-power-mde"/>
          <w:tbl>
            <w:tblPr>
              <w:tblStyle w:val="Table"/>
              <w:tblW w:type="pct" w:w="5000"/>
              <w:tblLook w:firstRow="1" w:lastRow="0" w:firstColumn="0" w:lastColumn="0" w:noHBand="0" w:noVBand="0" w:val="0020"/>
              <w:jc w:val="start"/>
              <w:tblLayout w:type="fixed"/>
            </w:tblPr>
            <w:tblGrid>
              <w:gridCol w:w="1742"/>
              <w:gridCol w:w="1425"/>
              <w:gridCol w:w="1584"/>
              <w:gridCol w:w="1584"/>
              <w:gridCol w:w="1584"/>
            </w:tblGrid>
            <w:tr>
              <w:trPr>
                <w:tblHeader w:val="true"/>
              </w:trPr>
              <w:tc>
                <w:tcPr/>
                <w:p>
                  <w:pPr>
                    <w:pStyle w:val="Compact"/>
                    <w:jc w:val="left"/>
                    <w:jc w:val="left"/>
                  </w:pPr>
                  <w:r>
                    <w:t xml:space="preserve">Test</w:t>
                  </w:r>
                </w:p>
              </w:tc>
              <w:tc>
                <w:tcPr/>
                <w:p>
                  <w:pPr>
                    <w:pStyle w:val="Compact"/>
                    <w:jc w:val="left"/>
                    <w:jc w:val="left"/>
                  </w:pPr>
                  <w:r>
                    <w:t xml:space="preserve">N</w:t>
                  </w:r>
                </w:p>
              </w:tc>
              <w:tc>
                <w:tcPr/>
                <w:p>
                  <w:pPr>
                    <w:pStyle w:val="Compact"/>
                    <w:jc w:val="left"/>
                    <w:jc w:val="left"/>
                  </w:pPr>
                  <w:r>
                    <w:t xml:space="preserve">Effect metric</w:t>
                  </w:r>
                </w:p>
              </w:tc>
              <w:tc>
                <w:tcPr/>
                <w:p>
                  <w:pPr>
                    <w:pStyle w:val="Compact"/>
                    <w:jc w:val="left"/>
                    <w:jc w:val="left"/>
                  </w:pPr>
                  <w:r>
                    <w:t xml:space="preserve">MDE at 80% power</w:t>
                  </w:r>
                </w:p>
              </w:tc>
              <w:tc>
                <w:tcPr/>
                <w:p>
                  <w:pPr>
                    <w:pStyle w:val="Compact"/>
                    <w:jc w:val="left"/>
                    <w:jc w:val="left"/>
                  </w:pPr>
                  <w:r>
                    <w:t xml:space="preserve">Power at medium effect</w:t>
                  </w:r>
                </w:p>
              </w:tc>
            </w:tr>
            <w:tr>
              <w:tc>
                <w:tcPr/>
                <w:p>
                  <w:pPr>
                    <w:pStyle w:val="Compact"/>
                    <w:jc w:val="left"/>
                    <w:jc w:val="left"/>
                  </w:pPr>
                  <w:r>
                    <w:t xml:space="preserve">Mantel Aur-P1</w:t>
                  </w:r>
                </w:p>
              </w:tc>
              <w:tc>
                <w:tcPr/>
                <w:p>
                  <w:pPr>
                    <w:pStyle w:val="Compact"/>
                    <w:jc w:val="left"/>
                    <w:jc w:val="left"/>
                  </w:pPr>
                  <w:r>
                    <w:t xml:space="preserve">20 sites (190 pairs)</w:t>
                  </w:r>
                </w:p>
              </w:tc>
              <w:tc>
                <w:tcPr/>
                <w:p>
                  <w:pPr>
                    <w:pStyle w:val="Compact"/>
                    <w:jc w:val="left"/>
                    <w:jc w:val="left"/>
                  </w:pPr>
                  <w:r>
                    <w:t xml:space="preserve">Mantel rho</w:t>
                  </w:r>
                </w:p>
              </w:tc>
              <w:tc>
                <w:tcPr/>
                <w:p>
                  <w:pPr>
                    <w:pStyle w:val="Compact"/>
                    <w:jc w:val="left"/>
                    <w:jc w:val="left"/>
                  </w:pPr>
                  <w:r>
                    <w:t xml:space="preserve">0.34</w:t>
                  </w:r>
                </w:p>
              </w:tc>
              <w:tc>
                <w:tcPr/>
                <w:p>
                  <w:pPr>
                    <w:pStyle w:val="Compact"/>
                    <w:jc w:val="left"/>
                    <w:jc w:val="left"/>
                  </w:pPr>
                  <w:r>
                    <w:t xml:space="preserve">0.76</w:t>
                  </w:r>
                </w:p>
              </w:tc>
            </w:tr>
            <w:tr>
              <w:tc>
                <w:tcPr/>
                <w:p>
                  <w:pPr>
                    <w:pStyle w:val="Compact"/>
                    <w:jc w:val="left"/>
                    <w:jc w:val="left"/>
                  </w:pPr>
                  <w:r>
                    <w:t xml:space="preserve">Mantel Aur-P2</w:t>
                  </w:r>
                </w:p>
              </w:tc>
              <w:tc>
                <w:tcPr/>
                <w:p>
                  <w:pPr>
                    <w:pStyle w:val="Compact"/>
                    <w:jc w:val="left"/>
                    <w:jc w:val="left"/>
                  </w:pPr>
                  <w:r>
                    <w:t xml:space="preserve">9 sites (36 pairs)</w:t>
                  </w:r>
                </w:p>
              </w:tc>
              <w:tc>
                <w:tcPr/>
                <w:p>
                  <w:pPr>
                    <w:pStyle w:val="Compact"/>
                    <w:jc w:val="left"/>
                    <w:jc w:val="left"/>
                  </w:pPr>
                  <w:r>
                    <w:t xml:space="preserve">Mantel rho</w:t>
                  </w:r>
                </w:p>
              </w:tc>
              <w:tc>
                <w:tcPr/>
                <w:p>
                  <w:pPr>
                    <w:pStyle w:val="Compact"/>
                    <w:jc w:val="left"/>
                    <w:jc w:val="left"/>
                  </w:pPr>
                  <w:r>
                    <w:t xml:space="preserve">0.50</w:t>
                  </w:r>
                </w:p>
              </w:tc>
              <w:tc>
                <w:tcPr/>
                <w:p>
                  <w:pPr>
                    <w:pStyle w:val="Compact"/>
                    <w:jc w:val="left"/>
                    <w:jc w:val="left"/>
                  </w:pPr>
                  <w:r>
                    <w:t xml:space="preserve">0.39</w:t>
                  </w:r>
                </w:p>
              </w:tc>
            </w:tr>
            <w:tr>
              <w:tc>
                <w:tcPr/>
                <w:p>
                  <w:pPr>
                    <w:pStyle w:val="Compact"/>
                    <w:jc w:val="left"/>
                    <w:jc w:val="left"/>
                  </w:pPr>
                  <w:r>
                    <w:t xml:space="preserve">PerMANOVA Aur-P1 (9 vs 11)</w:t>
                  </w:r>
                </w:p>
              </w:tc>
              <w:tc>
                <w:tcPr/>
                <w:p>
                  <w:pPr>
                    <w:pStyle w:val="Compact"/>
                    <w:jc w:val="left"/>
                    <w:jc w:val="left"/>
                  </w:pPr>
                  <w:r>
                    <w:t xml:space="preserve">9 vs 11 sites</w:t>
                  </w:r>
                </w:p>
              </w:tc>
              <w:tc>
                <w:tcPr/>
                <w:p>
                  <w:pPr>
                    <w:pStyle w:val="Compact"/>
                    <w:jc w:val="left"/>
                    <w:jc w:val="left"/>
                  </w:pPr>
                  <w:r>
                    <w:t xml:space="preserve">PerMANOVA R² (total)</w:t>
                  </w:r>
                </w:p>
              </w:tc>
              <w:tc>
                <w:tcPr/>
                <w:p>
                  <w:pPr>
                    <w:pStyle w:val="Compact"/>
                    <w:jc w:val="left"/>
                    <w:jc w:val="left"/>
                  </w:pPr>
                  <w:r>
                    <w:t xml:space="preserve">0.10</w:t>
                  </w:r>
                </w:p>
              </w:tc>
              <w:tc>
                <w:tcPr/>
                <w:p>
                  <w:pPr>
                    <w:pStyle w:val="Compact"/>
                    <w:jc w:val="left"/>
                    <w:jc w:val="left"/>
                  </w:pPr>
                  <w:r>
                    <w:t xml:space="preserve">0.97</w:t>
                  </w:r>
                </w:p>
              </w:tc>
            </w:tr>
            <w:tr>
              <w:tc>
                <w:tcPr/>
                <w:p>
                  <w:pPr>
                    <w:pStyle w:val="Compact"/>
                    <w:jc w:val="left"/>
                    <w:jc w:val="left"/>
                  </w:pPr>
                  <w:r>
                    <w:t xml:space="preserve">PerMANOVA Aur-P2 (6 vs 3)</w:t>
                  </w:r>
                </w:p>
              </w:tc>
              <w:tc>
                <w:tcPr/>
                <w:p>
                  <w:pPr>
                    <w:pStyle w:val="Compact"/>
                    <w:jc w:val="left"/>
                    <w:jc w:val="left"/>
                  </w:pPr>
                  <w:r>
                    <w:t xml:space="preserve">6 vs 3 sites</w:t>
                  </w:r>
                </w:p>
              </w:tc>
              <w:tc>
                <w:tcPr/>
                <w:p>
                  <w:pPr>
                    <w:pStyle w:val="Compact"/>
                    <w:jc w:val="left"/>
                    <w:jc w:val="left"/>
                  </w:pPr>
                  <w:r>
                    <w:t xml:space="preserve">PerMANOVA R² (total)</w:t>
                  </w:r>
                </w:p>
              </w:tc>
              <w:tc>
                <w:tcPr/>
                <w:p>
                  <w:pPr>
                    <w:pStyle w:val="Compact"/>
                    <w:jc w:val="left"/>
                    <w:jc w:val="left"/>
                  </w:pPr>
                  <w:r>
                    <w:t xml:space="preserve">0.26</w:t>
                  </w:r>
                </w:p>
              </w:tc>
              <w:tc>
                <w:tcPr/>
                <w:p>
                  <w:pPr>
                    <w:pStyle w:val="Compact"/>
                    <w:jc w:val="left"/>
                    <w:jc w:val="left"/>
                  </w:pPr>
                  <w:r>
                    <w:t xml:space="preserve">0.05</w:t>
                  </w:r>
                </w:p>
              </w:tc>
            </w:tr>
            <w:tr>
              <w:tc>
                <w:tcPr/>
                <w:p>
                  <w:pPr>
                    <w:pStyle w:val="Compact"/>
                    <w:jc w:val="left"/>
                    <w:jc w:val="left"/>
                  </w:pPr>
                  <w:r>
                    <w:t xml:space="preserve">Network density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0.28</w:t>
                  </w:r>
                </w:p>
              </w:tc>
              <w:tc>
                <w:tcPr/>
                <w:p>
                  <w:pPr>
                    <w:pStyle w:val="Compact"/>
                    <w:jc w:val="left"/>
                    <w:jc w:val="left"/>
                  </w:pPr>
                  <w:r>
                    <w:t xml:space="preserve">0.10</w:t>
                  </w:r>
                </w:p>
              </w:tc>
            </w:tr>
            <w:tr>
              <w:tc>
                <w:tcPr/>
                <w:p>
                  <w:pPr>
                    <w:pStyle w:val="Compact"/>
                    <w:jc w:val="left"/>
                    <w:jc w:val="left"/>
                  </w:pPr>
                  <w:r>
                    <w:t xml:space="preserve">Network modularity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0.12</w:t>
                  </w:r>
                </w:p>
              </w:tc>
            </w:tr>
            <w:tr>
              <w:tc>
                <w:tcPr/>
                <w:p>
                  <w:pPr>
                    <w:pStyle w:val="Compact"/>
                    <w:jc w:val="left"/>
                    <w:jc w:val="left"/>
                  </w:pPr>
                  <w:r>
                    <w:t xml:space="preserve">Network betweenness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0.01</w:t>
                  </w:r>
                </w:p>
              </w:tc>
            </w:tr>
            <w:tr>
              <w:tc>
                <w:tcPr/>
                <w:p>
                  <w:pPr>
                    <w:pStyle w:val="Compact"/>
                    <w:jc w:val="left"/>
                    <w:jc w:val="left"/>
                  </w:pPr>
                  <w:r>
                    <w:t xml:space="preserve">Network components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0.10</w:t>
                  </w:r>
                </w:p>
              </w:tc>
            </w:tr>
          </w:tbl>
          <w:p>
            <w:pPr>
              <w:jc w:val="left"/>
            </w:pPr>
            <w:pPr>
              <w:jc w:val="start"/>
              <w:spacing w:before="200"/>
              <w:pStyle w:val="ImageCaption"/>
            </w:pPr>
            <w:r>
              <w:t xml:space="preserve">Table S 57: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8"/>
        </w:tc>
      </w:tr>
    </w:tbl>
    <w:tbl>
      <w:tblPr>
        <w:tblStyle w:val="Table"/>
        <w:tblW w:type="pct" w:w="5000"/>
        <w:tblLook w:firstRow="0" w:lastRow="0" w:firstColumn="0" w:lastColumn="0" w:noHBand="0" w:noVBand="0" w:val="0000"/>
        <w:jc w:val="start"/>
        <w:tblLayout w:type="fixed"/>
      </w:tblPr>
      <w:tblGrid>
        <w:gridCol w:w="7920"/>
      </w:tblGrid>
      <w:tr>
        <w:tc>
          <w:tcPr/>
          <w:bookmarkStart w:id="292" w:name="fig-power-curves"/>
          <w:p>
            <w:pPr>
              <w:pStyle w:val="Compact"/>
              <w:jc w:val="left"/>
            </w:pPr>
            <w:r>
              <w:drawing>
                <wp:inline>
                  <wp:extent cx="5943600" cy="4622800"/>
                  <wp:effectExtent b="0" l="0" r="0" t="0"/>
                  <wp:docPr descr="" title="" id="290" name="Picture"/>
                  <a:graphic>
                    <a:graphicData uri="http://schemas.openxmlformats.org/drawingml/2006/picture">
                      <pic:pic>
                        <pic:nvPicPr>
                          <pic:cNvPr descr="S1-supplement-sensitivity_files/figure-docx/fig-power-curves-1.png" id="291" name="Picture"/>
                          <pic:cNvPicPr>
                            <a:picLocks noChangeArrowheads="1" noChangeAspect="1"/>
                          </pic:cNvPicPr>
                        </pic:nvPicPr>
                        <pic:blipFill>
                          <a:blip r:embed="rId289"/>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57</w:t>
              </w:r>
            </w:hyperlink>
            <w:r>
              <w:t xml:space="preserve">. Curves are simulation estimates (Mantel and PerMANOVA: B = 300 with 99 permutations; network: B = 200 with 99 permutations).</w:t>
            </w:r>
          </w:p>
          <w:bookmarkEnd w:id="292"/>
        </w:tc>
      </w:tr>
    </w:tbl>
    <w:bookmarkEnd w:id="293"/>
    <w:bookmarkStart w:id="294"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57</w:t>
        </w:r>
      </w:hyperlink>
      <w:r>
        <w:t xml:space="preserve"> </w:t>
      </w:r>
      <w:r>
        <w:t xml:space="preserve">can be excluded.</w:t>
      </w:r>
    </w:p>
    <w:bookmarkEnd w:id="294"/>
    <w:bookmarkEnd w:id="295"/>
    <w:bookmarkStart w:id="36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9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Sørensen-Dice, and Simpson in</w:t>
      </w:r>
      <w:r>
        <w:t xml:space="preserve"> </w:t>
      </w:r>
      <w:r>
        <w:t xml:space="preserve">Section S1.3</w:t>
      </w:r>
      <w:r>
        <w:t xml:space="preserve">. In</w:t>
      </w:r>
      <w:r>
        <w:t xml:space="preserve"> </w:t>
      </w:r>
      <w:r>
        <w:t xml:space="preserve">Section S1.4</w:t>
      </w:r>
      <w:r>
        <w:t xml:space="preserve">, the Mantel tests find no isolation-by-distance correlation in either phase, under geodesic or Euclidean distance (</w:t>
      </w:r>
      <w:hyperlink w:anchor="tbl-geodesic-mantel">
        <w:r>
          <w:rPr>
            <w:rStyle w:val="Hyperlink"/>
          </w:rPr>
          <w:t xml:space="preserve">Table S 6</w:t>
        </w:r>
      </w:hyperlink>
      <w:r>
        <w:t xml:space="preserve">). The distance-based redundancy analysis finds a weak linear geographic trend in Aur-P1 (adjusted R² = 0.057, p = 0.038) and no trend in Aur-P2 (p = 0.850;</w:t>
      </w:r>
      <w:r>
        <w:t xml:space="preserve"> </w:t>
      </w:r>
      <w:hyperlink w:anchor="tbl-dbrda">
        <w:r>
          <w:rPr>
            <w:rStyle w:val="Hyperlink"/>
          </w:rPr>
          <w:t xml:space="preserve">Table S 7</w:t>
        </w:r>
      </w:hyperlink>
      <w:r>
        <w:t xml:space="preserve">). The mean-degree ordering also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S1.9.2</w:t>
      </w:r>
      <w:r>
        <w:t xml:space="preserve"> </w:t>
      </w:r>
      <w:r>
        <w:t xml:space="preserve">show that the restricted/broad axis is stable under resampling, most clearly in Aur-P1. In Aur-P1, stochastic block models select more than one block under the Bernoulli, Gaussian and Poisson specifications (K = 3, 4 and 3), and the Bernoulli and Gaussian models place Labeko Koba, Les Cottés and Trou al’Wesse in a small separate block. In Aur-P2 the Bernoulli and Poisson models select a single block. None of these multi-block preferences exceeds the Curveball null (</w:t>
      </w:r>
      <w:r>
        <w:t xml:space="preserve">Section S1.9.4</w:t>
      </w:r>
      <w:r>
        <w:t xml:space="preserve">), and the seriation order does not exceed it either (</w:t>
      </w:r>
      <w:r>
        <w:t xml:space="preserve">Section S1.9.5</w:t>
      </w:r>
      <w:r>
        <w:t xml:space="preserve">). Withheld-data validation in</w:t>
      </w:r>
      <w:r>
        <w:t xml:space="preserve"> </w:t>
      </w:r>
      <w:r>
        <w:t xml:space="preserve">Section S1.10</w:t>
      </w:r>
      <w:r>
        <w:t xml:space="preserve"> </w:t>
      </w:r>
      <w:r>
        <w:t xml:space="preserve">finds no separation beyond richness structure under the fixed-fixed null, and Simpson turnover shows no separation in either phase. The supported claim is a dominant richness axis, recoverable from disjoint objects at well-sampled sites, not discrete groups or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broad-range assemblages keep their group under downsampling, while 4 restricted sites keep it in fewer than half of the replicates at k = 3 (</w:t>
      </w:r>
      <w:hyperlink w:anchor="tbl-retention">
        <w:r>
          <w:rPr>
            <w:rStyle w:val="Hyperlink"/>
          </w:rPr>
          <w:t xml:space="preserve">Table S 45</w:t>
        </w:r>
      </w:hyperlink>
      <w:r>
        <w:t xml:space="preserve">). Sites with one or two objects cannot be downsampled and never reach comparable coverage. The raw Aur-P1 versus Aur-P2 pool difference is not distinguishable from sampling variation at equal effort. Figurine exclusion is the exception and leaves the ordering intact.</w:t>
      </w:r>
    </w:p>
    <w:bookmarkStart w:id="360" w:name="references-cited"/>
    <w:p>
      <w:pPr>
        <w:pStyle w:val="Heading2"/>
      </w:pPr>
      <w:r>
        <w:t xml:space="preserve">References cited</w:t>
      </w:r>
    </w:p>
    <w:bookmarkStart w:id="359" w:name="refs"/>
    <w:bookmarkStart w:id="29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 Stat Softw. 2007;22: 1–19. doi:</w:t>
      </w:r>
      <w:hyperlink r:id="rId296">
        <w:r>
          <w:rPr>
            <w:rStyle w:val="Hyperlink"/>
          </w:rPr>
          <w:t xml:space="preserve">10.18637/jss.v022.i07</w:t>
        </w:r>
      </w:hyperlink>
    </w:p>
    <w:bookmarkEnd w:id="297"/>
    <w:bookmarkStart w:id="299"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 Monogr. 1999;69: 1–24. doi:</w:t>
      </w:r>
      <w:hyperlink r:id="rId298">
        <w:r>
          <w:rPr>
            <w:rStyle w:val="Hyperlink"/>
          </w:rPr>
          <w:t xml:space="preserve">10.1890/0012-9615(1999)069[0001:DBRATM]2.0.CO;2</w:t>
        </w:r>
      </w:hyperlink>
    </w:p>
    <w:bookmarkEnd w:id="299"/>
    <w:bookmarkStart w:id="301"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hyperlink r:id="rId300">
        <w:r>
          <w:rPr>
            <w:rStyle w:val="Hyperlink"/>
          </w:rPr>
          <w:t xml:space="preserve">10.1016/j.quascirev.2021.106995</w:t>
        </w:r>
      </w:hyperlink>
    </w:p>
    <w:bookmarkEnd w:id="301"/>
    <w:bookmarkStart w:id="303"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 Paleolit Archaeol. 2018;1: 107–138. doi:</w:t>
      </w:r>
      <w:hyperlink r:id="rId302">
        <w:r>
          <w:rPr>
            <w:rStyle w:val="Hyperlink"/>
          </w:rPr>
          <w:t xml:space="preserve">10.1007/s41982-017-0004-4</w:t>
        </w:r>
      </w:hyperlink>
    </w:p>
    <w:bookmarkEnd w:id="303"/>
    <w:bookmarkStart w:id="305"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304">
        <w:r>
          <w:rPr>
            <w:rStyle w:val="Hyperlink"/>
          </w:rPr>
          <w:t xml:space="preserve">10.30861/9781841718309</w:t>
        </w:r>
      </w:hyperlink>
    </w:p>
    <w:bookmarkEnd w:id="305"/>
    <w:bookmarkStart w:id="307"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306">
        <w:r>
          <w:rPr>
            <w:rStyle w:val="Hyperlink"/>
          </w:rPr>
          <w:t xml:space="preserve">10.1016/j.jhevol.2011.06.005</w:t>
        </w:r>
      </w:hyperlink>
    </w:p>
    <w:bookmarkEnd w:id="307"/>
    <w:bookmarkStart w:id="309"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308">
        <w:r>
          <w:rPr>
            <w:rStyle w:val="Hyperlink"/>
          </w:rPr>
          <w:t xml:space="preserve">10.1002/jqs.3236</w:t>
        </w:r>
      </w:hyperlink>
    </w:p>
    <w:bookmarkEnd w:id="309"/>
    <w:bookmarkStart w:id="310"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r>
        <w:t xml:space="preserve"> </w:t>
      </w:r>
    </w:p>
    <w:bookmarkEnd w:id="310"/>
    <w:bookmarkStart w:id="312"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pp. 41–74. doi:</w:t>
      </w:r>
      <w:hyperlink r:id="rId311">
        <w:r>
          <w:rPr>
            <w:rStyle w:val="Hyperlink"/>
          </w:rPr>
          <w:t xml:space="preserve">10.1007/978-3-211-49294-9_4</w:t>
        </w:r>
      </w:hyperlink>
    </w:p>
    <w:bookmarkEnd w:id="312"/>
    <w:bookmarkStart w:id="314"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313">
        <w:r>
          <w:rPr>
            <w:rStyle w:val="Hyperlink"/>
          </w:rPr>
          <w:t xml:space="preserve">10.1038/nature03585</w:t>
        </w:r>
      </w:hyperlink>
    </w:p>
    <w:bookmarkEnd w:id="314"/>
    <w:bookmarkStart w:id="316"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315">
        <w:r>
          <w:rPr>
            <w:rStyle w:val="Hyperlink"/>
          </w:rPr>
          <w:t xml:space="preserve">10.1007/s41982-025-00246-x</w:t>
        </w:r>
      </w:hyperlink>
    </w:p>
    <w:bookmarkEnd w:id="316"/>
    <w:bookmarkStart w:id="318" w:name="ref-Blondel_2008"/>
    <w:p>
      <w:pPr>
        <w:pStyle w:val="Bibliography"/>
      </w:pPr>
      <w:r>
        <w:t xml:space="preserve">12.</w:t>
      </w:r>
      <w:r>
        <w:t xml:space="preserve"> </w:t>
      </w:r>
      <w:r>
        <w:t xml:space="preserve">	</w:t>
      </w:r>
      <w:r>
        <w:t xml:space="preserve">Blondel VD, Guillaume J-L, Lambiotte R, Lefebvre E. Fast unfolding of communities in large networks. J Stat Mech. 2008;2008: P10008. doi:</w:t>
      </w:r>
      <w:hyperlink r:id="rId317">
        <w:r>
          <w:rPr>
            <w:rStyle w:val="Hyperlink"/>
          </w:rPr>
          <w:t xml:space="preserve">10.1088/1742-5468/2008/10/P10008</w:t>
        </w:r>
      </w:hyperlink>
    </w:p>
    <w:bookmarkEnd w:id="318"/>
    <w:bookmarkStart w:id="320" w:name="ref-newman2004finding"/>
    <w:p>
      <w:pPr>
        <w:pStyle w:val="Bibliography"/>
      </w:pPr>
      <w:r>
        <w:t xml:space="preserve">13.</w:t>
      </w:r>
      <w:r>
        <w:t xml:space="preserve"> </w:t>
      </w:r>
      <w:r>
        <w:t xml:space="preserve">	</w:t>
      </w:r>
      <w:r>
        <w:t xml:space="preserve">Newman ME, Girvan M. Finding and evaluating community structure in networks. Phys Rev E Stat Nonlin Soft Matter Phys. 2004;69: 026113. doi:</w:t>
      </w:r>
      <w:hyperlink r:id="rId319">
        <w:r>
          <w:rPr>
            <w:rStyle w:val="Hyperlink"/>
          </w:rPr>
          <w:t xml:space="preserve">10.1103/PhysRevE.69.026113</w:t>
        </w:r>
      </w:hyperlink>
    </w:p>
    <w:bookmarkEnd w:id="320"/>
    <w:bookmarkStart w:id="322"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 Networks. 2021;65: 98–109. doi:</w:t>
      </w:r>
      <w:hyperlink r:id="rId321">
        <w:r>
          <w:rPr>
            <w:rStyle w:val="Hyperlink"/>
          </w:rPr>
          <w:t xml:space="preserve">10.1016/j.socnet.2020.11.005</w:t>
        </w:r>
      </w:hyperlink>
    </w:p>
    <w:bookmarkEnd w:id="322"/>
    <w:bookmarkStart w:id="324"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 Agric Biol Environ Stat. 2002;7: 361–372. doi:</w:t>
      </w:r>
      <w:hyperlink r:id="rId323">
        <w:r>
          <w:rPr>
            <w:rStyle w:val="Hyperlink"/>
          </w:rPr>
          <w:t xml:space="preserve">10.1198/108571102320</w:t>
        </w:r>
      </w:hyperlink>
    </w:p>
    <w:bookmarkEnd w:id="324"/>
    <w:bookmarkStart w:id="326" w:name="ref-Lichstein_2007"/>
    <w:p>
      <w:pPr>
        <w:pStyle w:val="Bibliography"/>
      </w:pPr>
      <w:r>
        <w:t xml:space="preserve">16.</w:t>
      </w:r>
      <w:r>
        <w:t xml:space="preserve"> </w:t>
      </w:r>
      <w:r>
        <w:t xml:space="preserve">	</w:t>
      </w:r>
      <w:r>
        <w:t xml:space="preserve">Lichstein JW. Multiple regression on distance matrices: A multivariate spatial analysis tool. Plant Ecol. 2007;188: 117–131. doi:</w:t>
      </w:r>
      <w:hyperlink r:id="rId325">
        <w:r>
          <w:rPr>
            <w:rStyle w:val="Hyperlink"/>
          </w:rPr>
          <w:t xml:space="preserve">10.1007/s11258-006-9126-3</w:t>
        </w:r>
      </w:hyperlink>
    </w:p>
    <w:bookmarkEnd w:id="326"/>
    <w:bookmarkStart w:id="328" w:name="ref-Anderson_Walsh_2013"/>
    <w:p>
      <w:pPr>
        <w:pStyle w:val="Bibliography"/>
      </w:pPr>
      <w:r>
        <w:t xml:space="preserve">17.</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 Monogr. 2013;83: 557–574. doi:</w:t>
      </w:r>
      <w:hyperlink r:id="rId327">
        <w:r>
          <w:rPr>
            <w:rStyle w:val="Hyperlink"/>
          </w:rPr>
          <w:t xml:space="preserve">10.1890/12-2010.1</w:t>
        </w:r>
      </w:hyperlink>
    </w:p>
    <w:bookmarkEnd w:id="328"/>
    <w:bookmarkStart w:id="330" w:name="ref-Monti_2003"/>
    <w:p>
      <w:pPr>
        <w:pStyle w:val="Bibliography"/>
      </w:pPr>
      <w:r>
        <w:t xml:space="preserve">18.</w:t>
      </w:r>
      <w:r>
        <w:t xml:space="preserve"> </w:t>
      </w:r>
      <w:r>
        <w:t xml:space="preserve">	</w:t>
      </w:r>
      <w:r>
        <w:t xml:space="preserve">Monti S, Tamayo P, Mesirov J, Golub T. Consensus clustering: A resampling-based method for class discovery and visualization of gene expression microarray data. Mach Learn. 2003;52: 91–118. doi:</w:t>
      </w:r>
      <w:hyperlink r:id="rId329">
        <w:r>
          <w:rPr>
            <w:rStyle w:val="Hyperlink"/>
          </w:rPr>
          <w:t xml:space="preserve">10.1023/A:1023949509487</w:t>
        </w:r>
      </w:hyperlink>
    </w:p>
    <w:bookmarkEnd w:id="330"/>
    <w:bookmarkStart w:id="332" w:name="ref-Leger_2016"/>
    <w:p>
      <w:pPr>
        <w:pStyle w:val="Bibliography"/>
      </w:pPr>
      <w:r>
        <w:t xml:space="preserve">19.</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 doi:</w:t>
      </w:r>
      <w:hyperlink r:id="rId331">
        <w:r>
          <w:rPr>
            <w:rStyle w:val="Hyperlink"/>
          </w:rPr>
          <w:t xml:space="preserve">10.48550/arXiv.1602.07587</w:t>
        </w:r>
      </w:hyperlink>
    </w:p>
    <w:bookmarkEnd w:id="332"/>
    <w:bookmarkStart w:id="334" w:name="ref-Hubert_Arabie_1985"/>
    <w:p>
      <w:pPr>
        <w:pStyle w:val="Bibliography"/>
      </w:pPr>
      <w:r>
        <w:t xml:space="preserve">20.</w:t>
      </w:r>
      <w:r>
        <w:t xml:space="preserve"> </w:t>
      </w:r>
      <w:r>
        <w:t xml:space="preserve">	</w:t>
      </w:r>
      <w:r>
        <w:t xml:space="preserve">Hubert L, Arabie P. Comparing partitions. J Classif. 1985;2: 193–218. doi:</w:t>
      </w:r>
      <w:hyperlink r:id="rId333">
        <w:r>
          <w:rPr>
            <w:rStyle w:val="Hyperlink"/>
          </w:rPr>
          <w:t xml:space="preserve">10.1007/BF01908075</w:t>
        </w:r>
      </w:hyperlink>
    </w:p>
    <w:bookmarkEnd w:id="334"/>
    <w:bookmarkStart w:id="336" w:name="ref-Strona_2014"/>
    <w:p>
      <w:pPr>
        <w:pStyle w:val="Bibliography"/>
      </w:pPr>
      <w:r>
        <w:t xml:space="preserve">21.</w:t>
      </w:r>
      <w:r>
        <w:t xml:space="preserve"> </w:t>
      </w:r>
      <w:r>
        <w:t xml:space="preserve">	</w:t>
      </w:r>
      <w:r>
        <w:t xml:space="preserve">Strona G, Nappo D, Boccacci F, Fattorini S, San-Miguel-Ayanz J. A fast and unbiased procedure to randomize ecological binary matrices with fixed row and column totals. Nat Commun. 2014;5: 4114. doi:</w:t>
      </w:r>
      <w:hyperlink r:id="rId335">
        <w:r>
          <w:rPr>
            <w:rStyle w:val="Hyperlink"/>
          </w:rPr>
          <w:t xml:space="preserve">10.1038/ncomms5114</w:t>
        </w:r>
      </w:hyperlink>
    </w:p>
    <w:bookmarkEnd w:id="336"/>
    <w:bookmarkStart w:id="338" w:name="ref-Gao_Bien_Witten_2022"/>
    <w:p>
      <w:pPr>
        <w:pStyle w:val="Bibliography"/>
      </w:pPr>
      <w:r>
        <w:t xml:space="preserve">22.</w:t>
      </w:r>
      <w:r>
        <w:t xml:space="preserve"> </w:t>
      </w:r>
      <w:r>
        <w:t xml:space="preserve">	</w:t>
      </w:r>
      <w:r>
        <w:t xml:space="preserve">Gao LL, Bien J, Witten D. Selective inference for</w:t>
      </w:r>
      <w:r>
        <w:t xml:space="preserve"> </w:t>
      </w:r>
      <w:r>
        <w:t xml:space="preserve">Hierarchical</w:t>
      </w:r>
      <w:r>
        <w:t xml:space="preserve"> </w:t>
      </w:r>
      <w:r>
        <w:t xml:space="preserve">clustering. J Am Stat Assoc. 2022;119: 332–342. doi:</w:t>
      </w:r>
      <w:hyperlink r:id="rId337">
        <w:r>
          <w:rPr>
            <w:rStyle w:val="Hyperlink"/>
          </w:rPr>
          <w:t xml:space="preserve">10.1080/01621459.2022.2116331</w:t>
        </w:r>
      </w:hyperlink>
    </w:p>
    <w:bookmarkEnd w:id="338"/>
    <w:bookmarkStart w:id="340" w:name="ref-Neufeld_2024"/>
    <w:p>
      <w:pPr>
        <w:pStyle w:val="Bibliography"/>
      </w:pPr>
      <w:r>
        <w:t xml:space="preserve">23.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 270–287. doi:</w:t>
      </w:r>
      <w:hyperlink r:id="rId339">
        <w:r>
          <w:rPr>
            <w:rStyle w:val="Hyperlink"/>
          </w:rPr>
          <w:t xml:space="preserve">10.1093/biostatistics/kxac047</w:t>
        </w:r>
      </w:hyperlink>
    </w:p>
    <w:bookmarkEnd w:id="340"/>
    <w:bookmarkStart w:id="342"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 2533–2547. doi:</w:t>
      </w:r>
      <w:hyperlink r:id="rId341">
        <w:r>
          <w:rPr>
            <w:rStyle w:val="Hyperlink"/>
          </w:rPr>
          <w:t xml:space="preserve">10.1890/11-1952.1</w:t>
        </w:r>
      </w:hyperlink>
    </w:p>
    <w:bookmarkEnd w:id="342"/>
    <w:bookmarkStart w:id="344"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 Lett. 2001;4: 379–391. doi:</w:t>
      </w:r>
      <w:hyperlink r:id="rId343">
        <w:r>
          <w:rPr>
            <w:rStyle w:val="Hyperlink"/>
          </w:rPr>
          <w:t xml:space="preserve">10.1046/j.1461-0248.2001.00230.x</w:t>
        </w:r>
      </w:hyperlink>
    </w:p>
    <w:bookmarkEnd w:id="344"/>
    <w:bookmarkStart w:id="346"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Ecol Evol. 2016;7: 1451–1456. doi:</w:t>
      </w:r>
      <w:hyperlink r:id="rId345">
        <w:r>
          <w:rPr>
            <w:rStyle w:val="Hyperlink"/>
          </w:rPr>
          <w:t xml:space="preserve">10.1111/2041-210X.12613</w:t>
        </w:r>
      </w:hyperlink>
    </w:p>
    <w:bookmarkEnd w:id="346"/>
    <w:bookmarkStart w:id="348" w:name="ref-Venables_Ripley_2002"/>
    <w:p>
      <w:pPr>
        <w:pStyle w:val="Bibliography"/>
      </w:pPr>
      <w:r>
        <w:t xml:space="preserve">27.</w:t>
      </w:r>
      <w:r>
        <w:t xml:space="preserve"> </w:t>
      </w:r>
      <w:r>
        <w:t xml:space="preserve">	</w:t>
      </w:r>
      <w:r>
        <w:t xml:space="preserve">Venables WN, Ripley BD. Modern applied statistics with s. Fourth. Springer; 2002. doi:</w:t>
      </w:r>
      <w:hyperlink r:id="rId347">
        <w:r>
          <w:rPr>
            <w:rStyle w:val="Hyperlink"/>
          </w:rPr>
          <w:t xml:space="preserve">10.1007/978-0-387-21706-2</w:t>
        </w:r>
      </w:hyperlink>
    </w:p>
    <w:bookmarkEnd w:id="348"/>
    <w:bookmarkStart w:id="350" w:name="ref-Bentz_Dutkiewicz_2026"/>
    <w:p>
      <w:pPr>
        <w:pStyle w:val="Bibliography"/>
      </w:pPr>
      <w:r>
        <w:t xml:space="preserve">28.</w:t>
      </w:r>
      <w:r>
        <w:t xml:space="preserve"> </w:t>
      </w:r>
      <w:r>
        <w:t xml:space="preserve">	</w:t>
      </w:r>
      <w:r>
        <w:t xml:space="preserve">Bentz C, Dutkiewicz E. Humans 40,000 y ago developed a system of conventional signs. Proc Natl Acad Sci U S A. 2026;123: e2520385123. doi:</w:t>
      </w:r>
      <w:hyperlink r:id="rId349">
        <w:r>
          <w:rPr>
            <w:rStyle w:val="Hyperlink"/>
          </w:rPr>
          <w:t xml:space="preserve">10.1073/pnas.2520385123</w:t>
        </w:r>
      </w:hyperlink>
    </w:p>
    <w:bookmarkEnd w:id="350"/>
    <w:bookmarkStart w:id="352"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Am Stat. 2001;55: 19–24. doi:</w:t>
      </w:r>
      <w:hyperlink r:id="rId351">
        <w:r>
          <w:rPr>
            <w:rStyle w:val="Hyperlink"/>
          </w:rPr>
          <w:t xml:space="preserve">10.1198/000313001300339897</w:t>
        </w:r>
      </w:hyperlink>
    </w:p>
    <w:bookmarkEnd w:id="352"/>
    <w:bookmarkStart w:id="354" w:name="ref-Cohen_1992"/>
    <w:p>
      <w:pPr>
        <w:pStyle w:val="Bibliography"/>
      </w:pPr>
      <w:r>
        <w:t xml:space="preserve">30.</w:t>
      </w:r>
      <w:r>
        <w:t xml:space="preserve"> </w:t>
      </w:r>
      <w:r>
        <w:t xml:space="preserve">	</w:t>
      </w:r>
      <w:r>
        <w:t xml:space="preserve">Cohen J. A power primer. Psychol Bull. 1992;112: 155–159. doi:</w:t>
      </w:r>
      <w:hyperlink r:id="rId353">
        <w:r>
          <w:rPr>
            <w:rStyle w:val="Hyperlink"/>
          </w:rPr>
          <w:t xml:space="preserve">10.1037/0033-2909.112.1.155</w:t>
        </w:r>
      </w:hyperlink>
    </w:p>
    <w:bookmarkEnd w:id="354"/>
    <w:bookmarkStart w:id="356" w:name="ref-Legendre_2015"/>
    <w:p>
      <w:pPr>
        <w:pStyle w:val="Bibliography"/>
      </w:pPr>
      <w:r>
        <w:t xml:space="preserve">31.</w:t>
      </w:r>
      <w:r>
        <w:t xml:space="preserve"> </w:t>
      </w:r>
      <w:r>
        <w:t xml:space="preserve">	</w:t>
      </w:r>
      <w:r>
        <w:t xml:space="preserve">Legendre P, Fortin M-J, Borcard D. Should the mantel test be used in spatial analysis? Methods Ecol Evol. 2015;6: 1239–1247. doi:</w:t>
      </w:r>
      <w:hyperlink r:id="rId355">
        <w:r>
          <w:rPr>
            <w:rStyle w:val="Hyperlink"/>
          </w:rPr>
          <w:t xml:space="preserve">10.1111/2041-210X.12425</w:t>
        </w:r>
      </w:hyperlink>
    </w:p>
    <w:bookmarkEnd w:id="356"/>
    <w:bookmarkStart w:id="358" w:name="ref-Guillot_Rousset_2013"/>
    <w:p>
      <w:pPr>
        <w:pStyle w:val="Bibliography"/>
      </w:pPr>
      <w:r>
        <w:t xml:space="preserve">32.</w:t>
      </w:r>
      <w:r>
        <w:t xml:space="preserve"> </w:t>
      </w:r>
      <w:r>
        <w:t xml:space="preserve">	</w:t>
      </w:r>
      <w:r>
        <w:t xml:space="preserve">Guillot G, Rousset F. Dismantling the mantel tests. Methods Ecol Evol. 2013;4: 336–344. doi:</w:t>
      </w:r>
      <w:hyperlink r:id="rId357">
        <w:r>
          <w:rPr>
            <w:rStyle w:val="Hyperlink"/>
          </w:rPr>
          <w:t xml:space="preserve">10.1111/2041-210X.12018</w:t>
        </w:r>
      </w:hyperlink>
    </w:p>
    <w:bookmarkEnd w:id="358"/>
    <w:bookmarkEnd w:id="359"/>
    <w:bookmarkEnd w:id="360"/>
    <w:bookmarkEnd w:id="36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9" Target="media/rId169.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50" Target="media/rId50.png" /><Relationship Type="http://schemas.openxmlformats.org/officeDocument/2006/relationships/image" Id="rId158" Target="media/rId158.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9" Target="media/rId239.png" /><Relationship Type="http://schemas.openxmlformats.org/officeDocument/2006/relationships/image" Id="rId268" Target="media/rId268.png" /><Relationship Type="http://schemas.openxmlformats.org/officeDocument/2006/relationships/image" Id="rId289" Target="media/rId289.png" /><Relationship Type="http://schemas.openxmlformats.org/officeDocument/2006/relationships/image" Id="rId256" Target="media/rId256.png" /><Relationship Type="http://schemas.openxmlformats.org/officeDocument/2006/relationships/image" Id="rId248" Target="media/rId248.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36" Target="media/rId36.png" /><Relationship Type="http://schemas.openxmlformats.org/officeDocument/2006/relationships/hyperlink" Id="rId308"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3"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9"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5"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7"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9"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2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3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8"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3"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9"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5"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7"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9"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2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3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2026-10-16T23:25:02Z</dcterms:created>
  <dcterms:modified xsi:type="dcterms:W3CDTF">2026-10-16T23:25:02Z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