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223.png" ContentType="image/png"/>
  <Override PartName="/word/media/rId232.png" ContentType="image/png"/>
  <Override PartName="/word/media/rId50.png" ContentType="image/png"/>
  <Override PartName="/word/media/rId157.png" ContentType="image/png"/>
  <Override PartName="/word/media/rId189.png" ContentType="image/png"/>
  <Override PartName="/word/media/rId46.png" ContentType="image/png"/>
  <Override PartName="/word/media/rId29.png" ContentType="image/png"/>
  <Override PartName="/word/media/rId201.png" ContentType="image/png"/>
  <Override PartName="/word/media/rId130.png" ContentType="image/png"/>
  <Override PartName="/word/media/rId65.png" ContentType="image/png"/>
  <Override PartName="/word/media/rId245.png" ContentType="image/png"/>
  <Override PartName="/word/media/rId274.png" ContentType="image/png"/>
  <Override PartName="/word/media/rId295.png" ContentType="image/png"/>
  <Override PartName="/word/media/rId262.png" ContentType="image/png"/>
  <Override PartName="/word/media/rId254.png" ContentType="image/png"/>
  <Override PartName="/word/media/rId176.png" ContentType="image/png"/>
  <Override PartName="/word/media/rId185.png" ContentType="image/png"/>
  <Override PartName="/word/media/rId19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1-rationale"/>
    <w:p>
      <w:pPr>
        <w:pStyle w:val="Heading2"/>
      </w:pPr>
      <w:r>
        <w:t xml:space="preserve">S1.1.1 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1-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1-2-analysis"/>
    <w:p>
      <w:pPr>
        <w:pStyle w:val="Heading2"/>
      </w:pPr>
      <w:r>
        <w:t xml:space="preserve">S1.2.2 Analysis</w:t>
      </w:r>
    </w:p>
    <w:bookmarkStart w:id="28" w:name="sec-S1-2-network-statistics-acros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1-2-network-visualisations-acros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 The full sweep result is answered in Interpretation below (</w:t>
      </w:r>
      <w:hyperlink w:anchor="fig-threshold-sweep">
        <w:r>
          <w:rPr>
            <w:rStyle w:val="Hyperlink"/>
          </w:rPr>
          <w:t xml:space="preserve">Figure S 2</w:t>
        </w:r>
      </w:hyperlink>
      <w:r>
        <w:t xml:space="preserve">).</w:t>
      </w:r>
    </w:p>
    <w:bookmarkEnd w:id="40"/>
    <w:bookmarkEnd w:id="41"/>
    <w:bookmarkStart w:id="42" w:name="sec-S1-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raw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It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1-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1-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1-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Network community structures and hub locations remain identical.</w:t>
      </w:r>
    </w:p>
    <w:p>
      <w:pPr>
        <w:pStyle w:val="BodyText"/>
      </w:pPr>
      <w:r>
        <w:rPr>
          <w:bCs/>
          <w:b/>
        </w:rPr>
        <w:t xml:space="preserve">Question: does the Aur-P1 connectivity advantage survive under Simpson similarity, which controls for richness asymmetry?</w:t>
      </w:r>
      <w:r>
        <w:t xml:space="preserve"> </w:t>
      </w:r>
      <w:r>
        <w:t xml:space="preserve">Yes. Simpson similarity shows that the Aur-P1 connectivity is driven by genuine shared sign repertoires rather than sample-size asymmetry.</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center"/>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543"/>
              <w:gridCol w:w="310"/>
              <w:gridCol w:w="621"/>
              <w:gridCol w:w="1164"/>
              <w:gridCol w:w="931"/>
              <w:gridCol w:w="1242"/>
              <w:gridCol w:w="1009"/>
              <w:gridCol w:w="1164"/>
              <w:gridCol w:w="931"/>
            </w:tblGrid>
            <w:tr>
              <w:trPr>
                <w:tblHeader w:val="true"/>
              </w:trPr>
              <w:tc>
                <w:tcPr/>
                <w:p>
                  <w:pPr>
                    <w:pStyle w:val="Compact"/>
                    <w:jc w:val="left"/>
                    <w:jc w:val="center"/>
                  </w:pPr>
                  <w:r>
                    <w:t xml:space="preserve">Phase</w:t>
                  </w:r>
                </w:p>
              </w:tc>
              <w:tc>
                <w:tcPr/>
                <w:p>
                  <w:pPr>
                    <w:pStyle w:val="Compact"/>
                    <w:jc w:val="center"/>
                    <w:jc w:val="center"/>
                  </w:pPr>
                  <w:r>
                    <w:t xml:space="preserve">n</w:t>
                  </w:r>
                </w:p>
              </w:tc>
              <w:tc>
                <w:tcPr/>
                <w:p>
                  <w:pPr>
                    <w:pStyle w:val="Compact"/>
                    <w:jc w:val="center"/>
                    <w:jc w:val="center"/>
                  </w:pPr>
                  <w:r>
                    <w:t xml:space="preserve">R² adj</w:t>
                  </w:r>
                </w:p>
              </w:tc>
              <w:tc>
                <w:tcPr/>
                <w:p>
                  <w:pPr>
                    <w:pStyle w:val="Compact"/>
                    <w:jc w:val="center"/>
                    <w:jc w:val="center"/>
                  </w:pPr>
                  <w:r>
                    <w:t xml:space="preserve">Richness coef</w:t>
                  </w:r>
                </w:p>
              </w:tc>
              <w:tc>
                <w:tcPr/>
                <w:p>
                  <w:pPr>
                    <w:pStyle w:val="Compact"/>
                    <w:jc w:val="center"/>
                    <w:jc w:val="center"/>
                  </w:pPr>
                  <w:r>
                    <w:t xml:space="preserve">Richness p</w:t>
                  </w:r>
                </w:p>
              </w:tc>
              <w:tc>
                <w:tcPr/>
                <w:p>
                  <w:pPr>
                    <w:pStyle w:val="Compact"/>
                    <w:jc w:val="center"/>
                    <w:jc w:val="center"/>
                  </w:pPr>
                  <w:r>
                    <w:t xml:space="preserve">Longitude coef</w:t>
                  </w:r>
                </w:p>
              </w:tc>
              <w:tc>
                <w:tcPr/>
                <w:p>
                  <w:pPr>
                    <w:pStyle w:val="Compact"/>
                    <w:jc w:val="center"/>
                    <w:jc w:val="center"/>
                  </w:pPr>
                  <w:r>
                    <w:t xml:space="preserve">Longitude p</w:t>
                  </w:r>
                </w:p>
              </w:tc>
              <w:tc>
                <w:tcPr/>
                <w:p>
                  <w:pPr>
                    <w:pStyle w:val="Compact"/>
                    <w:jc w:val="center"/>
                    <w:jc w:val="center"/>
                  </w:pPr>
                  <w:r>
                    <w:t xml:space="preserve">Latitude coef</w:t>
                  </w:r>
                </w:p>
              </w:tc>
              <w:tc>
                <w:tcPr/>
                <w:p>
                  <w:pPr>
                    <w:pStyle w:val="Compact"/>
                    <w:jc w:val="center"/>
                    <w:jc w:val="center"/>
                  </w:pPr>
                  <w:r>
                    <w:t xml:space="preserve">Latitude 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0.644</w:t>
                  </w:r>
                </w:p>
              </w:tc>
              <w:tc>
                <w:tcPr/>
                <w:p>
                  <w:pPr>
                    <w:pStyle w:val="Compact"/>
                    <w:jc w:val="center"/>
                    <w:jc w:val="center"/>
                  </w:pPr>
                  <w:r>
                    <w:t xml:space="preserve">-0.051</w:t>
                  </w:r>
                </w:p>
              </w:tc>
              <w:tc>
                <w:tcPr/>
                <w:p>
                  <w:pPr>
                    <w:pStyle w:val="Compact"/>
                    <w:jc w:val="center"/>
                    <w:jc w:val="center"/>
                  </w:pPr>
                  <w:r>
                    <w:t xml:space="preserve">&lt; 0.001</w:t>
                  </w:r>
                </w:p>
              </w:tc>
              <w:tc>
                <w:tcPr/>
                <w:p>
                  <w:pPr>
                    <w:pStyle w:val="Compact"/>
                    <w:jc w:val="center"/>
                    <w:jc w:val="center"/>
                  </w:pPr>
                  <w:r>
                    <w:t xml:space="preserve">0.040</w:t>
                  </w:r>
                </w:p>
              </w:tc>
              <w:tc>
                <w:tcPr/>
                <w:p>
                  <w:pPr>
                    <w:pStyle w:val="Compact"/>
                    <w:jc w:val="center"/>
                    <w:jc w:val="center"/>
                  </w:pPr>
                  <w:r>
                    <w:t xml:space="preserve">0.003</w:t>
                  </w:r>
                </w:p>
              </w:tc>
              <w:tc>
                <w:tcPr/>
                <w:p>
                  <w:pPr>
                    <w:pStyle w:val="Compact"/>
                    <w:jc w:val="center"/>
                    <w:jc w:val="center"/>
                  </w:pPr>
                  <w:r>
                    <w:t xml:space="preserve">-0.049</w:t>
                  </w:r>
                </w:p>
              </w:tc>
              <w:tc>
                <w:tcPr/>
                <w:p>
                  <w:pPr>
                    <w:pStyle w:val="Compact"/>
                    <w:jc w:val="center"/>
                    <w:jc w:val="center"/>
                  </w:pPr>
                  <w:r>
                    <w:t xml:space="preserve">0.061</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-0.214</w:t>
                  </w:r>
                </w:p>
              </w:tc>
              <w:tc>
                <w:tcPr/>
                <w:p>
                  <w:pPr>
                    <w:pStyle w:val="Compact"/>
                    <w:jc w:val="center"/>
                    <w:jc w:val="center"/>
                  </w:pPr>
                  <w:r>
                    <w:t xml:space="preserve">0.049</w:t>
                  </w:r>
                </w:p>
              </w:tc>
              <w:tc>
                <w:tcPr/>
                <w:p>
                  <w:pPr>
                    <w:pStyle w:val="Compact"/>
                    <w:jc w:val="center"/>
                    <w:jc w:val="center"/>
                  </w:pPr>
                  <w:r>
                    <w:t xml:space="preserve">0.376</w:t>
                  </w:r>
                </w:p>
              </w:tc>
              <w:tc>
                <w:tcPr/>
                <w:p>
                  <w:pPr>
                    <w:pStyle w:val="Compact"/>
                    <w:jc w:val="center"/>
                    <w:jc w:val="center"/>
                  </w:pPr>
                  <w:r>
                    <w:t xml:space="preserve">0.024</w:t>
                  </w:r>
                </w:p>
              </w:tc>
              <w:tc>
                <w:tcPr/>
                <w:p>
                  <w:pPr>
                    <w:pStyle w:val="Compact"/>
                    <w:jc w:val="center"/>
                    <w:jc w:val="center"/>
                  </w:pPr>
                  <w:r>
                    <w:t xml:space="preserve">0.388</w:t>
                  </w:r>
                </w:p>
              </w:tc>
              <w:tc>
                <w:tcPr/>
                <w:p>
                  <w:pPr>
                    <w:pStyle w:val="Compact"/>
                    <w:jc w:val="center"/>
                    <w:jc w:val="center"/>
                  </w:pPr>
                  <w:r>
                    <w:t xml:space="preserve">-0.059</w:t>
                  </w:r>
                </w:p>
              </w:tc>
              <w:tc>
                <w:tcPr/>
                <w:p>
                  <w:pPr>
                    <w:pStyle w:val="Compact"/>
                    <w:jc w:val="center"/>
                    <w:jc w:val="center"/>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1-4-check"/>
    <w:p>
      <w:pPr>
        <w:pStyle w:val="Heading2"/>
      </w:pPr>
      <w:r>
        <w:t xml:space="preserve">S1.4.2 Geodesic distance comparison</w:t>
      </w:r>
    </w:p>
    <w:bookmarkStart w:id="61" w:name="sec-S1-4-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1-4-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equals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center"/>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explains about six percent of the adjusted variation: a weak gradient the global Mantel correlation misses, not discrete geographic groups. In Aur-P2 there is no signal (R² = 0.191, adjusted R² = -0.078, p = 0.85). Note the Aur-P2 raw R² exceeds Aur-P1’s while its adjusted R² is negative: with 9 sites and 2 predictors the raw value is overfit, which is why the adjusted figure governs the reading. Both phases remain low-power, so as with the Mantel results these are convergent nulls reflecting limited samples, not evidence that geography is irrelevant.</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It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to preserve the report-based Aur-P1 20 and Aur-P2 9 partition that matches frozen</w:t>
      </w:r>
      <w:r>
        <w:t xml:space="preserve"> </w:t>
      </w:r>
      <w:r>
        <w:rPr>
          <w:rStyle w:val="VerbatimChar"/>
        </w:rPr>
        <w:t xml:space="preserve">manual_groups</w:t>
      </w:r>
      <w:r>
        <w:t xml:space="preserve">.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date variants produce different phase assignments for several sites (</w:t>
      </w:r>
      <w:hyperlink w:anchor="tbl-date-variant-comparison">
        <w:r>
          <w:rPr>
            <w:rStyle w:val="Hyperlink"/>
          </w:rPr>
          <w:t xml:space="preserve">Table S 11</w:t>
        </w:r>
      </w:hyperlink>
      <w:r>
        <w:t xml:space="preser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It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It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consistent with</w:t>
      </w:r>
      <w:r>
        <w:t xml:space="preserve"> </w:t>
      </w:r>
      <w:r>
        <w:t xml:space="preserve">Section S1.12.7</w:t>
      </w:r>
      <w:r>
        <w:t xml:space="preserve"> </w:t>
      </w:r>
      <w:r>
        <w:t xml:space="preserve">showing that Aur-P1’s network does not depend on a single site.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It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(ARI = 1.000) at threshold 0.2 in both phases but differs at other thresholds.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provides the most direct test of whether the main-text results are circular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center"/>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persists across the resampled replicates,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4"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49" w:name="sec-s8-1"/>
    <w:p>
      <w:pPr>
        <w:pStyle w:val="Heading2"/>
      </w:pPr>
      <w:r>
        <w:t xml:space="preserve">S1.8.2 Multiple regression on distance matrices</w:t>
      </w:r>
    </w:p>
    <w:bookmarkStart w:id="147"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7"/>
    <w:bookmarkStart w:id="148"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8"/>
    <w:bookmarkEnd w:id="149"/>
    <w:bookmarkStart w:id="154" w:name="sec-s8-2"/>
    <w:p>
      <w:pPr>
        <w:pStyle w:val="Heading2"/>
      </w:pPr>
      <w:r>
        <w:t xml:space="preserve">S1.8.3 Time-lag check</w:t>
      </w:r>
    </w:p>
    <w:bookmarkStart w:id="150"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0"/>
    <w:bookmarkStart w:id="152"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1"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27: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1"/>
        </w:tc>
      </w:tr>
    </w:tbl>
    <w:bookmarkEnd w:id="152"/>
    <w:bookmarkStart w:id="153"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27</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3"/>
    <w:bookmarkEnd w:id="154"/>
    <w:bookmarkStart w:id="163" w:name="sec-s8-3"/>
    <w:p>
      <w:pPr>
        <w:pStyle w:val="Heading2"/>
      </w:pPr>
      <w:r>
        <w:t xml:space="preserve">S1.8.4 Objective regional grouping</w:t>
      </w:r>
    </w:p>
    <w:bookmarkStart w:id="161"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5"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28: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6"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29: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6"/>
        </w:tc>
      </w:tr>
    </w:tbl>
    <w:tbl>
      <w:tblPr>
        <w:tblStyle w:val="Table"/>
        <w:tblW w:type="pct" w:w="5000"/>
        <w:tblLook w:firstRow="0" w:lastRow="0" w:firstColumn="0" w:lastColumn="0" w:noHBand="0" w:noVBand="0" w:val="0000"/>
        <w:jc w:val="start"/>
        <w:tblLayout w:type="fixed"/>
      </w:tblPr>
      <w:tblGrid>
        <w:gridCol w:w="7920"/>
      </w:tblGrid>
      <w:tr>
        <w:tc>
          <w:tcPr/>
          <w:bookmarkStart w:id="160" w:name="fig-region-map"/>
          <w:p>
            <w:pPr>
              <w:pStyle w:val="Compact"/>
              <w:jc w:val="center"/>
            </w:pPr>
            <w:r>
              <w:drawing>
                <wp:inline>
                  <wp:extent cx="5943600" cy="4457699"/>
                  <wp:effectExtent b="0" l="0" r="0" t="0"/>
                  <wp:docPr descr="" title="" id="158" name="Picture"/>
                  <a:graphic>
                    <a:graphicData uri="http://schemas.openxmlformats.org/drawingml/2006/picture">
                      <pic:pic>
                        <pic:nvPicPr>
                          <pic:cNvPr descr="../figures/s513-region-map.png" id="159" name="Picture"/>
                          <pic:cNvPicPr>
                            <a:picLocks noChangeArrowheads="1" noChangeAspect="1"/>
                          </pic:cNvPicPr>
                        </pic:nvPicPr>
                        <pic:blipFill>
                          <a:blip r:embed="rId15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0"/>
        </w:tc>
      </w:tr>
    </w:tbl>
    <w:bookmarkEnd w:id="161"/>
    <w:bookmarkStart w:id="162"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S1.6.2</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225/346 objects — versus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2"/>
    <w:bookmarkEnd w:id="163"/>
    <w:bookmarkEnd w:id="164"/>
    <w:bookmarkStart w:id="212" w:name="sec-s9"/>
    <w:p>
      <w:pPr>
        <w:pStyle w:val="Heading1"/>
      </w:pPr>
      <w:r>
        <w:t xml:space="preserve">S1.9 Partition Stability and Generative Models</w:t>
      </w:r>
    </w:p>
    <w:bookmarkStart w:id="165"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5"/>
    <w:bookmarkStart w:id="174" w:name="sec-s9-2"/>
    <w:p>
      <w:pPr>
        <w:pStyle w:val="Heading2"/>
      </w:pPr>
      <w:r>
        <w:t xml:space="preserve">S1.9.2 Bootstrap Consensus Analysis</w:t>
      </w:r>
    </w:p>
    <w:bookmarkStart w:id="172"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30: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31: Per-site bootstrap consistency: proportion of 1000 resamples in which each site is assigned to its modal (most frequent) block. Consistency near 1 indicates robust assignment; values near 0.5 indicate sites whose group membership flips across resamples.</w:t>
            </w:r>
          </w:p>
          <w:bookmarkEnd w:id="167"/>
        </w:tc>
      </w:tr>
    </w:tbl>
    <w:tbl>
      <w:tblPr>
        <w:tblStyle w:val="Table"/>
        <w:tblW w:type="pct" w:w="5000"/>
        <w:tblLook w:firstRow="0" w:lastRow="0" w:firstColumn="0" w:lastColumn="0" w:noHBand="0" w:noVBand="0" w:val="0000"/>
        <w:jc w:val="start"/>
        <w:tblLayout w:type="fixed"/>
      </w:tblPr>
      <w:tblGrid>
        <w:gridCol w:w="7920"/>
      </w:tblGrid>
      <w:tr>
        <w:tc>
          <w:tcPr/>
          <w:bookmarkStart w:id="171" w:name="fig-bootstrap-consensus"/>
          <w:p>
            <w:pPr>
              <w:pStyle w:val="Compact"/>
              <w:jc w:val="center"/>
            </w:pPr>
            <w:r>
              <w:drawing>
                <wp:inline>
                  <wp:extent cx="5943600" cy="6604000"/>
                  <wp:effectExtent b="0" l="0" r="0" t="0"/>
                  <wp:docPr descr="" title="" id="169" name="Picture"/>
                  <a:graphic>
                    <a:graphicData uri="http://schemas.openxmlformats.org/drawingml/2006/picture">
                      <pic:pic>
                        <pic:nvPicPr>
                          <pic:cNvPr descr="../figures/bootstrap-consensus-plot.png" id="170" name="Picture"/>
                          <pic:cNvPicPr>
                            <a:picLocks noChangeArrowheads="1" noChangeAspect="1"/>
                          </pic:cNvPicPr>
                        </pic:nvPicPr>
                        <pic:blipFill>
                          <a:blip r:embed="rId16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1"/>
        </w:tc>
      </w:tr>
    </w:tbl>
    <w:bookmarkEnd w:id="172"/>
    <w:bookmarkStart w:id="173"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31</w:t>
        </w:r>
      </w:hyperlink>
      <w:r>
        <w:t xml:space="preserve">.</w:t>
      </w:r>
    </w:p>
    <w:bookmarkEnd w:id="173"/>
    <w:bookmarkEnd w:id="174"/>
    <w:bookmarkStart w:id="183" w:name="sec-s9-3"/>
    <w:p>
      <w:pPr>
        <w:pStyle w:val="Heading2"/>
      </w:pPr>
      <w:r>
        <w:t xml:space="preserve">S1.9.3 Stochastic Block Models</w:t>
      </w:r>
    </w:p>
    <w:bookmarkStart w:id="181"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5"/>
        </w:tc>
      </w:tr>
    </w:tbl>
    <w:tbl>
      <w:tblPr>
        <w:tblStyle w:val="Table"/>
        <w:tblW w:type="pct" w:w="5000"/>
        <w:tblLook w:firstRow="0" w:lastRow="0" w:firstColumn="0" w:lastColumn="0" w:noHBand="0" w:noVBand="0" w:val="0000"/>
        <w:jc w:val="start"/>
        <w:tblLayout w:type="fixed"/>
      </w:tblPr>
      <w:tblGrid>
        <w:gridCol w:w="7920"/>
      </w:tblGrid>
      <w:tr>
        <w:tc>
          <w:tcPr/>
          <w:bookmarkStart w:id="179" w:name="fig-sbm-icl"/>
          <w:p>
            <w:pPr>
              <w:pStyle w:val="Compact"/>
              <w:jc w:val="center"/>
            </w:pPr>
            <w:r>
              <w:drawing>
                <wp:inline>
                  <wp:extent cx="5943600" cy="2971800"/>
                  <wp:effectExtent b="0" l="0" r="0" t="0"/>
                  <wp:docPr descr="" title="" id="177" name="Picture"/>
                  <a:graphic>
                    <a:graphicData uri="http://schemas.openxmlformats.org/drawingml/2006/picture">
                      <pic:pic>
                        <pic:nvPicPr>
                          <pic:cNvPr descr="S1-supplement-sensitivity_files/figure-docx/fig-sbm-icl-1.png" id="178" name="Picture"/>
                          <pic:cNvPicPr>
                            <a:picLocks noChangeArrowheads="1" noChangeAspect="1"/>
                          </pic:cNvPicPr>
                        </pic:nvPicPr>
                        <pic:blipFill>
                          <a:blip r:embed="rId17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9"/>
        </w:tc>
      </w:tr>
    </w:tbl>
    <w:tbl>
      <w:tblPr>
        <w:tblStyle w:val="Table"/>
        <w:tblW w:type="pct" w:w="5000"/>
        <w:tblLook w:firstRow="0" w:lastRow="0" w:firstColumn="0" w:lastColumn="0" w:noHBand="0" w:noVBand="0" w:val="0000"/>
        <w:jc w:val="start"/>
        <w:tblLayout w:type="fixed"/>
      </w:tblPr>
      <w:tblGrid>
        <w:gridCol w:w="7920"/>
      </w:tblGrid>
      <w:tr>
        <w:tc>
          <w:tcPr/>
          <w:bookmarkStart w:id="180"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33: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0"/>
        </w:tc>
      </w:tr>
    </w:tbl>
    <w:bookmarkEnd w:id="181"/>
    <w:bookmarkStart w:id="182"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32</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32</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S1.11.6</w:t>
      </w:r>
      <w:r>
        <w:t xml:space="preserve">) and the downsampling analysis flags as unstable (</w:t>
      </w:r>
      <w:r>
        <w:t xml:space="preserve">Section S1.12.3</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82"/>
    <w:bookmarkEnd w:id="183"/>
    <w:bookmarkStart w:id="195" w:name="sec-s9-4"/>
    <w:p>
      <w:pPr>
        <w:pStyle w:val="Heading2"/>
      </w:pPr>
      <w:r>
        <w:t xml:space="preserve">S1.9.4 SBM Block Recovery Null Test</w:t>
      </w:r>
    </w:p>
    <w:bookmarkStart w:id="193"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[20]</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4" w:name="tbl-sbm-null"/>
          <w:tbl>
            <w:tblPr>
              <w:tblStyle w:val="Table"/>
              <w:tblW w:type="pct" w:w="5000"/>
              <w:tblLook w:firstRow="1" w:lastRow="0" w:firstColumn="0" w:lastColumn="0" w:noHBand="0" w:noVBand="0" w:val="0020"/>
              <w:jc w:val="start"/>
              <w:tblLayout w:type="fixed"/>
            </w:tblPr>
            <w:tblGrid>
              <w:gridCol w:w="308"/>
              <w:gridCol w:w="484"/>
              <w:gridCol w:w="528"/>
              <w:gridCol w:w="528"/>
              <w:gridCol w:w="528"/>
              <w:gridCol w:w="792"/>
              <w:gridCol w:w="704"/>
              <w:gridCol w:w="528"/>
              <w:gridCol w:w="660"/>
              <w:gridCol w:w="528"/>
              <w:gridCol w:w="660"/>
              <w:gridCol w:w="836"/>
              <w:gridCol w:w="440"/>
              <w:gridCol w:w="39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obs best K</w:t>
                  </w:r>
                </w:p>
              </w:tc>
              <w:tc>
                <w:tcPr/>
                <w:p>
                  <w:pPr>
                    <w:pStyle w:val="Compact"/>
                    <w:jc w:val="center"/>
                    <w:jc w:val="center"/>
                  </w:pPr>
                  <w:r>
                    <w:t xml:space="preserve">obs gap K1</w:t>
                  </w:r>
                </w:p>
              </w:tc>
              <w:tc>
                <w:tcPr/>
                <w:p>
                  <w:pPr>
                    <w:pStyle w:val="Compact"/>
                    <w:jc w:val="center"/>
                    <w:jc w:val="center"/>
                  </w:pPr>
                  <w:r>
                    <w:t xml:space="preserve">obs gap K2</w:t>
                  </w:r>
                </w:p>
              </w:tc>
              <w:tc>
                <w:tcPr/>
                <w:p>
                  <w:pPr>
                    <w:pStyle w:val="Compact"/>
                    <w:jc w:val="center"/>
                    <w:jc w:val="center"/>
                  </w:pPr>
                  <w:r>
                    <w:t xml:space="preserve">null mean gap K1</w:t>
                  </w:r>
                </w:p>
              </w:tc>
              <w:tc>
                <w:tcPr/>
                <w:p>
                  <w:pPr>
                    <w:pStyle w:val="Compact"/>
                    <w:jc w:val="center"/>
                    <w:jc w:val="center"/>
                  </w:pPr>
                  <w:r>
                    <w:t xml:space="preserve">null SD gap K1</w:t>
                  </w:r>
                </w:p>
              </w:tc>
              <w:tc>
                <w:tcPr/>
                <w:p>
                  <w:pPr>
                    <w:pStyle w:val="Compact"/>
                    <w:jc w:val="center"/>
                    <w:jc w:val="center"/>
                  </w:pPr>
                  <w:r>
                    <w:t xml:space="preserve">p (gap K1)</w:t>
                  </w:r>
                </w:p>
              </w:tc>
              <w:tc>
                <w:tcPr/>
                <w:p>
                  <w:pPr>
                    <w:pStyle w:val="Compact"/>
                    <w:jc w:val="center"/>
                    <w:jc w:val="center"/>
                  </w:pPr>
                  <w:r>
                    <w:t xml:space="preserve">p_BH (gap K1)</w:t>
                  </w:r>
                </w:p>
              </w:tc>
              <w:tc>
                <w:tcPr/>
                <w:p>
                  <w:pPr>
                    <w:pStyle w:val="Compact"/>
                    <w:jc w:val="center"/>
                    <w:jc w:val="center"/>
                  </w:pPr>
                  <w:r>
                    <w:t xml:space="preserve">p (gap K2)</w:t>
                  </w:r>
                </w:p>
              </w:tc>
              <w:tc>
                <w:tcPr/>
                <w:p>
                  <w:pPr>
                    <w:pStyle w:val="Compact"/>
                    <w:jc w:val="center"/>
                    <w:jc w:val="center"/>
                  </w:pPr>
                  <w:r>
                    <w:t xml:space="preserve">p_BH (gap K2)</w:t>
                  </w:r>
                </w:p>
              </w:tc>
              <w:tc>
                <w:tcPr/>
                <w:p>
                  <w:pPr>
                    <w:pStyle w:val="Compact"/>
                    <w:jc w:val="center"/>
                    <w:jc w:val="center"/>
                  </w:pPr>
                  <w:r>
                    <w:t xml:space="preserve">null bestK&gt;1 rate</w:t>
                  </w:r>
                </w:p>
              </w:tc>
              <w:tc>
                <w:tcPr/>
                <w:p>
                  <w:pPr>
                    <w:pStyle w:val="Compact"/>
                    <w:jc w:val="center"/>
                    <w:jc w:val="center"/>
                  </w:pPr>
                  <w:r>
                    <w:t xml:space="preserve">B_finite</w:t>
                  </w:r>
                </w:p>
              </w:tc>
              <w:tc>
                <w:tcPr/>
                <w:p>
                  <w:pPr>
                    <w:pStyle w:val="Compact"/>
                    <w:jc w:val="left"/>
                    <w:jc w:val="center"/>
                  </w:pPr>
                  <w:r>
                    <w:t xml:space="preserve">failures</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20.03</w:t>
                  </w:r>
                </w:p>
              </w:tc>
              <w:tc>
                <w:tcPr/>
                <w:p>
                  <w:pPr>
                    <w:pStyle w:val="Compact"/>
                    <w:jc w:val="center"/>
                    <w:jc w:val="center"/>
                  </w:pPr>
                  <w:r>
                    <w:t xml:space="preserve">14.40</w:t>
                  </w:r>
                </w:p>
              </w:tc>
              <w:tc>
                <w:tcPr/>
                <w:p>
                  <w:pPr>
                    <w:pStyle w:val="Compact"/>
                    <w:jc w:val="center"/>
                    <w:jc w:val="center"/>
                  </w:pPr>
                  <w:r>
                    <w:t xml:space="preserve">15.11</w:t>
                  </w:r>
                </w:p>
              </w:tc>
              <w:tc>
                <w:tcPr/>
                <w:p>
                  <w:pPr>
                    <w:pStyle w:val="Compact"/>
                    <w:jc w:val="center"/>
                    <w:jc w:val="center"/>
                  </w:pPr>
                  <w:r>
                    <w:t xml:space="preserve">5.37</w:t>
                  </w:r>
                </w:p>
              </w:tc>
              <w:tc>
                <w:tcPr/>
                <w:p>
                  <w:pPr>
                    <w:pStyle w:val="Compact"/>
                    <w:jc w:val="center"/>
                    <w:jc w:val="center"/>
                  </w:pPr>
                  <w:r>
                    <w:t xml:space="preserve">0.160</w:t>
                  </w:r>
                </w:p>
              </w:tc>
              <w:tc>
                <w:tcPr/>
                <w:p>
                  <w:pPr>
                    <w:pStyle w:val="Compact"/>
                    <w:jc w:val="center"/>
                    <w:jc w:val="center"/>
                  </w:pPr>
                  <w:r>
                    <w:t xml:space="preserve">0.320</w:t>
                  </w:r>
                </w:p>
              </w:tc>
              <w:tc>
                <w:tcPr/>
                <w:p>
                  <w:pPr>
                    <w:pStyle w:val="Compact"/>
                    <w:jc w:val="center"/>
                    <w:jc w:val="center"/>
                  </w:pPr>
                  <w:r>
                    <w:t xml:space="preserve">0.270</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65.31</w:t>
                  </w:r>
                </w:p>
              </w:tc>
              <w:tc>
                <w:tcPr/>
                <w:p>
                  <w:pPr>
                    <w:pStyle w:val="Compact"/>
                    <w:jc w:val="center"/>
                    <w:jc w:val="center"/>
                  </w:pPr>
                  <w:r>
                    <w:t xml:space="preserve">38.97</w:t>
                  </w:r>
                </w:p>
              </w:tc>
              <w:tc>
                <w:tcPr/>
                <w:p>
                  <w:pPr>
                    <w:pStyle w:val="Compact"/>
                    <w:jc w:val="center"/>
                    <w:jc w:val="center"/>
                  </w:pPr>
                  <w:r>
                    <w:t xml:space="preserve">45.24</w:t>
                  </w:r>
                </w:p>
              </w:tc>
              <w:tc>
                <w:tcPr/>
                <w:p>
                  <w:pPr>
                    <w:pStyle w:val="Compact"/>
                    <w:jc w:val="center"/>
                    <w:jc w:val="center"/>
                  </w:pPr>
                  <w:r>
                    <w:t xml:space="preserve">19.58</w:t>
                  </w:r>
                </w:p>
              </w:tc>
              <w:tc>
                <w:tcPr/>
                <w:p>
                  <w:pPr>
                    <w:pStyle w:val="Compact"/>
                    <w:jc w:val="center"/>
                    <w:jc w:val="center"/>
                  </w:pPr>
                  <w:r>
                    <w:t xml:space="preserve">0.086</w:t>
                  </w:r>
                </w:p>
              </w:tc>
              <w:tc>
                <w:tcPr/>
                <w:p>
                  <w:pPr>
                    <w:pStyle w:val="Compact"/>
                    <w:jc w:val="center"/>
                    <w:jc w:val="center"/>
                  </w:pPr>
                  <w:r>
                    <w:t xml:space="preserve">0.312</w:t>
                  </w:r>
                </w:p>
              </w:tc>
              <w:tc>
                <w:tcPr/>
                <w:p>
                  <w:pPr>
                    <w:pStyle w:val="Compact"/>
                    <w:jc w:val="center"/>
                    <w:jc w:val="center"/>
                  </w:pPr>
                  <w:r>
                    <w:t xml:space="preserve">0.276</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62.68</w:t>
                  </w:r>
                </w:p>
              </w:tc>
              <w:tc>
                <w:tcPr/>
                <w:p>
                  <w:pPr>
                    <w:pStyle w:val="Compact"/>
                    <w:jc w:val="center"/>
                    <w:jc w:val="center"/>
                  </w:pPr>
                  <w:r>
                    <w:t xml:space="preserve">60.04</w:t>
                  </w:r>
                </w:p>
              </w:tc>
              <w:tc>
                <w:tcPr/>
                <w:p>
                  <w:pPr>
                    <w:pStyle w:val="Compact"/>
                    <w:jc w:val="center"/>
                    <w:jc w:val="center"/>
                  </w:pPr>
                  <w:r>
                    <w:t xml:space="preserve">50.82</w:t>
                  </w:r>
                </w:p>
              </w:tc>
              <w:tc>
                <w:tcPr/>
                <w:p>
                  <w:pPr>
                    <w:pStyle w:val="Compact"/>
                    <w:jc w:val="center"/>
                    <w:jc w:val="center"/>
                  </w:pPr>
                  <w:r>
                    <w:t xml:space="preserve">7.38</w:t>
                  </w:r>
                </w:p>
              </w:tc>
              <w:tc>
                <w:tcPr/>
                <w:p>
                  <w:pPr>
                    <w:pStyle w:val="Compact"/>
                    <w:jc w:val="center"/>
                    <w:jc w:val="center"/>
                  </w:pPr>
                  <w:r>
                    <w:t xml:space="preserve">0.104</w:t>
                  </w:r>
                </w:p>
              </w:tc>
              <w:tc>
                <w:tcPr/>
                <w:p>
                  <w:pPr>
                    <w:pStyle w:val="Compact"/>
                    <w:jc w:val="center"/>
                    <w:jc w:val="center"/>
                  </w:pPr>
                  <w:r>
                    <w:t xml:space="preserve">0.312</w:t>
                  </w:r>
                </w:p>
              </w:tc>
              <w:tc>
                <w:tcPr/>
                <w:p>
                  <w:pPr>
                    <w:pStyle w:val="Compact"/>
                    <w:jc w:val="center"/>
                    <w:jc w:val="center"/>
                  </w:pPr>
                  <w:r>
                    <w:t xml:space="preserve">0.118</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-3.54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0.90</w:t>
                  </w:r>
                </w:p>
              </w:tc>
              <w:tc>
                <w:tcPr/>
                <w:p>
                  <w:pPr>
                    <w:pStyle w:val="Compact"/>
                    <w:jc w:val="center"/>
                    <w:jc w:val="center"/>
                  </w:pPr>
                  <w:r>
                    <w:t xml:space="preserve">0.90</w:t>
                  </w:r>
                </w:p>
              </w:tc>
              <w:tc>
                <w:tcPr/>
                <w:p>
                  <w:pPr>
                    <w:pStyle w:val="Compact"/>
                    <w:jc w:val="center"/>
                    <w:jc w:val="center"/>
                  </w:pPr>
                  <w:r>
                    <w:t xml:space="preserve">3.18</w:t>
                  </w:r>
                </w:p>
              </w:tc>
              <w:tc>
                <w:tcPr/>
                <w:p>
                  <w:pPr>
                    <w:pStyle w:val="Compact"/>
                    <w:jc w:val="center"/>
                    <w:jc w:val="center"/>
                  </w:pPr>
                  <w:r>
                    <w:t xml:space="preserve">3.93</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0.98</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-4.17</w:t>
                  </w:r>
                </w:p>
              </w:tc>
              <w:tc>
                <w:tcPr/>
                <w:p>
                  <w:pPr>
                    <w:pStyle w:val="Compact"/>
                    <w:jc w:val="center"/>
                    <w:jc w:val="center"/>
                  </w:pPr>
                  <w:r>
                    <w:t xml:space="preserve">0.14</w:t>
                  </w:r>
                </w:p>
              </w:tc>
              <w:tc>
                <w:tcPr/>
                <w:p>
                  <w:pPr>
                    <w:pStyle w:val="Compact"/>
                    <w:jc w:val="center"/>
                    <w:jc w:val="center"/>
                  </w:pPr>
                  <w:r>
                    <w:t xml:space="preserve">0.42</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0.10</w:t>
                  </w:r>
                </w:p>
              </w:tc>
              <w:tc>
                <w:tcPr/>
                <w:p>
                  <w:pPr>
                    <w:pStyle w:val="Compact"/>
                    <w:jc w:val="center"/>
                    <w:jc w:val="center"/>
                  </w:pPr>
                  <w:r>
                    <w:t xml:space="preserve">499</w:t>
                  </w:r>
                </w:p>
              </w:tc>
              <w:tc>
                <w:tcPr/>
                <w:p>
                  <w:pPr>
                    <w:pStyle w:val="Compact"/>
                    <w:jc w:val="left"/>
                    <w:jc w:val="center"/>
                  </w:pPr>
                  <w:r>
                    <w:t xml:space="preserve">0</w:t>
                  </w:r>
                </w:p>
              </w:tc>
            </w:tr>
          </w:tbl>
          <w:p>
            <w:pPr>
              <w:jc w:val="center"/>
            </w:pPr>
            <w:pPr>
              <w:jc w:val="start"/>
              <w:spacing w:before="200"/>
              <w:pStyle w:val="ImageCaption"/>
            </w:pPr>
            <w:r>
              <w:t xml:space="preserve">Table S 34: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All six cells have B_finite = 499, failures = 0.</w:t>
            </w:r>
          </w:p>
          <w:bookmarkEnd w:id="184"/>
        </w:tc>
      </w:tr>
    </w:tbl>
    <w:tbl>
      <w:tblPr>
        <w:tblStyle w:val="Table"/>
        <w:tblW w:type="pct" w:w="5000"/>
        <w:tblLook w:firstRow="0" w:lastRow="0" w:firstColumn="0" w:lastColumn="0" w:noHBand="0" w:noVBand="0" w:val="0000"/>
        <w:jc w:val="start"/>
        <w:tblLayout w:type="fixed"/>
      </w:tblPr>
      <w:tblGrid>
        <w:gridCol w:w="7920"/>
      </w:tblGrid>
      <w:tr>
        <w:tc>
          <w:tcPr/>
          <w:bookmarkStart w:id="188" w:name="fig-sbm-null-1"/>
          <w:p>
            <w:pPr>
              <w:pStyle w:val="Compact"/>
              <w:jc w:val="center"/>
            </w:pPr>
            <w:r>
              <w:drawing>
                <wp:inline>
                  <wp:extent cx="5943600" cy="2971800"/>
                  <wp:effectExtent b="0" l="0" r="0" t="0"/>
                  <wp:docPr descr="" title="" id="186" name="Picture"/>
                  <a:graphic>
                    <a:graphicData uri="http://schemas.openxmlformats.org/drawingml/2006/picture">
                      <pic:pic>
                        <pic:nvPicPr>
                          <pic:cNvPr descr="S1-supplement-sensitivity_files/figure-docx/fig-sbm-null-1.png" id="187" name="Picture"/>
                          <pic:cNvPicPr>
                            <a:picLocks noChangeArrowheads="1" noChangeAspect="1"/>
                          </pic:cNvPicPr>
                        </pic:nvPicPr>
                        <pic:blipFill>
                          <a:blip r:embed="rId18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8"/>
        </w:tc>
      </w:tr>
    </w:tbl>
    <w:tbl>
      <w:tblPr>
        <w:tblStyle w:val="Table"/>
        <w:tblW w:type="pct" w:w="5000"/>
        <w:tblLook w:firstRow="0" w:lastRow="0" w:firstColumn="0" w:lastColumn="0" w:noHBand="0" w:noVBand="0" w:val="0000"/>
        <w:jc w:val="start"/>
        <w:tblLayout w:type="fixed"/>
      </w:tblPr>
      <w:tblGrid>
        <w:gridCol w:w="7920"/>
      </w:tblGrid>
      <w:tr>
        <w:tc>
          <w:tcPr/>
          <w:bookmarkStart w:id="192" w:name="fig-sbm-null-2"/>
          <w:p>
            <w:pPr>
              <w:pStyle w:val="Compact"/>
              <w:jc w:val="center"/>
            </w:pPr>
            <w:r>
              <w:drawing>
                <wp:inline>
                  <wp:extent cx="5943600" cy="2971800"/>
                  <wp:effectExtent b="0" l="0" r="0" t="0"/>
                  <wp:docPr descr="" title="" id="190" name="Picture"/>
                  <a:graphic>
                    <a:graphicData uri="http://schemas.openxmlformats.org/drawingml/2006/picture">
                      <pic:pic>
                        <pic:nvPicPr>
                          <pic:cNvPr descr="../figures/sbm-null-test-plot.png" id="191" name="Picture"/>
                          <pic:cNvPicPr>
                            <a:picLocks noChangeArrowheads="1" noChangeAspect="1"/>
                          </pic:cNvPicPr>
                        </pic:nvPicPr>
                        <pic:blipFill>
                          <a:blip r:embed="rId18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92"/>
        </w:tc>
      </w:tr>
    </w:tbl>
    <w:bookmarkEnd w:id="193"/>
    <w:bookmarkStart w:id="194"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4"/>
    <w:bookmarkEnd w:id="195"/>
    <w:bookmarkStart w:id="208" w:name="sec-s9-6"/>
    <w:p>
      <w:pPr>
        <w:pStyle w:val="Heading2"/>
      </w:pPr>
      <w:r>
        <w:t xml:space="preserve">S1.9.5 Seriation-Order Null Test</w:t>
      </w:r>
    </w:p>
    <w:bookmarkStart w:id="205" w:name="rationale-17"/>
    <w:p>
      <w:pPr>
        <w:pStyle w:val="Heading3"/>
      </w:pPr>
      <w:r>
        <w:t xml:space="preserve">Rationale</w:t>
      </w:r>
    </w:p>
    <w:p>
      <w:pPr>
        <w:pStyle w:val="FirstParagraph"/>
      </w:pPr>
      <w:r>
        <w:t xml:space="preserve">The main-text seriation (Figure 2)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(S9-4, S10-A, S10-1)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6" w:name="tbl-seriation-null"/>
          <w:tbl>
            <w:tblPr>
              <w:tblStyle w:val="Table"/>
              <w:tblW w:type="pct" w:w="5000"/>
              <w:tblLook w:firstRow="1" w:lastRow="0" w:firstColumn="0" w:lastColumn="0" w:noHBand="0" w:noVBand="0" w:val="0020"/>
              <w:jc w:val="start"/>
              <w:tblLayout w:type="fixed"/>
            </w:tblPr>
            <w:tblGrid>
              <w:gridCol w:w="874"/>
              <w:gridCol w:w="340"/>
              <w:gridCol w:w="923"/>
              <w:gridCol w:w="777"/>
              <w:gridCol w:w="680"/>
              <w:gridCol w:w="826"/>
              <w:gridCol w:w="826"/>
              <w:gridCol w:w="777"/>
              <w:gridCol w:w="680"/>
              <w:gridCol w:w="728"/>
              <w:gridCol w:w="485"/>
            </w:tblGrid>
            <w:tr>
              <w:trPr>
                <w:tblHeader w:val="true"/>
              </w:trPr>
              <w:tc>
                <w:tcPr/>
                <w:p>
                  <w:pPr>
                    <w:pStyle w:val="Compact"/>
                  </w:pPr>
                </w:p>
              </w:tc>
              <w:tc>
                <w:tcPr/>
                <w:p>
                  <w:pPr>
                    <w:pStyle w:val="Compact"/>
                    <w:jc w:val="left"/>
                    <w:jc w:val="center"/>
                  </w:pPr>
                  <w:r>
                    <w:t xml:space="preserve">Phase</w:t>
                  </w:r>
                </w:p>
              </w:tc>
              <w:tc>
                <w:tcPr/>
                <w:p>
                  <w:pPr>
                    <w:pStyle w:val="Compact"/>
                    <w:jc w:val="center"/>
                    <w:jc w:val="center"/>
                  </w:pPr>
                  <w:r>
                    <w:t xml:space="preserve">Obs_concentration</w:t>
                  </w:r>
                </w:p>
              </w:tc>
              <w:tc>
                <w:tcPr/>
                <w:p>
                  <w:pPr>
                    <w:pStyle w:val="Compact"/>
                    <w:jc w:val="center"/>
                    <w:jc w:val="center"/>
                  </w:pPr>
                  <w:r>
                    <w:t xml:space="preserve">Null_mean_conc</w:t>
                  </w:r>
                </w:p>
              </w:tc>
              <w:tc>
                <w:tcPr/>
                <w:p>
                  <w:pPr>
                    <w:pStyle w:val="Compact"/>
                    <w:jc w:val="center"/>
                    <w:jc w:val="center"/>
                  </w:pPr>
                  <w:r>
                    <w:t xml:space="preserve">Null_sd_conc</w:t>
                  </w:r>
                </w:p>
              </w:tc>
              <w:tc>
                <w:tcPr/>
                <w:p>
                  <w:pPr>
                    <w:pStyle w:val="Compact"/>
                    <w:jc w:val="center"/>
                    <w:jc w:val="center"/>
                  </w:pPr>
                  <w:r>
                    <w:t xml:space="preserve">p_concentration</w:t>
                  </w:r>
                </w:p>
              </w:tc>
              <w:tc>
                <w:tcPr/>
                <w:p>
                  <w:pPr>
                    <w:pStyle w:val="Compact"/>
                    <w:jc w:val="center"/>
                    <w:jc w:val="center"/>
                  </w:pPr>
                  <w:r>
                    <w:t xml:space="preserve">Obs_path_length</w:t>
                  </w:r>
                </w:p>
              </w:tc>
              <w:tc>
                <w:tcPr/>
                <w:p>
                  <w:pPr>
                    <w:pStyle w:val="Compact"/>
                    <w:jc w:val="center"/>
                    <w:jc w:val="center"/>
                  </w:pPr>
                  <w:r>
                    <w:t xml:space="preserve">Null_mean_path</w:t>
                  </w:r>
                </w:p>
              </w:tc>
              <w:tc>
                <w:tcPr/>
                <w:p>
                  <w:pPr>
                    <w:pStyle w:val="Compact"/>
                    <w:jc w:val="center"/>
                    <w:jc w:val="center"/>
                  </w:pPr>
                  <w:r>
                    <w:t xml:space="preserve">Null_sd_path</w:t>
                  </w:r>
                </w:p>
              </w:tc>
              <w:tc>
                <w:tcPr/>
                <w:p>
                  <w:pPr>
                    <w:pStyle w:val="Compact"/>
                    <w:jc w:val="center"/>
                    <w:jc w:val="center"/>
                  </w:pPr>
                  <w:r>
                    <w:t xml:space="preserve">p_path_length</w:t>
                  </w:r>
                </w:p>
              </w:tc>
              <w:tc>
                <w:tcPr/>
                <w:p>
                  <w:pPr>
                    <w:pStyle w:val="Compact"/>
                    <w:jc w:val="center"/>
                    <w:jc w:val="center"/>
                  </w:pPr>
                  <w:r>
                    <w:t xml:space="preserve">B_finite</w:t>
                  </w:r>
                </w:p>
              </w:tc>
            </w:tr>
            <w:tr>
              <w:tc>
                <w:tcPr/>
                <w:p>
                  <w:pPr>
                    <w:pStyle w:val="Compact"/>
                    <w:jc w:val="left"/>
                    <w:jc w:val="center"/>
                  </w:pPr>
                  <w:r>
                    <w:t xml:space="preserve">concentration…1</w:t>
                  </w:r>
                </w:p>
              </w:tc>
              <w:tc>
                <w:tcPr/>
                <w:p>
                  <w:pPr>
                    <w:pStyle w:val="Compact"/>
                    <w:jc w:val="left"/>
                    <w:jc w:val="center"/>
                  </w:pPr>
                  <w:r>
                    <w:t xml:space="preserve">Aur-P1</w:t>
                  </w:r>
                </w:p>
              </w:tc>
              <w:tc>
                <w:tcPr/>
                <w:p>
                  <w:pPr>
                    <w:pStyle w:val="Compact"/>
                    <w:jc w:val="center"/>
                    <w:jc w:val="center"/>
                  </w:pPr>
                  <w:r>
                    <w:t xml:space="preserve">0.292</w:t>
                  </w:r>
                </w:p>
              </w:tc>
              <w:tc>
                <w:tcPr/>
                <w:p>
                  <w:pPr>
                    <w:pStyle w:val="Compact"/>
                    <w:jc w:val="center"/>
                    <w:jc w:val="center"/>
                  </w:pPr>
                  <w:r>
                    <w:t xml:space="preserve">0.314</w:t>
                  </w:r>
                </w:p>
              </w:tc>
              <w:tc>
                <w:tcPr/>
                <w:p>
                  <w:pPr>
                    <w:pStyle w:val="Compact"/>
                    <w:jc w:val="center"/>
                    <w:jc w:val="center"/>
                  </w:pPr>
                  <w:r>
                    <w:t xml:space="preserve">0.040</w:t>
                  </w:r>
                </w:p>
              </w:tc>
              <w:tc>
                <w:tcPr/>
                <w:p>
                  <w:pPr>
                    <w:pStyle w:val="Compact"/>
                    <w:jc w:val="center"/>
                    <w:jc w:val="center"/>
                  </w:pPr>
                  <w:r>
                    <w:t xml:space="preserve">0.311</w:t>
                  </w:r>
                </w:p>
              </w:tc>
              <w:tc>
                <w:tcPr/>
                <w:p>
                  <w:pPr>
                    <w:pStyle w:val="Compact"/>
                    <w:jc w:val="center"/>
                    <w:jc w:val="center"/>
                  </w:pPr>
                  <w:r>
                    <w:t xml:space="preserve">10.211</w:t>
                  </w:r>
                </w:p>
              </w:tc>
              <w:tc>
                <w:tcPr/>
                <w:p>
                  <w:pPr>
                    <w:pStyle w:val="Compact"/>
                    <w:jc w:val="center"/>
                    <w:jc w:val="center"/>
                  </w:pPr>
                  <w:r>
                    <w:t xml:space="preserve">11.213</w:t>
                  </w:r>
                </w:p>
              </w:tc>
              <w:tc>
                <w:tcPr/>
                <w:p>
                  <w:pPr>
                    <w:pStyle w:val="Compact"/>
                    <w:jc w:val="center"/>
                    <w:jc w:val="center"/>
                  </w:pPr>
                  <w:r>
                    <w:t xml:space="preserve">0.899</w:t>
                  </w:r>
                </w:p>
              </w:tc>
              <w:tc>
                <w:tcPr/>
                <w:p>
                  <w:pPr>
                    <w:pStyle w:val="Compact"/>
                    <w:jc w:val="center"/>
                    <w:jc w:val="center"/>
                  </w:pPr>
                  <w:r>
                    <w:t xml:space="preserve">0.169</w:t>
                  </w:r>
                </w:p>
              </w:tc>
              <w:tc>
                <w:tcPr/>
                <w:p>
                  <w:pPr>
                    <w:pStyle w:val="Compact"/>
                    <w:jc w:val="center"/>
                    <w:jc w:val="center"/>
                  </w:pPr>
                  <w:r>
                    <w:t xml:space="preserve">999</w:t>
                  </w:r>
                </w:p>
              </w:tc>
            </w:tr>
            <w:tr>
              <w:tc>
                <w:tcPr/>
                <w:p>
                  <w:pPr>
                    <w:pStyle w:val="Compact"/>
                    <w:jc w:val="left"/>
                    <w:jc w:val="center"/>
                  </w:pPr>
                  <w:r>
                    <w:t xml:space="preserve">concentration…2</w:t>
                  </w:r>
                </w:p>
              </w:tc>
              <w:tc>
                <w:tcPr/>
                <w:p>
                  <w:pPr>
                    <w:pStyle w:val="Compact"/>
                    <w:jc w:val="left"/>
                    <w:jc w:val="center"/>
                  </w:pPr>
                  <w:r>
                    <w:t xml:space="preserve">Aur-P2</w:t>
                  </w:r>
                </w:p>
              </w:tc>
              <w:tc>
                <w:tcPr/>
                <w:p>
                  <w:pPr>
                    <w:pStyle w:val="Compact"/>
                    <w:jc w:val="center"/>
                    <w:jc w:val="center"/>
                  </w:pPr>
                  <w:r>
                    <w:t xml:space="preserve">0.415</w:t>
                  </w:r>
                </w:p>
              </w:tc>
              <w:tc>
                <w:tcPr/>
                <w:p>
                  <w:pPr>
                    <w:pStyle w:val="Compact"/>
                    <w:jc w:val="center"/>
                    <w:jc w:val="center"/>
                  </w:pPr>
                  <w:r>
                    <w:t xml:space="preserve">0.366</w:t>
                  </w:r>
                </w:p>
              </w:tc>
              <w:tc>
                <w:tcPr/>
                <w:p>
                  <w:pPr>
                    <w:pStyle w:val="Compact"/>
                    <w:jc w:val="center"/>
                    <w:jc w:val="center"/>
                  </w:pPr>
                  <w:r>
                    <w:t xml:space="preserve">0.035</w:t>
                  </w:r>
                </w:p>
              </w:tc>
              <w:tc>
                <w:tcPr/>
                <w:p>
                  <w:pPr>
                    <w:pStyle w:val="Compact"/>
                    <w:jc w:val="center"/>
                    <w:jc w:val="center"/>
                  </w:pPr>
                  <w:r>
                    <w:t xml:space="preserve">0.912</w:t>
                  </w:r>
                </w:p>
              </w:tc>
              <w:tc>
                <w:tcPr/>
                <w:p>
                  <w:pPr>
                    <w:pStyle w:val="Compact"/>
                    <w:jc w:val="center"/>
                    <w:jc w:val="center"/>
                  </w:pPr>
                  <w:r>
                    <w:t xml:space="preserve">4.381</w:t>
                  </w:r>
                </w:p>
              </w:tc>
              <w:tc>
                <w:tcPr/>
                <w:p>
                  <w:pPr>
                    <w:pStyle w:val="Compact"/>
                    <w:jc w:val="center"/>
                    <w:jc w:val="center"/>
                  </w:pPr>
                  <w:r>
                    <w:t xml:space="preserve">4.046</w:t>
                  </w:r>
                </w:p>
              </w:tc>
              <w:tc>
                <w:tcPr/>
                <w:p>
                  <w:pPr>
                    <w:pStyle w:val="Compact"/>
                    <w:jc w:val="center"/>
                    <w:jc w:val="center"/>
                  </w:pPr>
                  <w:r>
                    <w:t xml:space="preserve">0.359</w:t>
                  </w:r>
                </w:p>
              </w:tc>
              <w:tc>
                <w:tcPr/>
                <w:p>
                  <w:pPr>
                    <w:pStyle w:val="Compact"/>
                    <w:jc w:val="center"/>
                    <w:jc w:val="center"/>
                  </w:pPr>
                  <w:r>
                    <w:t xml:space="preserve">0.854</w:t>
                  </w:r>
                </w:p>
              </w:tc>
              <w:tc>
                <w:tcPr/>
                <w:p>
                  <w:pPr>
                    <w:pStyle w:val="Compact"/>
                    <w:jc w:val="center"/>
                    <w:jc w:val="center"/>
                  </w:pPr>
                  <w:r>
                    <w:t xml:space="preserve">999</w:t>
                  </w:r>
                </w:p>
              </w:tc>
            </w:tr>
          </w:tbl>
          <w:p>
            <w:pPr>
              <w:jc w:val="center"/>
            </w:pPr>
            <w:pPr>
              <w:jc w:val="start"/>
              <w:spacing w:before="200"/>
              <w:pStyle w:val="ImageCaption"/>
            </w:pPr>
            <w:r>
              <w:t xml:space="preserve">Table S 35: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6"/>
        </w:tc>
      </w:tr>
    </w:tbl>
    <w:tbl>
      <w:tblPr>
        <w:tblStyle w:val="Table"/>
        <w:tblW w:type="pct" w:w="5000"/>
        <w:tblLook w:firstRow="0" w:lastRow="0" w:firstColumn="0" w:lastColumn="0" w:noHBand="0" w:noVBand="0" w:val="0000"/>
        <w:jc w:val="start"/>
        <w:tblLayout w:type="fixed"/>
      </w:tblPr>
      <w:tblGrid>
        <w:gridCol w:w="7920"/>
      </w:tblGrid>
      <w:tr>
        <w:tc>
          <w:tcPr/>
          <w:bookmarkStart w:id="200" w:name="fig-seriation-null-1"/>
          <w:p>
            <w:pPr>
              <w:pStyle w:val="Compact"/>
              <w:jc w:val="center"/>
            </w:pPr>
            <w:r>
              <w:drawing>
                <wp:inline>
                  <wp:extent cx="5943600" cy="2971800"/>
                  <wp:effectExtent b="0" l="0" r="0" t="0"/>
                  <wp:docPr descr="" title="" id="198" name="Picture"/>
                  <a:graphic>
                    <a:graphicData uri="http://schemas.openxmlformats.org/drawingml/2006/picture">
                      <pic:pic>
                        <pic:nvPicPr>
                          <pic:cNvPr descr="S1-supplement-sensitivity_files/figure-docx/fig-seriation-null-1.png" id="199" name="Picture"/>
                          <pic:cNvPicPr>
                            <a:picLocks noChangeArrowheads="1" noChangeAspect="1"/>
                          </pic:cNvPicPr>
                        </pic:nvPicPr>
                        <pic:blipFill>
                          <a:blip r:embed="rId19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200"/>
        </w:tc>
      </w:tr>
    </w:tbl>
    <w:tbl>
      <w:tblPr>
        <w:tblStyle w:val="Table"/>
        <w:tblW w:type="pct" w:w="5000"/>
        <w:tblLook w:firstRow="0" w:lastRow="0" w:firstColumn="0" w:lastColumn="0" w:noHBand="0" w:noVBand="0" w:val="0000"/>
        <w:jc w:val="start"/>
        <w:tblLayout w:type="fixed"/>
      </w:tblPr>
      <w:tblGrid>
        <w:gridCol w:w="7920"/>
      </w:tblGrid>
      <w:tr>
        <w:tc>
          <w:tcPr/>
          <w:bookmarkStart w:id="204" w:name="fig-seriation-null-2"/>
          <w:p>
            <w:pPr>
              <w:pStyle w:val="Compact"/>
              <w:jc w:val="center"/>
            </w:pPr>
            <w:r>
              <w:drawing>
                <wp:inline>
                  <wp:extent cx="5943600" cy="2971800"/>
                  <wp:effectExtent b="0" l="0" r="0" t="0"/>
                  <wp:docPr descr="" title="" id="202" name="Picture"/>
                  <a:graphic>
                    <a:graphicData uri="http://schemas.openxmlformats.org/drawingml/2006/picture">
                      <pic:pic>
                        <pic:nvPicPr>
                          <pic:cNvPr descr="../figures/seriation-null-test-plot.png" id="203" name="Picture"/>
                          <pic:cNvPicPr>
                            <a:picLocks noChangeArrowheads="1" noChangeAspect="1"/>
                          </pic:cNvPicPr>
                        </pic:nvPicPr>
                        <pic:blipFill>
                          <a:blip r:embed="rId20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204"/>
        </w:tc>
      </w:tr>
    </w:tbl>
    <w:bookmarkEnd w:id="205"/>
    <w:bookmarkStart w:id="207"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(§S1.9.4), the maximally-selected split null (§S1.10-A), and the Simpson-turnover null (§S1.10.1), which all fail to reject richness-preserving nulls. The two-group visual impression from the seriation is a real and reproducible gradient (supported by bootstrap consensus in §S1.9.2), but its independence from sampling effort is not demonstrated for small-assemblage sites.</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206"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36: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206"/>
        </w:tc>
      </w:tr>
    </w:tbl>
    <w:bookmarkEnd w:id="207"/>
    <w:bookmarkEnd w:id="208"/>
    <w:bookmarkStart w:id="211" w:name="sec-s9-5"/>
    <w:p>
      <w:pPr>
        <w:pStyle w:val="Heading2"/>
      </w:pPr>
      <w:r>
        <w:t xml:space="preserve">S1.9.6 Cross-Validation of Group Assignments (ARI)</w:t>
      </w:r>
    </w:p>
    <w:bookmarkStart w:id="209"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bookmarkEnd w:id="209"/>
    <w:bookmarkStart w:id="210"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36</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36</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S1.9.4</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210"/>
    <w:bookmarkEnd w:id="211"/>
    <w:bookmarkEnd w:id="212"/>
    <w:bookmarkStart w:id="220" w:name="sec-s10"/>
    <w:p>
      <w:pPr>
        <w:pStyle w:val="Heading1"/>
      </w:pPr>
      <w:r>
        <w:t xml:space="preserve">S1.10 Withheld-Data Validation</w:t>
      </w:r>
    </w:p>
    <w:bookmarkStart w:id="214"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[21,22]</w:t>
      </w:r>
      <w:r>
        <w:t xml:space="preserve">. P-values from 100 dependent splits are reported as median p, proportion significant, and Brown’s method for dependent p-values</w:t>
      </w:r>
      <w:r>
        <w:t xml:space="preserve"> </w:t>
      </w:r>
      <w:r>
        <w:t xml:space="preserve">[23,24]</w:t>
      </w:r>
      <w:r>
        <w:t xml:space="preserve">, not Fisher’s method which assumes independence. Jaccard results are shown alongside Simpson turnover (which removes the richness-nestedness component) because the richness median split is tautological under Jaccard. It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13" w:name="tbl-validation-summary"/>
          <w:tbl>
            <w:tblPr>
              <w:tblStyle w:val="Table"/>
              <w:tblW w:type="pct" w:w="5000"/>
              <w:tblLook w:firstRow="1" w:lastRow="0" w:firstColumn="0" w:lastColumn="0" w:noHBand="0" w:noVBand="0" w:val="0020"/>
              <w:jc w:val="start"/>
              <w:tblLayout w:type="fixed"/>
            </w:tblPr>
            <w:tblGrid>
              <w:gridCol w:w="3321"/>
              <w:gridCol w:w="1703"/>
              <w:gridCol w:w="2895"/>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3.72</w:t>
                  </w:r>
                </w:p>
              </w:tc>
              <w:tc>
                <w:tcPr/>
                <w:p>
                  <w:pPr>
                    <w:pStyle w:val="Compact"/>
                    <w:jc w:val="center"/>
                    <w:jc w:val="center"/>
                  </w:pPr>
                  <w:r>
                    <w:t xml:space="preserve">0.139</w:t>
                  </w:r>
                </w:p>
              </w:tc>
            </w:tr>
            <w:tr>
              <w:tc>
                <w:tcPr/>
                <w:p>
                  <w:pPr>
                    <w:pStyle w:val="Compact"/>
                    <w:jc w:val="left"/>
                    <w:jc w:val="center"/>
                  </w:pPr>
                  <w:r>
                    <w:t xml:space="preserve">A: Maximally-selected split (P2)</w:t>
                  </w:r>
                </w:p>
              </w:tc>
              <w:tc>
                <w:tcPr/>
                <w:p>
                  <w:pPr>
                    <w:pStyle w:val="Compact"/>
                    <w:jc w:val="left"/>
                    <w:jc w:val="center"/>
                  </w:pPr>
                  <w:r>
                    <w:t xml:space="preserve">1.77</w:t>
                  </w:r>
                </w:p>
              </w:tc>
              <w:tc>
                <w:tcPr/>
                <w:p>
                  <w:pPr>
                    <w:pStyle w:val="Compact"/>
                    <w:jc w:val="center"/>
                    <w:jc w:val="center"/>
                  </w:pPr>
                  <w:r>
                    <w:t xml:space="preserve">1</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55% sig, med p=0.04</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p=0.199</w:t>
                  </w:r>
                </w:p>
              </w:tc>
              <w:tc>
                <w:tcPr/>
                <w:p>
                  <w:pPr>
                    <w:pStyle w:val="Compact"/>
                    <w:jc w:val="center"/>
                    <w:jc w:val="center"/>
                  </w:pPr>
                  <w:r>
                    <w:t xml:space="preserve">Brown 5.18e-08 (Fisher 1.41e-07)</w:t>
                  </w:r>
                </w:p>
              </w:tc>
            </w:tr>
            <w:tr>
              <w:tc>
                <w:tcPr/>
                <w:p>
                  <w:pPr>
                    <w:pStyle w:val="Compact"/>
                    <w:jc w:val="left"/>
                    <w:jc w:val="center"/>
                  </w:pPr>
                  <w:r>
                    <w:t xml:space="preserve">B-ii: Object-half holdout Simpson (P1)</w:t>
                  </w:r>
                </w:p>
              </w:tc>
              <w:tc>
                <w:tcPr/>
                <w:p>
                  <w:pPr>
                    <w:pStyle w:val="Compact"/>
                    <w:jc w:val="left"/>
                    <w:jc w:val="center"/>
                  </w:pPr>
                  <w:r>
                    <w:t xml:space="preserve">0% sig, med p=0.976</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p=0.917</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37: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213"/>
        </w:tc>
      </w:tr>
    </w:tbl>
    <w:bookmarkEnd w:id="214"/>
    <w:bookmarkStart w:id="215"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for well-sampled sites).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Brown p = &lt;2e-16 (Fisher p = &lt;2e-16). Aur-P2 median p = 0.199 with 0% significant; Brown p = 5.18e-08 (Fisher p = 1.41e-07). Brown is an empirical approximation</w:t>
      </w:r>
      <w:r>
        <w:t xml:space="preserve"> </w:t>
      </w:r>
      <w:r>
        <w:t xml:space="preserve">[23,24 via Kost &amp; McDermott]</w:t>
      </w:r>
      <w:r>
        <w:t xml:space="preserve">; for Aur-P2 (5 usable sites) Brown (5.18e-08) is slightly anti-conservative vs. Fisher (1.41e-07),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Brown p = 1. Aur-P2 median p = 0.917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15"/>
    <w:bookmarkStart w:id="219" w:name="sec-s10-1"/>
    <w:p>
      <w:pPr>
        <w:pStyle w:val="Heading2"/>
      </w:pPr>
      <w:r>
        <w:t xml:space="preserve">S1.10.3 Richness-preserving nulls and Simpson turnover</w:t>
      </w:r>
    </w:p>
    <w:bookmarkStart w:id="217"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16"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38: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16"/>
        </w:tc>
      </w:tr>
    </w:tbl>
    <w:bookmarkEnd w:id="217"/>
    <w:bookmarkStart w:id="218"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8"/>
    <w:bookmarkEnd w:id="219"/>
    <w:bookmarkEnd w:id="220"/>
    <w:bookmarkStart w:id="242" w:name="sec-s11"/>
    <w:p>
      <w:pPr>
        <w:pStyle w:val="Heading1"/>
      </w:pPr>
      <w:r>
        <w:t xml:space="preserve">S1.11 Community Description</w:t>
      </w:r>
    </w:p>
    <w:bookmarkStart w:id="221"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It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21"/>
    <w:bookmarkStart w:id="228" w:name="sec-s11-1"/>
    <w:p>
      <w:pPr>
        <w:pStyle w:val="Heading2"/>
      </w:pPr>
      <w:r>
        <w:t xml:space="preserve">S1.11.2 Community membership</w:t>
      </w:r>
    </w:p>
    <w:bookmarkStart w:id="227"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22"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39: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22"/>
        </w:tc>
      </w:tr>
    </w:tbl>
    <w:tbl>
      <w:tblPr>
        <w:tblStyle w:val="Table"/>
        <w:tblW w:type="pct" w:w="5000"/>
        <w:tblLook w:firstRow="0" w:lastRow="0" w:firstColumn="0" w:lastColumn="0" w:noHBand="0" w:noVBand="0" w:val="0000"/>
        <w:jc w:val="start"/>
        <w:tblLayout w:type="fixed"/>
      </w:tblPr>
      <w:tblGrid>
        <w:gridCol w:w="7920"/>
      </w:tblGrid>
      <w:tr>
        <w:tc>
          <w:tcPr/>
          <w:bookmarkStart w:id="226" w:name="fig-comembership-heatmap"/>
          <w:p>
            <w:pPr>
              <w:pStyle w:val="Compact"/>
              <w:jc w:val="center"/>
            </w:pPr>
            <w:r>
              <w:drawing>
                <wp:inline>
                  <wp:extent cx="5943600" cy="5943600"/>
                  <wp:effectExtent b="0" l="0" r="0" t="0"/>
                  <wp:docPr descr="" title="" id="224" name="Picture"/>
                  <a:graphic>
                    <a:graphicData uri="http://schemas.openxmlformats.org/drawingml/2006/picture">
                      <pic:pic>
                        <pic:nvPicPr>
                          <pic:cNvPr descr="../figures/comembership-heatmap.png" id="225" name="Picture"/>
                          <pic:cNvPicPr>
                            <a:picLocks noChangeArrowheads="1" noChangeAspect="1"/>
                          </pic:cNvPicPr>
                        </pic:nvPicPr>
                        <pic:blipFill>
                          <a:blip r:embed="rId223"/>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26"/>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27"/>
    <w:bookmarkEnd w:id="228"/>
    <w:bookmarkStart w:id="231" w:name="sec-s11-2"/>
    <w:p>
      <w:pPr>
        <w:pStyle w:val="Heading2"/>
      </w:pPr>
      <w:r>
        <w:t xml:space="preserve">S1.11.3 Sign-type profiles</w:t>
      </w:r>
    </w:p>
    <w:bookmarkStart w:id="230"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9"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40: Sign-type composition of Louvain communities at threshold 0.2. Values show the proportion of sites within each community that have at least one object bearing the sign type. Only sign types present in ≥10% of sites in at least one community are shown.</w:t>
            </w:r>
          </w:p>
          <w:bookmarkEnd w:id="229"/>
        </w:tc>
      </w:tr>
    </w:tbl>
    <w:bookmarkEnd w:id="230"/>
    <w:bookmarkEnd w:id="231"/>
    <w:bookmarkStart w:id="237" w:name="sec-s11-3"/>
    <w:p>
      <w:pPr>
        <w:pStyle w:val="Heading2"/>
      </w:pPr>
      <w:r>
        <w:t xml:space="preserve">S1.11.4 Geographic distribution</w:t>
      </w:r>
    </w:p>
    <w:bookmarkStart w:id="236"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35" w:name="fig-community-maps"/>
          <w:p>
            <w:pPr>
              <w:pStyle w:val="Compact"/>
              <w:jc w:val="center"/>
            </w:pPr>
            <w:r>
              <w:drawing>
                <wp:inline>
                  <wp:extent cx="5943600" cy="4622800"/>
                  <wp:effectExtent b="0" l="0" r="0" t="0"/>
                  <wp:docPr descr="" title="" id="233" name="Picture"/>
                  <a:graphic>
                    <a:graphicData uri="http://schemas.openxmlformats.org/drawingml/2006/picture">
                      <pic:pic>
                        <pic:nvPicPr>
                          <pic:cNvPr descr="../figures/community-maps.png" id="234" name="Picture"/>
                          <pic:cNvPicPr>
                            <a:picLocks noChangeArrowheads="1" noChangeAspect="1"/>
                          </pic:cNvPicPr>
                        </pic:nvPicPr>
                        <pic:blipFill>
                          <a:blip r:embed="rId232"/>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35"/>
        </w:tc>
      </w:tr>
    </w:tbl>
    <w:bookmarkEnd w:id="236"/>
    <w:bookmarkEnd w:id="237"/>
    <w:bookmarkStart w:id="240" w:name="sec-s11-4"/>
    <w:p>
      <w:pPr>
        <w:pStyle w:val="Heading2"/>
      </w:pPr>
      <w:r>
        <w:t xml:space="preserve">S1.11.5 Cross-algorithm comparison</w:t>
      </w:r>
    </w:p>
    <w:bookmarkStart w:id="239"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8"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41: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38"/>
        </w:tc>
      </w:tr>
    </w:tbl>
    <w:bookmarkEnd w:id="239"/>
    <w:bookmarkEnd w:id="240"/>
    <w:bookmarkStart w:id="241"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39</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39</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40</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15</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15</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41</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41"/>
    <w:bookmarkEnd w:id="242"/>
    <w:bookmarkStart w:id="292" w:name="sec-s12"/>
    <w:p>
      <w:pPr>
        <w:pStyle w:val="Heading1"/>
      </w:pPr>
      <w:r>
        <w:t xml:space="preserve">S1.12 Object Types and Sampling Intensity</w:t>
      </w:r>
    </w:p>
    <w:bookmarkStart w:id="243"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43"/>
    <w:bookmarkStart w:id="251" w:name="sec-s12-1"/>
    <w:p>
      <w:pPr>
        <w:pStyle w:val="Heading2"/>
      </w:pPr>
      <w:r>
        <w:t xml:space="preserve">S1.12.2 Object-count distribution and feasible common counts</w:t>
      </w:r>
    </w:p>
    <w:bookmarkStart w:id="249"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44"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42: Per-site object counts by phase and manual restricted(1)/broad(2) group.</w:t>
            </w:r>
          </w:p>
          <w:bookmarkEnd w:id="244"/>
        </w:tc>
      </w:tr>
    </w:tbl>
    <w:tbl>
      <w:tblPr>
        <w:tblStyle w:val="Table"/>
        <w:tblW w:type="pct" w:w="5000"/>
        <w:tblLook w:firstRow="0" w:lastRow="0" w:firstColumn="0" w:lastColumn="0" w:noHBand="0" w:noVBand="0" w:val="0000"/>
        <w:jc w:val="start"/>
        <w:tblLayout w:type="fixed"/>
      </w:tblPr>
      <w:tblGrid>
        <w:gridCol w:w="7920"/>
      </w:tblGrid>
      <w:tr>
        <w:tc>
          <w:tcPr/>
          <w:bookmarkStart w:id="248" w:name="fig-objhist"/>
          <w:p>
            <w:pPr>
              <w:pStyle w:val="Compact"/>
              <w:jc w:val="center"/>
            </w:pPr>
            <w:r>
              <w:drawing>
                <wp:inline>
                  <wp:extent cx="5943600" cy="2971800"/>
                  <wp:effectExtent b="0" l="0" r="0" t="0"/>
                  <wp:docPr descr="" title="" id="246" name="Picture"/>
                  <a:graphic>
                    <a:graphicData uri="http://schemas.openxmlformats.org/drawingml/2006/picture">
                      <pic:pic>
                        <pic:nvPicPr>
                          <pic:cNvPr descr="S1-supplement-sensitivity_files/figure-docx/fig-objhist-1.png" id="247" name="Picture"/>
                          <pic:cNvPicPr>
                            <a:picLocks noChangeArrowheads="1" noChangeAspect="1"/>
                          </pic:cNvPicPr>
                        </pic:nvPicPr>
                        <pic:blipFill>
                          <a:blip r:embed="rId24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Distribution of object counts per site by phase. Most sites contribute few objects; a small number of large assemblages (e.g. Vogelherd) dominate the upper tail.</w:t>
            </w:r>
          </w:p>
          <w:bookmarkEnd w:id="248"/>
        </w:tc>
      </w:tr>
    </w:tbl>
    <w:bookmarkEnd w:id="249"/>
    <w:bookmarkStart w:id="250"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50"/>
    <w:bookmarkEnd w:id="251"/>
    <w:bookmarkStart w:id="260" w:name="sec-s12-2"/>
    <w:p>
      <w:pPr>
        <w:pStyle w:val="Heading2"/>
      </w:pPr>
      <w:r>
        <w:t xml:space="preserve">S1.12.3 Object-level downsampling sensitivity</w:t>
      </w:r>
    </w:p>
    <w:bookmarkStart w:id="258"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52"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43: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5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3"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44: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53"/>
        </w:tc>
      </w:tr>
    </w:tbl>
    <w:tbl>
      <w:tblPr>
        <w:tblStyle w:val="Table"/>
        <w:tblW w:type="pct" w:w="5000"/>
        <w:tblLook w:firstRow="0" w:lastRow="0" w:firstColumn="0" w:lastColumn="0" w:noHBand="0" w:noVBand="0" w:val="0000"/>
        <w:jc w:val="start"/>
        <w:tblLayout w:type="fixed"/>
      </w:tblPr>
      <w:tblGrid>
        <w:gridCol w:w="7920"/>
      </w:tblGrid>
      <w:tr>
        <w:tc>
          <w:tcPr/>
          <w:bookmarkStart w:id="257" w:name="fig-retention"/>
          <w:p>
            <w:pPr>
              <w:pStyle w:val="Compact"/>
              <w:jc w:val="center"/>
            </w:pPr>
            <w:r>
              <w:drawing>
                <wp:inline>
                  <wp:extent cx="5943600" cy="5943600"/>
                  <wp:effectExtent b="0" l="0" r="0" t="0"/>
                  <wp:docPr descr="" title="" id="255" name="Picture"/>
                  <a:graphic>
                    <a:graphicData uri="http://schemas.openxmlformats.org/drawingml/2006/picture">
                      <pic:pic>
                        <pic:nvPicPr>
                          <pic:cNvPr descr="S1-supplement-sensitivity_files/figure-docx/fig-retention-1.png" id="256" name="Picture"/>
                          <pic:cNvPicPr>
                            <a:picLocks noChangeArrowheads="1" noChangeAspect="1"/>
                          </pic:cNvPicPr>
                        </pic:nvPicPr>
                        <pic:blipFill>
                          <a:blip r:embed="rId25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17: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57"/>
        </w:tc>
      </w:tr>
    </w:tbl>
    <w:bookmarkEnd w:id="258"/>
    <w:bookmarkStart w:id="259"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9"/>
    <w:bookmarkEnd w:id="260"/>
    <w:bookmarkStart w:id="268" w:name="sec-s12-3"/>
    <w:p>
      <w:pPr>
        <w:pStyle w:val="Heading2"/>
      </w:pPr>
      <w:r>
        <w:t xml:space="preserve">S1.12.4 Coverage-based rarefaction</w:t>
      </w:r>
    </w:p>
    <w:bookmarkStart w:id="266"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[25,26]</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[27]</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61"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45: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61"/>
        </w:tc>
      </w:tr>
    </w:tbl>
    <w:tbl>
      <w:tblPr>
        <w:tblStyle w:val="Table"/>
        <w:tblW w:type="pct" w:w="5000"/>
        <w:tblLook w:firstRow="0" w:lastRow="0" w:firstColumn="0" w:lastColumn="0" w:noHBand="0" w:noVBand="0" w:val="0000"/>
        <w:jc w:val="start"/>
        <w:tblLayout w:type="fixed"/>
      </w:tblPr>
      <w:tblGrid>
        <w:gridCol w:w="7920"/>
      </w:tblGrid>
      <w:tr>
        <w:tc>
          <w:tcPr/>
          <w:bookmarkStart w:id="265" w:name="fig-rarefaction"/>
          <w:p>
            <w:pPr>
              <w:pStyle w:val="Compact"/>
              <w:jc w:val="center"/>
            </w:pPr>
            <w:r>
              <w:drawing>
                <wp:inline>
                  <wp:extent cx="5943600" cy="3396342"/>
                  <wp:effectExtent b="0" l="0" r="0" t="0"/>
                  <wp:docPr descr="" title="" id="263" name="Picture"/>
                  <a:graphic>
                    <a:graphicData uri="http://schemas.openxmlformats.org/drawingml/2006/picture">
                      <pic:pic>
                        <pic:nvPicPr>
                          <pic:cNvPr descr="S1-supplement-sensitivity_files/figure-docx/fig-rarefaction-1.png" id="264" name="Picture"/>
                          <pic:cNvPicPr>
                            <a:picLocks noChangeArrowheads="1" noChangeAspect="1"/>
                          </pic:cNvPicPr>
                        </pic:nvPicPr>
                        <pic:blipFill>
                          <a:blip r:embed="rId262"/>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18: Sign-type richness estimated at target coverage = 0.9 with 95% confidence intervals, by manual group, for sites that reach that coverage. Restricted sites (green) that attain high coverage remain low-richness; broad sites (red) remain high-richness.</w:t>
            </w:r>
          </w:p>
          <w:bookmarkEnd w:id="265"/>
        </w:tc>
      </w:tr>
    </w:tbl>
    <w:bookmarkEnd w:id="266"/>
    <w:bookmarkStart w:id="267"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67"/>
    <w:bookmarkEnd w:id="268"/>
    <w:bookmarkStart w:id="272" w:name="sec-s12-4"/>
    <w:p>
      <w:pPr>
        <w:pStyle w:val="Heading2"/>
      </w:pPr>
      <w:r>
        <w:t xml:space="preserve">S1.12.5 Negative-binomial regression with object-count covariate</w:t>
      </w:r>
    </w:p>
    <w:bookmarkStart w:id="270"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[26]</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[28]</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9"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46: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9"/>
        </w:tc>
      </w:tr>
    </w:tbl>
    <w:bookmarkEnd w:id="270"/>
    <w:bookmarkStart w:id="271"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71"/>
    <w:bookmarkEnd w:id="272"/>
    <w:bookmarkStart w:id="280" w:name="sec-s12-5"/>
    <w:p>
      <w:pPr>
        <w:pStyle w:val="Heading2"/>
      </w:pPr>
      <w:r>
        <w:t xml:space="preserve">S1.12.6 Equal-effort pool comparison (iNEXT)</w:t>
      </w:r>
    </w:p>
    <w:bookmarkStart w:id="278" w:name="rationale-24"/>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[25,27]</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73"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47: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73"/>
        </w:tc>
      </w:tr>
    </w:tbl>
    <w:tbl>
      <w:tblPr>
        <w:tblStyle w:val="Table"/>
        <w:tblW w:type="pct" w:w="5000"/>
        <w:tblLook w:firstRow="0" w:lastRow="0" w:firstColumn="0" w:lastColumn="0" w:noHBand="0" w:noVBand="0" w:val="0000"/>
        <w:jc w:val="start"/>
        <w:tblLayout w:type="fixed"/>
      </w:tblPr>
      <w:tblGrid>
        <w:gridCol w:w="7920"/>
      </w:tblGrid>
      <w:tr>
        <w:tc>
          <w:tcPr/>
          <w:bookmarkStart w:id="277" w:name="fig-pool-inext"/>
          <w:p>
            <w:pPr>
              <w:pStyle w:val="Compact"/>
              <w:jc w:val="center"/>
            </w:pPr>
            <w:r>
              <w:drawing>
                <wp:inline>
                  <wp:extent cx="5943600" cy="3566160"/>
                  <wp:effectExtent b="0" l="0" r="0" t="0"/>
                  <wp:docPr descr="" title="" id="275" name="Picture"/>
                  <a:graphic>
                    <a:graphicData uri="http://schemas.openxmlformats.org/drawingml/2006/picture">
                      <pic:pic>
                        <pic:nvPicPr>
                          <pic:cNvPr descr="S1-supplement-sensitivity_files/figure-docx/fig-pool-inext-1.png" id="276" name="Picture"/>
                          <pic:cNvPicPr>
                            <a:picLocks noChangeArrowheads="1" noChangeAspect="1"/>
                          </pic:cNvPicPr>
                        </pic:nvPicPr>
                        <pic:blipFill>
                          <a:blip r:embed="rId274"/>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19: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7"/>
        </w:tc>
      </w:tr>
    </w:tbl>
    <w:bookmarkEnd w:id="278"/>
    <w:bookmarkStart w:id="279"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9"/>
    <w:bookmarkEnd w:id="280"/>
    <w:bookmarkStart w:id="290" w:name="sec-s12-6"/>
    <w:p>
      <w:pPr>
        <w:pStyle w:val="Heading2"/>
      </w:pPr>
      <w:r>
        <w:t xml:space="preserve">S1.12.7 Figurine Exclusion</w:t>
      </w:r>
    </w:p>
    <w:bookmarkStart w:id="288" w:name="rationale-25"/>
    <w:p>
      <w:pPr>
        <w:pStyle w:val="Heading3"/>
      </w:pPr>
      <w:r>
        <w:t xml:space="preserve">Rationale</w:t>
      </w:r>
    </w:p>
    <w:p>
      <w:pPr>
        <w:pStyle w:val="FirstParagraph"/>
      </w:pPr>
      <w:r>
        <w:t xml:space="preserve">[29]</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81"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48: Distribution of figurine objects across phases and sites. Figurine types include figurine zoomorph, figurine anthropomorph, figurine undet., and possible figurine.</w:t>
            </w:r>
          </w:p>
          <w:bookmarkEnd w:id="281"/>
        </w:tc>
      </w:tr>
    </w:tbl>
    <w:p>
      <w:pPr>
        <w:pStyle w:val="BodyText"/>
      </w:pPr>
      <w:hyperlink w:anchor="tbl-figurine-count">
        <w:r>
          <w:rPr>
            <w:rStyle w:val="Hyperlink"/>
          </w:rPr>
          <w:t xml:space="preserve">Table S 48</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82"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49: Network statistics before and after excluding all figurine objects (figurine zoomorph, figurine anthropomorph, figurine undet., and possible figurine). Threshold = 0.2, Jaccard similarity.</w:t>
            </w:r>
          </w:p>
          <w:bookmarkEnd w:id="28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3"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50: Number of sites per phase before and after figurine exclusion. Sites are lost when all objects at that site are figurines.</w:t>
            </w:r>
          </w:p>
          <w:bookmarkEnd w:id="283"/>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84"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51: Network statistics before and after excluding figurines from Vogelherd only. All other figurines (Hohle Fels, Geissenklösterle, Hohlenstein-Stadel, La Ferrassie) are retained. Threshold = 0.2, Jaccard similarity.</w:t>
            </w:r>
          </w:p>
          <w:bookmarkEnd w:id="28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5"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52: Vogelherd object counts before and after removing figurines. Non-figurine objects at Vogelherd (tools, plaquettes, etc.) are retained.</w:t>
            </w:r>
          </w:p>
          <w:bookmarkEnd w:id="285"/>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86"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53: Side-by-side comparison of network statistics across all conditions: baseline (all objects), exclude all figurines, and exclude Vogelherd figurines only. The rightmost columns show the percentage change in mean degree from baseline.</w:t>
            </w:r>
          </w:p>
          <w:bookmarkEnd w:id="286"/>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53</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87"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54: Mean degree by figurine-exclusion condition, with percentage change from baseline. Reproduced directly from the joint comparison in</w:t>
            </w:r>
            <w:r>
              <w:t xml:space="preserve"> </w:t>
            </w:r>
            <w:hyperlink w:anchor="tbl-objtype-joint">
              <w:r>
                <w:rPr>
                  <w:rStyle w:val="Hyperlink"/>
                </w:rPr>
                <w:t xml:space="preserve">Table S 53</w:t>
              </w:r>
            </w:hyperlink>
            <w:r>
              <w:t xml:space="preserve">.</w:t>
            </w:r>
          </w:p>
          <w:bookmarkEnd w:id="287"/>
        </w:tc>
      </w:tr>
    </w:tbl>
    <w:bookmarkEnd w:id="288"/>
    <w:bookmarkStart w:id="289"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[29]</w:t>
      </w:r>
      <w:r>
        <w:t xml:space="preserve"> </w:t>
      </w:r>
      <w:r>
        <w:t xml:space="preserve">argument that figurines carry high-information sign sequences, but the communities themselves are defined by shared sign types across all object types.</w:t>
      </w:r>
    </w:p>
    <w:bookmarkEnd w:id="289"/>
    <w:bookmarkEnd w:id="290"/>
    <w:bookmarkStart w:id="291"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91"/>
    <w:bookmarkEnd w:id="292"/>
    <w:bookmarkStart w:id="301" w:name="sec-s-power"/>
    <w:p>
      <w:pPr>
        <w:pStyle w:val="Heading1"/>
      </w:pPr>
      <w:r>
        <w:t xml:space="preserve">S1.13 Design Sensitivity: Minimum Detectable Effects</w:t>
      </w:r>
    </w:p>
    <w:bookmarkStart w:id="293"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[30]</w:t>
      </w:r>
      <w:r>
        <w:t xml:space="preserve">. Conventions for medium effects are rho = 0.3 and R</w:t>
      </w:r>
      <w:r>
        <w:rPr>
          <w:vertAlign w:val="superscript"/>
        </w:rPr>
        <w:t xml:space="preserve">2</w:t>
      </w:r>
      <w:r>
        <w:t xml:space="preserve"> </w:t>
      </w:r>
      <w:r>
        <w:t xml:space="preserve">= 0.13</w:t>
      </w:r>
      <w:r>
        <w:t xml:space="preserve"> </w:t>
      </w:r>
      <w:r>
        <w:t xml:space="preserve">[31]</w:t>
      </w:r>
      <w:r>
        <w:t xml:space="preserve">. Mantel p-values are approximate under spatial dependence</w:t>
      </w:r>
      <w:r>
        <w:t xml:space="preserve"> </w:t>
      </w:r>
      <w:r>
        <w:t xml:space="preserve">[32,33]</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[34]</w:t>
      </w:r>
      <w:r>
        <w:t xml:space="preserve">. It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93"/>
    <w:bookmarkStart w:id="299"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94"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0.97</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0.05</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55: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94"/>
        </w:tc>
      </w:tr>
    </w:tbl>
    <w:tbl>
      <w:tblPr>
        <w:tblStyle w:val="Table"/>
        <w:tblW w:type="pct" w:w="5000"/>
        <w:tblLook w:firstRow="0" w:lastRow="0" w:firstColumn="0" w:lastColumn="0" w:noHBand="0" w:noVBand="0" w:val="0000"/>
        <w:jc w:val="start"/>
        <w:tblLayout w:type="fixed"/>
      </w:tblPr>
      <w:tblGrid>
        <w:gridCol w:w="7920"/>
      </w:tblGrid>
      <w:tr>
        <w:tc>
          <w:tcPr/>
          <w:bookmarkStart w:id="298" w:name="fig-power-curves"/>
          <w:p>
            <w:pPr>
              <w:pStyle w:val="Compact"/>
              <w:jc w:val="center"/>
            </w:pPr>
            <w:r>
              <w:drawing>
                <wp:inline>
                  <wp:extent cx="5943600" cy="4622800"/>
                  <wp:effectExtent b="0" l="0" r="0" t="0"/>
                  <wp:docPr descr="" title="" id="296" name="Picture"/>
                  <a:graphic>
                    <a:graphicData uri="http://schemas.openxmlformats.org/drawingml/2006/picture">
                      <pic:pic>
                        <pic:nvPicPr>
                          <pic:cNvPr descr="S1-supplement-sensitivity_files/figure-docx/fig-power-curves-1.png" id="297" name="Picture"/>
                          <pic:cNvPicPr>
                            <a:picLocks noChangeArrowheads="1" noChangeAspect="1"/>
                          </pic:cNvPicPr>
                        </pic:nvPicPr>
                        <pic:blipFill>
                          <a:blip r:embed="rId295"/>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20: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55</w:t>
              </w:r>
            </w:hyperlink>
            <w:r>
              <w:t xml:space="preserve">. Curves are simulation estimates (Mantel and PerMANOVA: B = 300 with 99 permutations; network: B = 200 with 99 permutations).</w:t>
            </w:r>
          </w:p>
          <w:bookmarkEnd w:id="298"/>
        </w:tc>
      </w:tr>
    </w:tbl>
    <w:bookmarkEnd w:id="299"/>
    <w:bookmarkStart w:id="300"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55</w:t>
        </w:r>
      </w:hyperlink>
      <w:r>
        <w:t xml:space="preserve"> </w:t>
      </w:r>
      <w:r>
        <w:t xml:space="preserve">can be excluded.</w:t>
      </w:r>
    </w:p>
    <w:bookmarkEnd w:id="300"/>
    <w:bookmarkEnd w:id="301"/>
    <w:bookmarkStart w:id="371"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70" w:name="references-cited"/>
    <w:p>
      <w:pPr>
        <w:pStyle w:val="Heading2"/>
      </w:pPr>
      <w:r>
        <w:t xml:space="preserve">References cited</w:t>
      </w:r>
    </w:p>
    <w:bookmarkStart w:id="369" w:name="refs"/>
    <w:bookmarkStart w:id="303"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302">
        <w:r>
          <w:rPr>
            <w:rStyle w:val="Hyperlink"/>
          </w:rPr>
          <w:t xml:space="preserve">https://doi.org/10.18637/jss.v022.i07</w:t>
        </w:r>
      </w:hyperlink>
      <w:r>
        <w:t xml:space="preserve">.</w:t>
      </w:r>
    </w:p>
    <w:bookmarkEnd w:id="303"/>
    <w:bookmarkStart w:id="305"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304">
        <w:r>
          <w:rPr>
            <w:rStyle w:val="Hyperlink"/>
          </w:rPr>
          <w:t xml:space="preserve">https://doi.org/10.1890/0012-9615(1999)069[0001:DBRDAO]2.0.CO;2</w:t>
        </w:r>
      </w:hyperlink>
      <w:r>
        <w:t xml:space="preserve">.</w:t>
      </w:r>
    </w:p>
    <w:bookmarkEnd w:id="305"/>
    <w:bookmarkStart w:id="307"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306">
        <w:r>
          <w:rPr>
            <w:rStyle w:val="Hyperlink"/>
          </w:rPr>
          <w:t xml:space="preserve">https://doi.org/10.1016/j.quascirev.2021.106995</w:t>
        </w:r>
      </w:hyperlink>
      <w:r>
        <w:t xml:space="preserve">.</w:t>
      </w:r>
    </w:p>
    <w:bookmarkEnd w:id="307"/>
    <w:bookmarkStart w:id="309"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08">
        <w:r>
          <w:rPr>
            <w:rStyle w:val="Hyperlink"/>
          </w:rPr>
          <w:t xml:space="preserve">https://doi.org/10.1007/s41982-017-0004-4</w:t>
        </w:r>
      </w:hyperlink>
      <w:r>
        <w:t xml:space="preserve">.</w:t>
      </w:r>
    </w:p>
    <w:bookmarkEnd w:id="309"/>
    <w:bookmarkStart w:id="311"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10">
        <w:r>
          <w:rPr>
            <w:rStyle w:val="Hyperlink"/>
          </w:rPr>
          <w:t xml:space="preserve">https://doi.org/10.30861/9781841718309</w:t>
        </w:r>
      </w:hyperlink>
      <w:r>
        <w:t xml:space="preserve">.</w:t>
      </w:r>
    </w:p>
    <w:bookmarkEnd w:id="311"/>
    <w:bookmarkStart w:id="313"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12">
        <w:r>
          <w:rPr>
            <w:rStyle w:val="Hyperlink"/>
          </w:rPr>
          <w:t xml:space="preserve">https://doi.org/10.1016/j.jhevol.2011.06.005</w:t>
        </w:r>
      </w:hyperlink>
      <w:r>
        <w:t xml:space="preserve">.</w:t>
      </w:r>
    </w:p>
    <w:bookmarkEnd w:id="313"/>
    <w:bookmarkStart w:id="315"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14">
        <w:r>
          <w:rPr>
            <w:rStyle w:val="Hyperlink"/>
          </w:rPr>
          <w:t xml:space="preserve">https://doi.org/10.1002/jqs.3236</w:t>
        </w:r>
      </w:hyperlink>
      <w:r>
        <w:t xml:space="preserve">.</w:t>
      </w:r>
    </w:p>
    <w:bookmarkEnd w:id="315"/>
    <w:bookmarkStart w:id="316"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16"/>
    <w:bookmarkStart w:id="318"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17">
        <w:r>
          <w:rPr>
            <w:rStyle w:val="Hyperlink"/>
          </w:rPr>
          <w:t xml:space="preserve">https://doi.org/10.1007/978-3-211-49294-9_4</w:t>
        </w:r>
      </w:hyperlink>
      <w:r>
        <w:t xml:space="preserve">.</w:t>
      </w:r>
    </w:p>
    <w:bookmarkEnd w:id="318"/>
    <w:bookmarkStart w:id="320"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19">
        <w:r>
          <w:rPr>
            <w:rStyle w:val="Hyperlink"/>
          </w:rPr>
          <w:t xml:space="preserve">https://doi.org/10.1038/nature03585</w:t>
        </w:r>
      </w:hyperlink>
      <w:r>
        <w:t xml:space="preserve">.</w:t>
      </w:r>
    </w:p>
    <w:bookmarkEnd w:id="320"/>
    <w:bookmarkStart w:id="322"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21">
        <w:r>
          <w:rPr>
            <w:rStyle w:val="Hyperlink"/>
          </w:rPr>
          <w:t xml:space="preserve">https://doi.org/10.1007/s41982-025-00246-x</w:t>
        </w:r>
      </w:hyperlink>
      <w:r>
        <w:t xml:space="preserve">.</w:t>
      </w:r>
    </w:p>
    <w:bookmarkEnd w:id="322"/>
    <w:bookmarkStart w:id="324"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23">
        <w:r>
          <w:rPr>
            <w:rStyle w:val="Hyperlink"/>
          </w:rPr>
          <w:t xml:space="preserve">https://doi.org/10.1088/1742-5468/2008/10/P10008</w:t>
        </w:r>
      </w:hyperlink>
      <w:r>
        <w:t xml:space="preserve">.</w:t>
      </w:r>
    </w:p>
    <w:bookmarkEnd w:id="324"/>
    <w:bookmarkStart w:id="326"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25">
        <w:r>
          <w:rPr>
            <w:rStyle w:val="Hyperlink"/>
          </w:rPr>
          <w:t xml:space="preserve">https://doi.org/10.1103/PhysRevE.69.026113</w:t>
        </w:r>
      </w:hyperlink>
      <w:r>
        <w:t xml:space="preserve">.</w:t>
      </w:r>
    </w:p>
    <w:bookmarkEnd w:id="326"/>
    <w:bookmarkStart w:id="328"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27">
        <w:r>
          <w:rPr>
            <w:rStyle w:val="Hyperlink"/>
          </w:rPr>
          <w:t xml:space="preserve">https://doi.org/10.1016/j.socnet.2020.11.005</w:t>
        </w:r>
      </w:hyperlink>
      <w:r>
        <w:t xml:space="preserve">.</w:t>
      </w:r>
    </w:p>
    <w:bookmarkEnd w:id="328"/>
    <w:bookmarkStart w:id="330"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29">
        <w:r>
          <w:rPr>
            <w:rStyle w:val="Hyperlink"/>
          </w:rPr>
          <w:t xml:space="preserve">https://doi.org/10.1198/108571102320</w:t>
        </w:r>
      </w:hyperlink>
      <w:r>
        <w:t xml:space="preserve">.</w:t>
      </w:r>
    </w:p>
    <w:bookmarkEnd w:id="330"/>
    <w:bookmarkStart w:id="332"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31">
        <w:r>
          <w:rPr>
            <w:rStyle w:val="Hyperlink"/>
          </w:rPr>
          <w:t xml:space="preserve">https://doi.org/10.1007/s11258-006-9126-3</w:t>
        </w:r>
      </w:hyperlink>
      <w:r>
        <w:t xml:space="preserve">.</w:t>
      </w:r>
    </w:p>
    <w:bookmarkEnd w:id="332"/>
    <w:bookmarkStart w:id="334"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33">
        <w:r>
          <w:rPr>
            <w:rStyle w:val="Hyperlink"/>
          </w:rPr>
          <w:t xml:space="preserve">https://doi.org/10.1023/A:1023949509487</w:t>
        </w:r>
      </w:hyperlink>
      <w:r>
        <w:t xml:space="preserve">.</w:t>
      </w:r>
    </w:p>
    <w:bookmarkEnd w:id="334"/>
    <w:bookmarkStart w:id="336"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35">
        <w:r>
          <w:rPr>
            <w:rStyle w:val="Hyperlink"/>
          </w:rPr>
          <w:t xml:space="preserve">https://doi.org/10.48550/arXiv.1602.07587</w:t>
        </w:r>
      </w:hyperlink>
      <w:r>
        <w:t xml:space="preserve">.</w:t>
      </w:r>
    </w:p>
    <w:bookmarkEnd w:id="336"/>
    <w:bookmarkStart w:id="338"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37">
        <w:r>
          <w:rPr>
            <w:rStyle w:val="Hyperlink"/>
          </w:rPr>
          <w:t xml:space="preserve">https://doi.org/10.1007/BF01908075</w:t>
        </w:r>
      </w:hyperlink>
      <w:r>
        <w:t xml:space="preserve">.</w:t>
      </w:r>
    </w:p>
    <w:bookmarkEnd w:id="338"/>
    <w:bookmarkStart w:id="340" w:name="ref-Strona_2014"/>
    <w:p>
      <w:pPr>
        <w:pStyle w:val="Bibliography"/>
      </w:pPr>
      <w:r>
        <w:t xml:space="preserve">[20]</w:t>
      </w:r>
      <w:r>
        <w:t xml:space="preserve"> </w:t>
      </w:r>
      <w:r>
        <w:t xml:space="preserve">	</w:t>
      </w:r>
      <w:r>
        <w:t xml:space="preserve">Strona G, Nappo D, Boccacci F, Fattorini S, San-Miguel-Ayanz J. A fast and unbiased procedure to randomize ecological binary matrices with fixed row and column totals. Nature Communications 2014;5:4114.</w:t>
      </w:r>
      <w:r>
        <w:t xml:space="preserve"> </w:t>
      </w:r>
      <w:hyperlink r:id="rId339">
        <w:r>
          <w:rPr>
            <w:rStyle w:val="Hyperlink"/>
          </w:rPr>
          <w:t xml:space="preserve">https://doi.org/10.1038/ncomms5114</w:t>
        </w:r>
      </w:hyperlink>
      <w:r>
        <w:t xml:space="preserve">.</w:t>
      </w:r>
    </w:p>
    <w:bookmarkEnd w:id="340"/>
    <w:bookmarkStart w:id="342" w:name="ref-Gao_Bien_Witten_2022"/>
    <w:p>
      <w:pPr>
        <w:pStyle w:val="Bibliography"/>
      </w:pPr>
      <w:r>
        <w:t xml:space="preserve">[21]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41">
        <w:r>
          <w:rPr>
            <w:rStyle w:val="Hyperlink"/>
          </w:rPr>
          <w:t xml:space="preserve">https://doi.org/10.1080/01621459.2022.2116331</w:t>
        </w:r>
      </w:hyperlink>
      <w:r>
        <w:t xml:space="preserve">.</w:t>
      </w:r>
    </w:p>
    <w:bookmarkEnd w:id="342"/>
    <w:bookmarkStart w:id="344" w:name="ref-Neufeld_2024"/>
    <w:p>
      <w:pPr>
        <w:pStyle w:val="Bibliography"/>
      </w:pPr>
      <w:r>
        <w:t xml:space="preserve">[22]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43">
        <w:r>
          <w:rPr>
            <w:rStyle w:val="Hyperlink"/>
          </w:rPr>
          <w:t xml:space="preserve">https://doi.org/10.1093/biostatistics/kxac047</w:t>
        </w:r>
      </w:hyperlink>
      <w:r>
        <w:t xml:space="preserve">.</w:t>
      </w:r>
    </w:p>
    <w:bookmarkEnd w:id="344"/>
    <w:bookmarkStart w:id="346" w:name="ref-Brown_1975"/>
    <w:p>
      <w:pPr>
        <w:pStyle w:val="Bibliography"/>
      </w:pPr>
      <w:r>
        <w:t xml:space="preserve">[23]</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45">
        <w:r>
          <w:rPr>
            <w:rStyle w:val="Hyperlink"/>
          </w:rPr>
          <w:t xml:space="preserve">https://doi.org/10.2307/2529826</w:t>
        </w:r>
      </w:hyperlink>
      <w:r>
        <w:t xml:space="preserve">.</w:t>
      </w:r>
    </w:p>
    <w:bookmarkEnd w:id="346"/>
    <w:bookmarkStart w:id="348" w:name="ref-Poole_2016"/>
    <w:p>
      <w:pPr>
        <w:pStyle w:val="Bibliography"/>
      </w:pPr>
      <w:r>
        <w:t xml:space="preserve">[24]</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47">
        <w:r>
          <w:rPr>
            <w:rStyle w:val="Hyperlink"/>
          </w:rPr>
          <w:t xml:space="preserve">https://doi.org/10.1093/bioinformatics/btw438</w:t>
        </w:r>
      </w:hyperlink>
      <w:r>
        <w:t xml:space="preserve">.</w:t>
      </w:r>
    </w:p>
    <w:bookmarkEnd w:id="348"/>
    <w:bookmarkStart w:id="350" w:name="ref-Chao_Jost_2012"/>
    <w:p>
      <w:pPr>
        <w:pStyle w:val="Bibliography"/>
      </w:pPr>
      <w:r>
        <w:t xml:space="preserve">[25]</w:t>
      </w:r>
      <w:r>
        <w:t xml:space="preserve"> </w:t>
      </w:r>
      <w:r>
        <w:t xml:space="preserve">	</w:t>
      </w:r>
      <w:r>
        <w:t xml:space="preserve">Chao A, Jost L. Coverage-based rarefaction and extrapolation: Standardizing samples by completeness rather than size. Ecology 2012;93:2533–47.</w:t>
      </w:r>
      <w:r>
        <w:t xml:space="preserve"> </w:t>
      </w:r>
      <w:hyperlink r:id="rId349">
        <w:r>
          <w:rPr>
            <w:rStyle w:val="Hyperlink"/>
          </w:rPr>
          <w:t xml:space="preserve">https://doi.org/10.1890/11-1952.1</w:t>
        </w:r>
      </w:hyperlink>
      <w:r>
        <w:t xml:space="preserve">.</w:t>
      </w:r>
    </w:p>
    <w:bookmarkEnd w:id="350"/>
    <w:bookmarkStart w:id="352" w:name="ref-Gotelli_Colwell_2001"/>
    <w:p>
      <w:pPr>
        <w:pStyle w:val="Bibliography"/>
      </w:pPr>
      <w:r>
        <w:t xml:space="preserve">[26]</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51">
        <w:r>
          <w:rPr>
            <w:rStyle w:val="Hyperlink"/>
          </w:rPr>
          <w:t xml:space="preserve">https://doi.org/10.1046/j.1461-0248.2001.00230.x</w:t>
        </w:r>
      </w:hyperlink>
      <w:r>
        <w:t xml:space="preserve">.</w:t>
      </w:r>
    </w:p>
    <w:bookmarkEnd w:id="352"/>
    <w:bookmarkStart w:id="354" w:name="ref-Hsieh_Ma_Chao_2016"/>
    <w:p>
      <w:pPr>
        <w:pStyle w:val="Bibliography"/>
      </w:pPr>
      <w:r>
        <w:t xml:space="preserve">[27]</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53">
        <w:r>
          <w:rPr>
            <w:rStyle w:val="Hyperlink"/>
          </w:rPr>
          <w:t xml:space="preserve">https://doi.org/10.1111/2041-210X.12613</w:t>
        </w:r>
      </w:hyperlink>
      <w:r>
        <w:t xml:space="preserve">.</w:t>
      </w:r>
    </w:p>
    <w:bookmarkEnd w:id="354"/>
    <w:bookmarkStart w:id="356" w:name="ref-Venables_Ripley_2002"/>
    <w:p>
      <w:pPr>
        <w:pStyle w:val="Bibliography"/>
      </w:pPr>
      <w:r>
        <w:t xml:space="preserve">[28]</w:t>
      </w:r>
      <w:r>
        <w:t xml:space="preserve"> </w:t>
      </w:r>
      <w:r>
        <w:t xml:space="preserve">	</w:t>
      </w:r>
      <w:r>
        <w:t xml:space="preserve">Venables WN, Ripley BD. Modern applied statistics with s. Fourth. Springer; 2002.</w:t>
      </w:r>
      <w:r>
        <w:t xml:space="preserve"> </w:t>
      </w:r>
      <w:hyperlink r:id="rId355">
        <w:r>
          <w:rPr>
            <w:rStyle w:val="Hyperlink"/>
          </w:rPr>
          <w:t xml:space="preserve">https://doi.org/10.1007/978-0-387-21706-2</w:t>
        </w:r>
      </w:hyperlink>
      <w:r>
        <w:t xml:space="preserve">.</w:t>
      </w:r>
    </w:p>
    <w:bookmarkEnd w:id="356"/>
    <w:bookmarkStart w:id="358" w:name="ref-Bentz_Dutkiewicz_2026"/>
    <w:p>
      <w:pPr>
        <w:pStyle w:val="Bibliography"/>
      </w:pPr>
      <w:r>
        <w:t xml:space="preserve">[29]</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57">
        <w:r>
          <w:rPr>
            <w:rStyle w:val="Hyperlink"/>
          </w:rPr>
          <w:t xml:space="preserve">https://doi.org/10.1073/pnas.2520385123</w:t>
        </w:r>
      </w:hyperlink>
      <w:r>
        <w:t xml:space="preserve">.</w:t>
      </w:r>
    </w:p>
    <w:bookmarkEnd w:id="358"/>
    <w:bookmarkStart w:id="360" w:name="ref-Hoenig_Heisey_2001"/>
    <w:p>
      <w:pPr>
        <w:pStyle w:val="Bibliography"/>
      </w:pPr>
      <w:r>
        <w:t xml:space="preserve">[30]</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59">
        <w:r>
          <w:rPr>
            <w:rStyle w:val="Hyperlink"/>
          </w:rPr>
          <w:t xml:space="preserve">https://doi.org/10.1198/000313001300339897</w:t>
        </w:r>
      </w:hyperlink>
      <w:r>
        <w:t xml:space="preserve">.</w:t>
      </w:r>
    </w:p>
    <w:bookmarkEnd w:id="360"/>
    <w:bookmarkStart w:id="362" w:name="ref-Cohen_1992"/>
    <w:p>
      <w:pPr>
        <w:pStyle w:val="Bibliography"/>
      </w:pPr>
      <w:r>
        <w:t xml:space="preserve">[31]</w:t>
      </w:r>
      <w:r>
        <w:t xml:space="preserve"> </w:t>
      </w:r>
      <w:r>
        <w:t xml:space="preserve">	</w:t>
      </w:r>
      <w:r>
        <w:t xml:space="preserve">Cohen J. A power primer. Psychological Bulletin 1992;112:155–9.</w:t>
      </w:r>
      <w:r>
        <w:t xml:space="preserve"> </w:t>
      </w:r>
      <w:hyperlink r:id="rId361">
        <w:r>
          <w:rPr>
            <w:rStyle w:val="Hyperlink"/>
          </w:rPr>
          <w:t xml:space="preserve">https://doi.org/10.1037/0033-2909.112.1.155</w:t>
        </w:r>
      </w:hyperlink>
      <w:r>
        <w:t xml:space="preserve">.</w:t>
      </w:r>
    </w:p>
    <w:bookmarkEnd w:id="362"/>
    <w:bookmarkStart w:id="364" w:name="ref-Legendre_2015"/>
    <w:p>
      <w:pPr>
        <w:pStyle w:val="Bibliography"/>
      </w:pPr>
      <w:r>
        <w:t xml:space="preserve">[32]</w:t>
      </w:r>
      <w:r>
        <w:t xml:space="preserve"> </w:t>
      </w:r>
      <w:r>
        <w:t xml:space="preserve">	</w:t>
      </w:r>
      <w:r>
        <w:t xml:space="preserve">Legendre P, Fortin M-J, Borcard D. Should the mantel test be used in spatial analysis? Methods in Ecology and Evolution 2015;6:1239–47.</w:t>
      </w:r>
      <w:r>
        <w:t xml:space="preserve"> </w:t>
      </w:r>
      <w:hyperlink r:id="rId363">
        <w:r>
          <w:rPr>
            <w:rStyle w:val="Hyperlink"/>
          </w:rPr>
          <w:t xml:space="preserve">https://doi.org/10.1111/2041-210X.12425</w:t>
        </w:r>
      </w:hyperlink>
      <w:r>
        <w:t xml:space="preserve">.</w:t>
      </w:r>
    </w:p>
    <w:bookmarkEnd w:id="364"/>
    <w:bookmarkStart w:id="366" w:name="ref-Guillot_Rousset_2013"/>
    <w:p>
      <w:pPr>
        <w:pStyle w:val="Bibliography"/>
      </w:pPr>
      <w:r>
        <w:t xml:space="preserve">[33]</w:t>
      </w:r>
      <w:r>
        <w:t xml:space="preserve"> </w:t>
      </w:r>
      <w:r>
        <w:t xml:space="preserve">	</w:t>
      </w:r>
      <w:r>
        <w:t xml:space="preserve">Guillot G, Rousset F. Dismantling the mantel tests. Methods in Ecology and Evolution 2013;4:336–44.</w:t>
      </w:r>
      <w:r>
        <w:t xml:space="preserve"> </w:t>
      </w:r>
      <w:hyperlink r:id="rId365">
        <w:r>
          <w:rPr>
            <w:rStyle w:val="Hyperlink"/>
          </w:rPr>
          <w:t xml:space="preserve">https://doi.org/10.1111/2041-210X.12018</w:t>
        </w:r>
      </w:hyperlink>
      <w:r>
        <w:t xml:space="preserve">.</w:t>
      </w:r>
    </w:p>
    <w:bookmarkEnd w:id="366"/>
    <w:bookmarkStart w:id="368" w:name="ref-Anderson_Walsh_2013"/>
    <w:p>
      <w:pPr>
        <w:pStyle w:val="Bibliography"/>
      </w:pPr>
      <w:r>
        <w:t xml:space="preserve">[34]</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67">
        <w:r>
          <w:rPr>
            <w:rStyle w:val="Hyperlink"/>
          </w:rPr>
          <w:t xml:space="preserve">https://doi.org/10.1890/12-2010.1</w:t>
        </w:r>
      </w:hyperlink>
      <w:r>
        <w:t xml:space="preserve">.</w:t>
      </w:r>
    </w:p>
    <w:bookmarkEnd w:id="368"/>
    <w:bookmarkEnd w:id="369"/>
    <w:bookmarkEnd w:id="370"/>
    <w:bookmarkEnd w:id="37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8" Target="media/rId168.png" /><Relationship Type="http://schemas.openxmlformats.org/officeDocument/2006/relationships/image" Id="rId223" Target="media/rId223.png" /><Relationship Type="http://schemas.openxmlformats.org/officeDocument/2006/relationships/image" Id="rId232" Target="media/rId232.png" /><Relationship Type="http://schemas.openxmlformats.org/officeDocument/2006/relationships/image" Id="rId50" Target="media/rId50.png" /><Relationship Type="http://schemas.openxmlformats.org/officeDocument/2006/relationships/image" Id="rId157" Target="media/rId157.png" /><Relationship Type="http://schemas.openxmlformats.org/officeDocument/2006/relationships/image" Id="rId189" Target="media/rId189.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201" Target="media/rId201.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45" Target="media/rId245.png" /><Relationship Type="http://schemas.openxmlformats.org/officeDocument/2006/relationships/image" Id="rId274" Target="media/rId274.png" /><Relationship Type="http://schemas.openxmlformats.org/officeDocument/2006/relationships/image" Id="rId295" Target="media/rId295.png" /><Relationship Type="http://schemas.openxmlformats.org/officeDocument/2006/relationships/image" Id="rId262" Target="media/rId262.png" /><Relationship Type="http://schemas.openxmlformats.org/officeDocument/2006/relationships/image" Id="rId254" Target="media/rId254.png" /><Relationship Type="http://schemas.openxmlformats.org/officeDocument/2006/relationships/image" Id="rId176" Target="media/rId176.png" /><Relationship Type="http://schemas.openxmlformats.org/officeDocument/2006/relationships/image" Id="rId185" Target="media/rId185.png" /><Relationship Type="http://schemas.openxmlformats.org/officeDocument/2006/relationships/image" Id="rId197" Target="media/rId197.png" /><Relationship Type="http://schemas.openxmlformats.org/officeDocument/2006/relationships/image" Id="rId36" Target="media/rId36.png" /><Relationship Type="http://schemas.openxmlformats.org/officeDocument/2006/relationships/hyperlink" Id="rId314" Target="https://doi.org/10.1002/jqs.3236" TargetMode="External" /><Relationship Type="http://schemas.openxmlformats.org/officeDocument/2006/relationships/hyperlink" Id="rId355" Target="https://doi.org/10.1007/978-0-387-21706-2" TargetMode="External" /><Relationship Type="http://schemas.openxmlformats.org/officeDocument/2006/relationships/hyperlink" Id="rId317" Target="https://doi.org/10.1007/978-3-211-49294-9_4" TargetMode="External" /><Relationship Type="http://schemas.openxmlformats.org/officeDocument/2006/relationships/hyperlink" Id="rId337" Target="https://doi.org/10.1007/BF01908075" TargetMode="External" /><Relationship Type="http://schemas.openxmlformats.org/officeDocument/2006/relationships/hyperlink" Id="rId331" Target="https://doi.org/10.1007/s11258-006-9126-3" TargetMode="External" /><Relationship Type="http://schemas.openxmlformats.org/officeDocument/2006/relationships/hyperlink" Id="rId308" Target="https://doi.org/10.1007/s41982-017-0004-4" TargetMode="External" /><Relationship Type="http://schemas.openxmlformats.org/officeDocument/2006/relationships/hyperlink" Id="rId321" Target="https://doi.org/10.1007/s41982-025-00246-x" TargetMode="External" /><Relationship Type="http://schemas.openxmlformats.org/officeDocument/2006/relationships/hyperlink" Id="rId312" Target="https://doi.org/10.1016/j.jhevol.2011.06.005" TargetMode="External" /><Relationship Type="http://schemas.openxmlformats.org/officeDocument/2006/relationships/hyperlink" Id="rId306" Target="https://doi.org/10.1016/j.quascirev.2021.106995" TargetMode="External" /><Relationship Type="http://schemas.openxmlformats.org/officeDocument/2006/relationships/hyperlink" Id="rId327" Target="https://doi.org/10.1016/j.socnet.2020.11.005" TargetMode="External" /><Relationship Type="http://schemas.openxmlformats.org/officeDocument/2006/relationships/hyperlink" Id="rId333" Target="https://doi.org/10.1023/A:1023949509487" TargetMode="External" /><Relationship Type="http://schemas.openxmlformats.org/officeDocument/2006/relationships/hyperlink" Id="rId361" Target="https://doi.org/10.1037/0033-2909.112.1.155" TargetMode="External" /><Relationship Type="http://schemas.openxmlformats.org/officeDocument/2006/relationships/hyperlink" Id="rId319" Target="https://doi.org/10.1038/nature03585" TargetMode="External" /><Relationship Type="http://schemas.openxmlformats.org/officeDocument/2006/relationships/hyperlink" Id="rId339" Target="https://doi.org/10.1038/ncomms5114" TargetMode="External" /><Relationship Type="http://schemas.openxmlformats.org/officeDocument/2006/relationships/hyperlink" Id="rId351" Target="https://doi.org/10.1046/j.1461-0248.2001.00230.x" TargetMode="External" /><Relationship Type="http://schemas.openxmlformats.org/officeDocument/2006/relationships/hyperlink" Id="rId357" Target="https://doi.org/10.1073/pnas.2520385123" TargetMode="External" /><Relationship Type="http://schemas.openxmlformats.org/officeDocument/2006/relationships/hyperlink" Id="rId341" Target="https://doi.org/10.1080/01621459.2022.2116331" TargetMode="External" /><Relationship Type="http://schemas.openxmlformats.org/officeDocument/2006/relationships/hyperlink" Id="rId323" Target="https://doi.org/10.1088/1742-5468/2008/10/P10008" TargetMode="External" /><Relationship Type="http://schemas.openxmlformats.org/officeDocument/2006/relationships/hyperlink" Id="rId347" Target="https://doi.org/10.1093/bioinformatics/btw438" TargetMode="External" /><Relationship Type="http://schemas.openxmlformats.org/officeDocument/2006/relationships/hyperlink" Id="rId343" Target="https://doi.org/10.1093/biostatistics/kxac047" TargetMode="External" /><Relationship Type="http://schemas.openxmlformats.org/officeDocument/2006/relationships/hyperlink" Id="rId325" Target="https://doi.org/10.1103/PhysRevE.69.026113" TargetMode="External" /><Relationship Type="http://schemas.openxmlformats.org/officeDocument/2006/relationships/hyperlink" Id="rId365" Target="https://doi.org/10.1111/2041-210X.12018" TargetMode="External" /><Relationship Type="http://schemas.openxmlformats.org/officeDocument/2006/relationships/hyperlink" Id="rId363" Target="https://doi.org/10.1111/2041-210X.12425" TargetMode="External" /><Relationship Type="http://schemas.openxmlformats.org/officeDocument/2006/relationships/hyperlink" Id="rId353" Target="https://doi.org/10.1111/2041-210X.12613" TargetMode="External" /><Relationship Type="http://schemas.openxmlformats.org/officeDocument/2006/relationships/hyperlink" Id="rId359" Target="https://doi.org/10.1198/000313001300339897" TargetMode="External" /><Relationship Type="http://schemas.openxmlformats.org/officeDocument/2006/relationships/hyperlink" Id="rId329" Target="https://doi.org/10.1198/108571102320" TargetMode="External" /><Relationship Type="http://schemas.openxmlformats.org/officeDocument/2006/relationships/hyperlink" Id="rId302" Target="https://doi.org/10.18637/jss.v022.i07" TargetMode="External" /><Relationship Type="http://schemas.openxmlformats.org/officeDocument/2006/relationships/hyperlink" Id="rId304" Target="https://doi.org/10.1890/0012-9615(1999)069[0001:DBRDAO]2.0.CO;2" TargetMode="External" /><Relationship Type="http://schemas.openxmlformats.org/officeDocument/2006/relationships/hyperlink" Id="rId349" Target="https://doi.org/10.1890/11-1952.1" TargetMode="External" /><Relationship Type="http://schemas.openxmlformats.org/officeDocument/2006/relationships/hyperlink" Id="rId367" Target="https://doi.org/10.1890/12-2010.1" TargetMode="External" /><Relationship Type="http://schemas.openxmlformats.org/officeDocument/2006/relationships/hyperlink" Id="rId345" Target="https://doi.org/10.2307/2529826" TargetMode="External" /><Relationship Type="http://schemas.openxmlformats.org/officeDocument/2006/relationships/hyperlink" Id="rId310" Target="https://doi.org/10.30861/9781841718309" TargetMode="External" /><Relationship Type="http://schemas.openxmlformats.org/officeDocument/2006/relationships/hyperlink" Id="rId335"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14" Target="https://doi.org/10.1002/jqs.3236" TargetMode="External" /><Relationship Type="http://schemas.openxmlformats.org/officeDocument/2006/relationships/hyperlink" Id="rId355" Target="https://doi.org/10.1007/978-0-387-21706-2" TargetMode="External" /><Relationship Type="http://schemas.openxmlformats.org/officeDocument/2006/relationships/hyperlink" Id="rId317" Target="https://doi.org/10.1007/978-3-211-49294-9_4" TargetMode="External" /><Relationship Type="http://schemas.openxmlformats.org/officeDocument/2006/relationships/hyperlink" Id="rId337" Target="https://doi.org/10.1007/BF01908075" TargetMode="External" /><Relationship Type="http://schemas.openxmlformats.org/officeDocument/2006/relationships/hyperlink" Id="rId331" Target="https://doi.org/10.1007/s11258-006-9126-3" TargetMode="External" /><Relationship Type="http://schemas.openxmlformats.org/officeDocument/2006/relationships/hyperlink" Id="rId308" Target="https://doi.org/10.1007/s41982-017-0004-4" TargetMode="External" /><Relationship Type="http://schemas.openxmlformats.org/officeDocument/2006/relationships/hyperlink" Id="rId321" Target="https://doi.org/10.1007/s41982-025-00246-x" TargetMode="External" /><Relationship Type="http://schemas.openxmlformats.org/officeDocument/2006/relationships/hyperlink" Id="rId312" Target="https://doi.org/10.1016/j.jhevol.2011.06.005" TargetMode="External" /><Relationship Type="http://schemas.openxmlformats.org/officeDocument/2006/relationships/hyperlink" Id="rId306" Target="https://doi.org/10.1016/j.quascirev.2021.106995" TargetMode="External" /><Relationship Type="http://schemas.openxmlformats.org/officeDocument/2006/relationships/hyperlink" Id="rId327" Target="https://doi.org/10.1016/j.socnet.2020.11.005" TargetMode="External" /><Relationship Type="http://schemas.openxmlformats.org/officeDocument/2006/relationships/hyperlink" Id="rId333" Target="https://doi.org/10.1023/A:1023949509487" TargetMode="External" /><Relationship Type="http://schemas.openxmlformats.org/officeDocument/2006/relationships/hyperlink" Id="rId361" Target="https://doi.org/10.1037/0033-2909.112.1.155" TargetMode="External" /><Relationship Type="http://schemas.openxmlformats.org/officeDocument/2006/relationships/hyperlink" Id="rId319" Target="https://doi.org/10.1038/nature03585" TargetMode="External" /><Relationship Type="http://schemas.openxmlformats.org/officeDocument/2006/relationships/hyperlink" Id="rId339" Target="https://doi.org/10.1038/ncomms5114" TargetMode="External" /><Relationship Type="http://schemas.openxmlformats.org/officeDocument/2006/relationships/hyperlink" Id="rId351" Target="https://doi.org/10.1046/j.1461-0248.2001.00230.x" TargetMode="External" /><Relationship Type="http://schemas.openxmlformats.org/officeDocument/2006/relationships/hyperlink" Id="rId357" Target="https://doi.org/10.1073/pnas.2520385123" TargetMode="External" /><Relationship Type="http://schemas.openxmlformats.org/officeDocument/2006/relationships/hyperlink" Id="rId341" Target="https://doi.org/10.1080/01621459.2022.2116331" TargetMode="External" /><Relationship Type="http://schemas.openxmlformats.org/officeDocument/2006/relationships/hyperlink" Id="rId323" Target="https://doi.org/10.1088/1742-5468/2008/10/P10008" TargetMode="External" /><Relationship Type="http://schemas.openxmlformats.org/officeDocument/2006/relationships/hyperlink" Id="rId347" Target="https://doi.org/10.1093/bioinformatics/btw438" TargetMode="External" /><Relationship Type="http://schemas.openxmlformats.org/officeDocument/2006/relationships/hyperlink" Id="rId343" Target="https://doi.org/10.1093/biostatistics/kxac047" TargetMode="External" /><Relationship Type="http://schemas.openxmlformats.org/officeDocument/2006/relationships/hyperlink" Id="rId325" Target="https://doi.org/10.1103/PhysRevE.69.026113" TargetMode="External" /><Relationship Type="http://schemas.openxmlformats.org/officeDocument/2006/relationships/hyperlink" Id="rId365" Target="https://doi.org/10.1111/2041-210X.12018" TargetMode="External" /><Relationship Type="http://schemas.openxmlformats.org/officeDocument/2006/relationships/hyperlink" Id="rId363" Target="https://doi.org/10.1111/2041-210X.12425" TargetMode="External" /><Relationship Type="http://schemas.openxmlformats.org/officeDocument/2006/relationships/hyperlink" Id="rId353" Target="https://doi.org/10.1111/2041-210X.12613" TargetMode="External" /><Relationship Type="http://schemas.openxmlformats.org/officeDocument/2006/relationships/hyperlink" Id="rId359" Target="https://doi.org/10.1198/000313001300339897" TargetMode="External" /><Relationship Type="http://schemas.openxmlformats.org/officeDocument/2006/relationships/hyperlink" Id="rId329" Target="https://doi.org/10.1198/108571102320" TargetMode="External" /><Relationship Type="http://schemas.openxmlformats.org/officeDocument/2006/relationships/hyperlink" Id="rId302" Target="https://doi.org/10.18637/jss.v022.i07" TargetMode="External" /><Relationship Type="http://schemas.openxmlformats.org/officeDocument/2006/relationships/hyperlink" Id="rId304" Target="https://doi.org/10.1890/0012-9615(1999)069[0001:DBRDAO]2.0.CO;2" TargetMode="External" /><Relationship Type="http://schemas.openxmlformats.org/officeDocument/2006/relationships/hyperlink" Id="rId349" Target="https://doi.org/10.1890/11-1952.1" TargetMode="External" /><Relationship Type="http://schemas.openxmlformats.org/officeDocument/2006/relationships/hyperlink" Id="rId367" Target="https://doi.org/10.1890/12-2010.1" TargetMode="External" /><Relationship Type="http://schemas.openxmlformats.org/officeDocument/2006/relationships/hyperlink" Id="rId345" Target="https://doi.org/10.2307/2529826" TargetMode="External" /><Relationship Type="http://schemas.openxmlformats.org/officeDocument/2006/relationships/hyperlink" Id="rId310" Target="https://doi.org/10.30861/9781841718309" TargetMode="External" /><Relationship Type="http://schemas.openxmlformats.org/officeDocument/2006/relationships/hyperlink" Id="rId335"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2026-09-07T23:29:28Z</dcterms:created>
  <dcterms:modified xsi:type="dcterms:W3CDTF">2026-09-07T23:29:28Z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7,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