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7,</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hypothesize a two-group structure of restricted versus broad geometric-sign repertoires. Stochastic block modelling finds that the richness gap between the groups is not distinguishable from a group difference, considering the saturating richness–effort relationship. Despite differences in network size between phases, permutation tests show no evidence for meaningful differences in overall connectivity, community structure, or centrality patterns.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We find no statistically significant evidence in the SignBase sample for discrete geographically structured groups of Aurignacian geometric signs analogous to those claimed for personal ornaments.</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using geometric signs as identity markers to investigate group dynamics in the Aurignacian period using seriation and network analysis complemented by robust sensitivity and validation analyses to evaluate whether sign repertoires identify geographically structured cultural groups, and if these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but nominally statistically significant correlation (R = 0.062, p = 0.004).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 §</w:t>
      </w:r>
      <w:r>
        <w:t xml:space="preserve">S1.8.3</w:t>
      </w:r>
      <w:r>
        <w:t xml:space="preserve">):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and sign type distribution (R = 0.151, p = 0.071), supporting our decision to use presence/absence data. Beyond presence/absence coding, we additionally tested the residual object-count confound directly at the object level via downsampling, coverage-based rarefaction, and a negative-binomial regression with log object count as a covariate (see our S1 ).</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 §</w:t>
      </w:r>
      <w:r>
        <w:t xml:space="preserve">S1.4.3</w:t>
      </w:r>
      <w:r>
        <w:t xml:space="preserve">). To test whether the non-significant Mantel result reflects a particular alternative process, we additionally fit a multiple regression on distance matrices with sign dissimilarity as the response and geographic, temporal, and object-count distances as predictors (see our S1 §</w:t>
      </w:r>
      <w:r>
        <w:t xml:space="preserve">S1.8.2</w:t>
      </w:r>
      <w:r>
        <w:t xml:space="preserve">). This reveals no candidate is significant, so the null Mantel does not identify any specific alternative process. A Mantel correlogram likewise did not detect spatial structure at any distance lag, and bootstrap confidence intervals on the Mantel R indicate the test is underpowered at these sample sizes, so the non-significant result is best read as a lack of evidence rather than evidence of absence (S1 ). As a non-Mantel check that fits an explanatory model rather than correlating two distance matrices, we additionally ran a distance-based redundancy analysis</w:t>
      </w:r>
      <w:r>
        <w:t xml:space="preserve"> </w:t>
      </w:r>
      <w:r>
        <w:t xml:space="preserve">[33]</w:t>
      </w:r>
      <w:r>
        <w:t xml:space="preserve"> </w:t>
      </w:r>
      <w:r>
        <w:t xml:space="preserve">of the site Jaccard dissimilarity matrix on a linear geographic trend surface (longitude + latitude, identical specification in both phases; S1). It detects a weak linear geographic trend in Aur-P1 (R² = 0.156, adjusted R² = 0.057, p = 0.038) but no signal in Aur-P2 (R² = 0.191, adjusted R² = -0.078, p = 0.85). The Aur-P1 trend explains only about six percent of the adjusted variation, so it qualifies rather than overturns the Mantel null: at most a faint geographic gradient is distinguishable, not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c>
                <w:tcPr/>
                <w:p>
                  <w:pPr>
                    <w:pStyle w:val="Compact"/>
                    <w:jc w:val="left"/>
                    <w:jc w:val="center"/>
                  </w:pPr>
                  <w:r>
                    <w:t xml:space="preserve">Mantel 95% CI</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c>
                <w:tcPr/>
                <w:p>
                  <w:pPr>
                    <w:pStyle w:val="Compact"/>
                    <w:jc w:val="left"/>
                    <w:jc w:val="center"/>
                  </w:pPr>
                  <w:r>
                    <w:t xml:space="preserve">[-0.022, 0.086]</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c>
                <w:tcPr/>
                <w:p>
                  <w:pPr>
                    <w:pStyle w:val="Compact"/>
                    <w:jc w:val="left"/>
                    <w:jc w:val="center"/>
                  </w:pPr>
                  <w:r>
                    <w:t xml:space="preserve">[-0.355, -0.231]</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 §</w:t>
      </w:r>
      <w:r>
        <w:t xml:space="preserve">S1.2</w:t>
      </w:r>
      <w:r>
        <w:t xml:space="preserve"> </w:t>
      </w:r>
      <w:r>
        <w:t xml:space="preserve">and §</w:t>
      </w:r>
      <w:r>
        <w:t xml:space="preserve">S1.3</w:t>
      </w:r>
      <w:r>
        <w:t xml:space="preserve">).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 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evaluate the two-group hypothesis inferred from the seriation analysis, we used bootstrap resampling and stochastic block models, which we describe in detail in S1.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which is a signal that both groups are internally coherent and sharply separated. The strength of this signal is much lower for Aur-P2, where the pattern is 0.49 within the restricted block and 0.92 within the broader block, against 0.4 across the blocks. The stochastic block model analysis, which tests whether the proposed groups emerge as latent network communities without being supplied to the model in advance, shows that all three emission models select more than two blocks as optimal in Aur-P1: Bernoulli K = 3 (ICL = -110.1), Gaussian K = 4 (ICL = 73.5), Poisson K = 3 (ICL = -263.3). In each model the restricted/broad split is recovered as the two largest blocks; Bernoulli and Gaussian additionally isolate Labeko Koba, Les Cottés, and Trou al’Wesse as a small third block, while under Poisson the same two broad sites pair off and Grotte du Renne joins the large mixed block (S1 §</w:t>
      </w:r>
      <w:r>
        <w:t xml:space="preserve">S1.9.3</w:t>
      </w:r>
      <w:r>
        <w:t xml:space="preserve">). In Aur-P2 the Bernoulli and Poisson models select a single block and only the Gaussian model selects two blocks, by a marginal 0.9 ICL points. We therefore consider the restricted/broad division as a dominant axis of sign type composition variation (rich vs. poor sign repertoires) with a stable small-block refinement in Aur-P1, rather than an exact two-group partition.</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 randomization,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A separate null-benchmarked modularity test (S1) shows that Aur-P1’s observed modularity (0.336 at threshold 0.2) significantly exceeds the random expectation (p = 0.000), while Aur-P2’s observed modularity (0.161) does not (p = 0.078), consistent with Aur-P2’s small sample size. The Aur-P1–Aur-P2 contrast is therefore primarily one of network scale rather than a statistically distinguishable community structure. Object-within-site bootstrap stability bands likewise overlap between phases for both mean degree and modularity (S1),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unusually large sign assemblage; (3) excluding figurines concentrated at Vogelherd (S1 ).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perhaps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 Partitions Around Medoids on geodesic distances between sites finds two groups as a parsimonious grouping for Aur-P1 only (S1 §</w:t>
      </w:r>
      <w:r>
        <w:t xml:space="preserve">S1.8.4</w:t>
      </w:r>
      <w:r>
        <w:t xml:space="preserve">). These two groups are roughly West versus Central Europe, separating the Dordogne bloc tradition from the Swabian ivory tradition, and likely reflective research effort history rather than past cultural groups.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1900"/>
              <w:gridCol w:w="1372"/>
              <w:gridCol w:w="1267"/>
              <w:gridCol w:w="1267"/>
              <w:gridCol w:w="2112"/>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c>
                <w:tcPr/>
                <w:p>
                  <w:pPr>
                    <w:pStyle w:val="Compact"/>
                    <w:jc w:val="left"/>
                    <w:jc w:val="center"/>
                  </w:pPr>
                  <w:r>
                    <w:t xml:space="preserve">PerMANOVA R2 95% CI</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c>
                <w:tcPr/>
                <w:p>
                  <w:pPr>
                    <w:pStyle w:val="Compact"/>
                    <w:jc w:val="left"/>
                    <w:jc w:val="center"/>
                  </w:pPr>
                  <w:r>
                    <w:t xml:space="preserve">[0.145, 0.206]</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c>
                <w:tcPr/>
                <w:p>
                  <w:pPr>
                    <w:pStyle w:val="Compact"/>
                    <w:jc w:val="left"/>
                    <w:jc w:val="center"/>
                  </w:pPr>
                  <w:r>
                    <w:t xml:space="preserve">[0.132, 0.229]</w:t>
                  </w:r>
                </w:p>
              </w:tc>
            </w:tr>
          </w:tbl>
          <w:p>
            <w:pPr>
              <w:jc w:val="center"/>
            </w:pPr>
            <w:pPr>
              <w:jc w:val="start"/>
              <w:spacing w:before="200"/>
              <w:pStyle w:val="ImageCaption"/>
            </w:pPr>
            <w:r>
              <w:t xml:space="preserve">Table 3: Table of the results per phase for the perMANOVA. The R² 95% confidence interval comes from an object-within-site bootstrap (B = 1,000). The bootstrap interval measures R² stability under object resampling with fixed labels, they are not a null-hypothesis test</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However, this separation vanishes under Simpson turnover dissimilarity (which removes the nestedness/richness component), indicating the Jaccard signal comes from the nestedness component—rich versus poor repertoires—rather than by compositional turnover between the groups (S1 §</w:t>
      </w:r>
      <w:r>
        <w:t xml:space="preserve">S1.10.3</w:t>
      </w:r>
      <w:r>
        <w:t xml:space="preserve">). Beta dispersion analysis did not detect a significant difference in within-group dispersion in either phase; this does not establish equal dispersions, so the PerMANOVA results should be interpreted cautiously. Leave-one-out classification indicates that the labels vary smoothly across the Jaccard composition space rather than independently confirming a discrete partition (S1 §</w:t>
      </w:r>
      <w:r>
        <w:t xml:space="preserve">S1.10</w:t>
      </w:r>
      <w:r>
        <w:t xml:space="preserve">), and the fixed-fixed Curveball test does not show that the optimised split exceeds richness-preserving expectations (S1 §</w:t>
      </w:r>
      <w:r>
        <w:t xml:space="preserve">S1.10</w:t>
      </w:r>
      <w:r>
        <w:t xml:space="preserve">).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unusually high number of signs, does not change the gradient observation.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Communities differ mainly in the frequency of the most widespread sign types, with no type exclusive to one community, which favours graded repertoires over discrete provinces (S1).</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w:t>
      </w:r>
      <w:r>
        <w:t xml:space="preserve">S1.7.6</w:t>
      </w:r>
      <w:r>
        <w:t xml:space="preserve">), indicating the Aur-P1–Aur-P2 contrast is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S1 ).</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[44–51]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[4,51–62]</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Sampling effort is a major qualification on this social structure interpretation: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w:t>
      </w:r>
      <w:r>
        <w:t xml:space="preserve">S1.12.3</w:t>
      </w:r>
      <w:r>
        <w:t xml:space="preserve">). Among the subset of sites that attain comparable coverage (S1 §</w:t>
      </w:r>
      <w:r>
        <w:t xml:space="preserve">S1.12.4</w:t>
      </w:r>
      <w:r>
        <w:t xml:space="preserve">), broad-range sites remain richer, and a negative-binomial model with an estimated exponent finds the group contrast persists at equal object count (rate ratio = 2.31, p = 0.003; S1 §</w:t>
      </w:r>
      <w:r>
        <w:t xml:space="preserve">S1.12.5</w:t>
      </w:r>
      <w:r>
        <w:t xml:space="preserve">). However, this estimate is imprecise because the sample is small and group membership is strongly collinear with object count, and a negative-binomial model with a fixed exponent (offset) shows no effect (rate ratio = 0.72, p = 0.292; S1 §</w:t>
      </w:r>
      <w:r>
        <w:t xml:space="preserve">S1.12.5</w:t>
      </w:r>
      <w:r>
        <w:t xml:space="preserve">). At the phase level, the Jaccard separation is not greater than expected under a fixed-margin null preserving site richness and sign-type frequencies, and no separation remains on Simpson turnover, which removes the nestedness component of Jaccard (S1 §</w:t>
      </w:r>
      <w:r>
        <w:t xml:space="preserve">S1.10.3</w:t>
      </w:r>
      <w:r>
        <w:t xml:space="preserve">).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S1 ), and bootstrap confidence intervals on the Mantel R show that a moderate geographic correlation could not be excluded at these sample sizes (S1 §</w:t>
      </w:r>
      <w:r>
        <w:t xml:space="preserve">S1.4.3</w:t>
      </w:r>
      <w:r>
        <w:t xml:space="preserve">).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(as a possible indicator of aggregation) showed a weak, non-significant trends with network degree after Benjamini‑Hochberg correction (ρ = -0.35, p = 0.095). However, because this trend is not significant, it is not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broad-restricted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(S1 ).</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(Partitioning Around Medoids on geodesic distances, k=2 to 5, with Jaccard dissimilarity and PerMANOVA) found no significant differences across geographic groups (S1 §</w:t>
      </w:r>
      <w:r>
        <w:t xml:space="preserve">S1.8.4</w:t>
      </w:r>
      <w:r>
        <w:t xml:space="preserve">).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 §</w:t>
      </w:r>
      <w:r>
        <w:t xml:space="preserve">S1.4.3</w:t>
      </w:r>
      <w:r>
        <w:t xml:space="preserve">).</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w:t>
      </w:r>
      <w:r>
        <w:t xml:space="preserve">S1.12.6</w:t>
      </w:r>
      <w:r>
        <w:t xml:space="preserve">).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Our finding of no statistically significant differences in connectivity metrics across the two phases suggests that relative interaction levels remained consistent over time, even as populations consolidated into fewer sites. This maintenance of interaction level through demographic consolidation parallels the Iberian Mesolithic, where peninsular-scale ornament networks persisted without topological change from the Early to Late Mesolithic despite population growth and technocomplex replacement</w:t>
      </w:r>
      <w:r>
        <w:t xml:space="preserve"> </w:t>
      </w:r>
      <w:r>
        <w:t xml:space="preserve">[103]</w:t>
      </w:r>
      <w:r>
        <w:t xml:space="preserve">. The lack of significant geographic structure in either phase contradicts simple isolation-by-distance models</w:t>
      </w:r>
      <w:r>
        <w:t xml:space="preserve"> </w:t>
      </w:r>
      <w:r>
        <w:t xml:space="preserve">[99,104]</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[106]</w:t>
      </w:r>
      <w:r>
        <w:t xml:space="preserve">’s proposal that sign sequences have protocuneiform-like information density, suggesting notational function, or</w:t>
      </w:r>
      <w:r>
        <w:t xml:space="preserve"> </w:t>
      </w:r>
      <w:r>
        <w:t xml:space="preserve">[107]</w:t>
      </w:r>
      <w:r>
        <w:t xml:space="preserve">’s claim that some signs record seasonal prey information. However, these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 on their potential future contributions.</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[2,70,116–120]</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visually evident in seriation and supported by bootstrap co-clustering. A negative-binomial regression shows broad-range sites with higher richness at equal object count. With the exponent fixed at 1, the difference is not statistically significant, but 1 lies outside the estimated interval and the free-slope estimate remains imprecise because group tracks object count. Stochastic block models select three (Bernoulli and Poisson) or four blocks (Gaussian) as optimal in Aur-P1, recovering the restricted/broad split as their two largest blocks with a stable small-block refinement (Labeko Koba, Les Cottés, Trou al’Wesse under Bernoulli and Gaussian; S1 §</w:t>
      </w:r>
      <w:r>
        <w:t xml:space="preserve">S1.9.3</w:t>
      </w:r>
      <w:r>
        <w:t xml:space="preserve">), while in Aur-P2 the Bernoulli and Poisson models select a single block and only the Gaussian model selects two blocks by a marginal 0.9 ICL points. Cross-validation (leave-one-out, object-half holdout, gradient PerMANOVA) recovers the axis (S1 §</w:t>
      </w:r>
      <w:r>
        <w:t xml:space="preserve">S1.10</w:t>
      </w:r>
      <w:r>
        <w:t xml:space="preserve">), yet the maximally-selected split test under a fixed-fixed (Curveball) null is not significant in either phase (Aur-P1 p = 0.139; Aur-P2 p = 1). The seriation ordering itself also does not exceed the Curveball null (S1 §</w:t>
      </w:r>
      <w:r>
        <w:t xml:space="preserve">S1.9.5</w:t>
      </w:r>
      <w:r>
        <w:t xml:space="preserve">).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However, bootstrap confidence intervals (S1 §</w:t>
      </w:r>
      <w:r>
        <w:t xml:space="preserve">S1.4.3</w:t>
      </w:r>
      <w:r>
        <w:t xml:space="preserve">) show the tests are underpowered, so these are null results reflecting limited power, not evidence of geographic irrelevance. There is weak evidence for a broad geographic gradient in Aur-P1, but insufficient evidence for discrete geographic clustering analogous to those reported for personal ornaments</w:t>
      </w:r>
      <w:r>
        <w:t xml:space="preserve"> </w:t>
      </w:r>
      <w:r>
        <w:t xml:space="preserve">[3,6]</w:t>
      </w:r>
      <w:r>
        <w:t xml:space="preserve">. Whether the signs encode different identity dimensions or have other fucntions (notation, calendrical recording, information storage) remains speculative and untested</w:t>
      </w:r>
      <w:r>
        <w:t xml:space="preserve"> </w:t>
      </w:r>
      <w:r>
        <w:t xml:space="preserve">[106–111]</w:t>
      </w:r>
      <w:r>
        <w:t xml:space="preserve">.</w:t>
      </w:r>
    </w:p>
    <w:p>
      <w:pPr>
        <w:pStyle w:val="BodyText"/>
      </w:pPr>
      <w:r>
        <w:t xml:space="preserve">Our study has three limitations. First is the ambiguity of some of the sign types. While</w:t>
      </w:r>
      <w:r>
        <w:t xml:space="preserve"> </w:t>
      </w:r>
      <w:r>
        <w:t xml:space="preserve">[121]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[122]</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second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[125,126]</w:t>
      </w:r>
      <w:r>
        <w:t xml:space="preserve">, La Ferrassie’s Aurignacian begins with the Early Aurignacian directly above the Châtelperronian</w:t>
      </w:r>
      <w:r>
        <w:t xml:space="preserve"> </w:t>
      </w:r>
      <w:r>
        <w:t xml:space="preserve">[127]</w:t>
      </w:r>
      <w:r>
        <w:t xml:space="preserve">, and Mladeč’s massive-base bone points and ~31 ka ¹⁴C BP (~35–36 ka cal BP) dates indicate an Evolved (Aur-P2) attribution</w:t>
      </w:r>
      <w:r>
        <w:t xml:space="preserve"> </w:t>
      </w:r>
      <w:r>
        <w:t xml:space="preserve">[128]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[129]</w:t>
      </w:r>
      <w:r>
        <w:t xml:space="preserve">. After exclusions, Aur-P2 rests on only 9 sites and 63 objects, so its two-group structure and network statistics have limited power. Date parsing itself removes assemblages whose reported dates lack uncertainties, including a large assemblage that would otherwise fall late, so the small Aur-P2 sample partly reflects dating-quality filtering rather than only archaeology (S1 §</w:t>
      </w:r>
      <w:r>
        <w:t xml:space="preserve">S1.1</w:t>
      </w:r>
      <w:r>
        <w:t xml:space="preserve">). Alternative calibrations move a few boundary sites between phases without changing the phase ordering (S1 §</w:t>
      </w:r>
      <w:r>
        <w:t xml:space="preserve">S1.5.3</w:t>
      </w:r>
      <w:r>
        <w:t xml:space="preserve">).</w:t>
      </w:r>
    </w:p>
    <w:bookmarkEnd w:id="61"/>
    <w:bookmarkStart w:id="307" w:name="references"/>
    <w:p>
      <w:pPr>
        <w:pStyle w:val="Heading1"/>
      </w:pPr>
      <w:r>
        <w:t xml:space="preserve">References</w:t>
      </w:r>
    </w:p>
    <w:bookmarkStart w:id="306"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w:t>
      </w:r>
      <w:r>
        <w:t xml:space="preserve"> </w:t>
      </w:r>
      <w:hyperlink r:id="rId112">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2023.</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4">
        <w:r>
          <w:rPr>
            <w:rStyle w:val="Hyperlink"/>
          </w:rPr>
          <w:t xml:space="preserve">https://doi.org/10.1890/0012-9615(1999)069[0001:DBRDAO]2.0.CO;2</w:t>
        </w:r>
      </w:hyperlink>
      <w:r>
        <w:t xml:space="preserve">.</w:t>
      </w:r>
    </w:p>
    <w:bookmarkEnd w:id="125"/>
    <w:bookmarkStart w:id="127"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6">
        <w:r>
          <w:rPr>
            <w:rStyle w:val="Hyperlink"/>
          </w:rPr>
          <w:t xml:space="preserve">https://doi.org/10.18637/jss.v025.i03</w:t>
        </w:r>
      </w:hyperlink>
      <w:r>
        <w:t xml:space="preserve">.</w:t>
      </w:r>
    </w:p>
    <w:bookmarkEnd w:id="127"/>
    <w:bookmarkStart w:id="129"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8">
        <w:r>
          <w:rPr>
            <w:rStyle w:val="Hyperlink"/>
          </w:rPr>
          <w:t xml:space="preserve">https://doi.org/10.1111/j.1502-3931.1988.tb01756.x</w:t>
        </w:r>
      </w:hyperlink>
      <w:r>
        <w:t xml:space="preserve">.</w:t>
      </w:r>
    </w:p>
    <w:bookmarkEnd w:id="129"/>
    <w:bookmarkStart w:id="131"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30">
        <w:r>
          <w:rPr>
            <w:rStyle w:val="Hyperlink"/>
          </w:rPr>
          <w:t xml:space="preserve">https://doi.org/10.1146/annurev-anthro-102116-041423</w:t>
        </w:r>
      </w:hyperlink>
      <w:r>
        <w:t xml:space="preserve">.</w:t>
      </w:r>
    </w:p>
    <w:bookmarkEnd w:id="131"/>
    <w:bookmarkStart w:id="133"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32">
        <w:r>
          <w:rPr>
            <w:rStyle w:val="Hyperlink"/>
          </w:rPr>
          <w:t xml:space="preserve">https://doi.org/10.1002/spe.4380211102</w:t>
        </w:r>
      </w:hyperlink>
      <w:r>
        <w:t xml:space="preserve">.</w:t>
      </w:r>
    </w:p>
    <w:bookmarkEnd w:id="133"/>
    <w:bookmarkStart w:id="135" w:name="ref-statnet_package"/>
    <w:p>
      <w:pPr>
        <w:pStyle w:val="Bibliography"/>
      </w:pPr>
      <w:r>
        <w:t xml:space="preserve">[38]</w:t>
      </w:r>
      <w:r>
        <w:t xml:space="preserve"> </w:t>
      </w:r>
      <w:r>
        <w:t xml:space="preserve">	</w:t>
      </w:r>
      <w:r>
        <w:t xml:space="preserve">Handcock MS, Hunter DR, Butts CT, Goodreau SM, Krivitsky PN, Bender-deMoll S, et al.</w:t>
      </w:r>
      <w:r>
        <w:t xml:space="preserve"> </w:t>
      </w:r>
      <w:hyperlink r:id="rId134">
        <w:r>
          <w:rPr>
            <w:rStyle w:val="Hyperlink"/>
          </w:rPr>
          <w:t xml:space="preserve">Statnet: Software tools for the statistical analysis of network data</w:t>
        </w:r>
      </w:hyperlink>
      <w:r>
        <w:t xml:space="preserve"> </w:t>
      </w:r>
      <w:r>
        <w:t xml:space="preserve">2019.</w:t>
      </w:r>
    </w:p>
    <w:bookmarkEnd w:id="135"/>
    <w:bookmarkStart w:id="137" w:name="ref-igraph_package"/>
    <w:p>
      <w:pPr>
        <w:pStyle w:val="Bibliography"/>
      </w:pPr>
      <w:r>
        <w:t xml:space="preserve">[39]</w:t>
      </w:r>
      <w:r>
        <w:t xml:space="preserve"> </w:t>
      </w:r>
      <w:r>
        <w:t xml:space="preserve">	</w:t>
      </w:r>
      <w:r>
        <w:t xml:space="preserve">Csardi G, Nepusz T.</w:t>
      </w:r>
      <w:r>
        <w:t xml:space="preserve"> </w:t>
      </w:r>
      <w:hyperlink r:id="rId136">
        <w:r>
          <w:rPr>
            <w:rStyle w:val="Hyperlink"/>
          </w:rPr>
          <w:t xml:space="preserve">The igraph software package for complex network research</w:t>
        </w:r>
      </w:hyperlink>
      <w:r>
        <w:t xml:space="preserve">. InterJournal 2006;Complex Systems:1695.</w:t>
      </w:r>
    </w:p>
    <w:bookmarkEnd w:id="137"/>
    <w:bookmarkStart w:id="139"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8">
        <w:r>
          <w:rPr>
            <w:rStyle w:val="Hyperlink"/>
          </w:rPr>
          <w:t xml:space="preserve">https://doi.org/10.1002/9781118445112.stat07841</w:t>
        </w:r>
      </w:hyperlink>
      <w:r>
        <w:t xml:space="preserve">.</w:t>
      </w:r>
    </w:p>
    <w:bookmarkEnd w:id="139"/>
    <w:bookmarkStart w:id="141"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0">
        <w:r>
          <w:rPr>
            <w:rStyle w:val="Hyperlink"/>
          </w:rPr>
          <w:t xml:space="preserve">https://doi.org/10.1016/j.evolhumbehav.2014.09.006</w:t>
        </w:r>
      </w:hyperlink>
      <w:r>
        <w:t xml:space="preserve">.</w:t>
      </w:r>
    </w:p>
    <w:bookmarkEnd w:id="141"/>
    <w:bookmarkStart w:id="143"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2">
        <w:r>
          <w:rPr>
            <w:rStyle w:val="Hyperlink"/>
          </w:rPr>
          <w:t xml:space="preserve">https://doi.org/10.1007/s10816-015-9272-9</w:t>
        </w:r>
      </w:hyperlink>
      <w:r>
        <w:t xml:space="preserve">.</w:t>
      </w:r>
    </w:p>
    <w:bookmarkEnd w:id="143"/>
    <w:bookmarkStart w:id="145"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4">
        <w:r>
          <w:rPr>
            <w:rStyle w:val="Hyperlink"/>
          </w:rPr>
          <w:t xml:space="preserve">https://doi.org/10.1016/j.jas.2025.106281</w:t>
        </w:r>
      </w:hyperlink>
      <w:r>
        <w:t xml:space="preserve">.</w:t>
      </w:r>
    </w:p>
    <w:bookmarkEnd w:id="145"/>
    <w:bookmarkStart w:id="147" w:name="ref-Finlayson_Warren_2017"/>
    <w:p>
      <w:pPr>
        <w:pStyle w:val="Bibliography"/>
      </w:pPr>
      <w:r>
        <w:t xml:space="preserve">[44]</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[47]</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4"/>
    <w:bookmarkStart w:id="156"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5"/>
    <w:bookmarkStart w:id="167"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3"/>
    <w:bookmarkStart w:id="175"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6">
        <w:r>
          <w:rPr>
            <w:rStyle w:val="Hyperlink"/>
          </w:rPr>
          <w:t xml:space="preserve">https://doi.org/10.2307/279544</w:t>
        </w:r>
      </w:hyperlink>
      <w:r>
        <w:t xml:space="preserve">.</w:t>
      </w:r>
    </w:p>
    <w:bookmarkEnd w:id="177"/>
    <w:bookmarkStart w:id="179"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8">
        <w:r>
          <w:rPr>
            <w:rStyle w:val="Hyperlink"/>
          </w:rPr>
          <w:t xml:space="preserve">https://doi.org/10.2307/2800797</w:t>
        </w:r>
      </w:hyperlink>
      <w:r>
        <w:t xml:space="preserve">.</w:t>
      </w:r>
    </w:p>
    <w:bookmarkEnd w:id="179"/>
    <w:bookmarkStart w:id="181"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80">
        <w:r>
          <w:rPr>
            <w:rStyle w:val="Hyperlink"/>
          </w:rPr>
          <w:t xml:space="preserve">https://doi.org/10.1086/jar.46.2.3630069</w:t>
        </w:r>
      </w:hyperlink>
      <w:r>
        <w:t xml:space="preserve">.</w:t>
      </w:r>
    </w:p>
    <w:bookmarkEnd w:id="181"/>
    <w:bookmarkStart w:id="183"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82">
        <w:r>
          <w:rPr>
            <w:rStyle w:val="Hyperlink"/>
          </w:rPr>
          <w:t xml:space="preserve">https://doi.org/10.1086/jar.39.3.3629672</w:t>
        </w:r>
      </w:hyperlink>
      <w:r>
        <w:t xml:space="preserve">.</w:t>
      </w:r>
    </w:p>
    <w:bookmarkEnd w:id="183"/>
    <w:bookmarkStart w:id="185"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4">
        <w:r>
          <w:rPr>
            <w:rStyle w:val="Hyperlink"/>
          </w:rPr>
          <w:t xml:space="preserve">https://doi.org/10.1016/j.jasrep.2024.104798</w:t>
        </w:r>
      </w:hyperlink>
      <w:r>
        <w:t xml:space="preserve">.</w:t>
      </w:r>
    </w:p>
    <w:bookmarkEnd w:id="185"/>
    <w:bookmarkStart w:id="187"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6">
        <w:r>
          <w:rPr>
            <w:rStyle w:val="Hyperlink"/>
          </w:rPr>
          <w:t xml:space="preserve">https://doi.org/10.1016/j.jaa.2005.11.004</w:t>
        </w:r>
      </w:hyperlink>
      <w:r>
        <w:t xml:space="preserve">.</w:t>
      </w:r>
    </w:p>
    <w:bookmarkEnd w:id="187"/>
    <w:bookmarkStart w:id="188"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88"/>
    <w:bookmarkStart w:id="190"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89">
        <w:r>
          <w:rPr>
            <w:rStyle w:val="Hyperlink"/>
          </w:rPr>
          <w:t xml:space="preserve">https://doi.org/10.2307/j.ctvdmwwz4.7</w:t>
        </w:r>
      </w:hyperlink>
      <w:r>
        <w:t xml:space="preserve">.</w:t>
      </w:r>
    </w:p>
    <w:bookmarkEnd w:id="190"/>
    <w:bookmarkStart w:id="192"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1">
        <w:r>
          <w:rPr>
            <w:rStyle w:val="Hyperlink"/>
          </w:rPr>
          <w:t xml:space="preserve">https://doi.org/10.2307/j.ctvdmwwz4.10</w:t>
        </w:r>
      </w:hyperlink>
      <w:r>
        <w:t xml:space="preserve">.</w:t>
      </w:r>
    </w:p>
    <w:bookmarkEnd w:id="192"/>
    <w:bookmarkStart w:id="194"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3">
        <w:r>
          <w:rPr>
            <w:rStyle w:val="Hyperlink"/>
          </w:rPr>
          <w:t xml:space="preserve">https://doi.org/10.1098/rstb.2020.0318</w:t>
        </w:r>
      </w:hyperlink>
      <w:r>
        <w:t xml:space="preserve">.</w:t>
      </w:r>
    </w:p>
    <w:bookmarkEnd w:id="194"/>
    <w:bookmarkStart w:id="196"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5">
        <w:r>
          <w:rPr>
            <w:rStyle w:val="Hyperlink"/>
          </w:rPr>
          <w:t xml:space="preserve">https://doi.org/10.1111/tops.12762</w:t>
        </w:r>
      </w:hyperlink>
      <w:r>
        <w:t xml:space="preserve">.</w:t>
      </w:r>
    </w:p>
    <w:bookmarkEnd w:id="196"/>
    <w:bookmarkStart w:id="198"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7">
        <w:r>
          <w:rPr>
            <w:rStyle w:val="Hyperlink"/>
          </w:rPr>
          <w:t xml:space="preserve">https://doi.org/10.3213/2191-5784-10243</w:t>
        </w:r>
      </w:hyperlink>
      <w:r>
        <w:t xml:space="preserve">.</w:t>
      </w:r>
    </w:p>
    <w:bookmarkEnd w:id="198"/>
    <w:bookmarkStart w:id="200" w:name="ref-Newlander_2012"/>
    <w:p>
      <w:pPr>
        <w:pStyle w:val="Bibliography"/>
      </w:pPr>
      <w:r>
        <w:t xml:space="preserve">[73]</w:t>
      </w:r>
      <w:r>
        <w:t xml:space="preserve"> </w:t>
      </w:r>
      <w:r>
        <w:t xml:space="preserve">	</w:t>
      </w:r>
      <w:r>
        <w:t xml:space="preserve">Newlander KS.</w:t>
      </w:r>
      <w:r>
        <w:t xml:space="preserve"> </w:t>
      </w:r>
      <w:hyperlink r:id="rId199">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0"/>
    <w:bookmarkStart w:id="202"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1">
        <w:r>
          <w:rPr>
            <w:rStyle w:val="Hyperlink"/>
          </w:rPr>
          <w:t xml:space="preserve">https://doi.org/10.1371/journal.pone.0265329</w:t>
        </w:r>
      </w:hyperlink>
      <w:r>
        <w:t xml:space="preserve">.</w:t>
      </w:r>
    </w:p>
    <w:bookmarkEnd w:id="202"/>
    <w:bookmarkStart w:id="204"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3">
        <w:r>
          <w:rPr>
            <w:rStyle w:val="Hyperlink"/>
          </w:rPr>
          <w:t xml:space="preserve">https://doi.org/10.1086/202540</w:t>
        </w:r>
      </w:hyperlink>
      <w:r>
        <w:t xml:space="preserve">.</w:t>
      </w:r>
    </w:p>
    <w:bookmarkEnd w:id="204"/>
    <w:bookmarkStart w:id="206"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5">
        <w:r>
          <w:rPr>
            <w:rStyle w:val="Hyperlink"/>
          </w:rPr>
          <w:t xml:space="preserve">https://doi.org/10.1086/701523</w:t>
        </w:r>
      </w:hyperlink>
      <w:r>
        <w:t xml:space="preserve">.</w:t>
      </w:r>
    </w:p>
    <w:bookmarkEnd w:id="206"/>
    <w:bookmarkStart w:id="208"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7">
        <w:r>
          <w:rPr>
            <w:rStyle w:val="Hyperlink"/>
          </w:rPr>
          <w:t xml:space="preserve">https://doi.org/10.1111/j.1468-0092.1982.tb00313.x</w:t>
        </w:r>
      </w:hyperlink>
      <w:r>
        <w:t xml:space="preserve">.</w:t>
      </w:r>
    </w:p>
    <w:bookmarkEnd w:id="208"/>
    <w:bookmarkStart w:id="210"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9">
        <w:r>
          <w:rPr>
            <w:rStyle w:val="Hyperlink"/>
          </w:rPr>
          <w:t xml:space="preserve">https://doi.org/10.1016/j.jaa.2013.05.005</w:t>
        </w:r>
      </w:hyperlink>
      <w:r>
        <w:t xml:space="preserve">.</w:t>
      </w:r>
    </w:p>
    <w:bookmarkEnd w:id="210"/>
    <w:bookmarkStart w:id="212"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1">
        <w:r>
          <w:rPr>
            <w:rStyle w:val="Hyperlink"/>
          </w:rPr>
          <w:t xml:space="preserve">https://doi.org/10.4000/palethnologie.4945</w:t>
        </w:r>
      </w:hyperlink>
      <w:r>
        <w:t xml:space="preserve">.</w:t>
      </w:r>
    </w:p>
    <w:bookmarkEnd w:id="212"/>
    <w:bookmarkStart w:id="214"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3">
        <w:r>
          <w:rPr>
            <w:rStyle w:val="Hyperlink"/>
          </w:rPr>
          <w:t xml:space="preserve">https://doi.org/10.1086/202802</w:t>
        </w:r>
      </w:hyperlink>
      <w:r>
        <w:t xml:space="preserve">.</w:t>
      </w:r>
    </w:p>
    <w:bookmarkEnd w:id="214"/>
    <w:bookmarkStart w:id="215"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5"/>
    <w:bookmarkStart w:id="217"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6">
        <w:r>
          <w:rPr>
            <w:rStyle w:val="Hyperlink"/>
          </w:rPr>
          <w:t xml:space="preserve">https://doi.org/10.1146/annurev.an.23.100194.002411</w:t>
        </w:r>
      </w:hyperlink>
      <w:r>
        <w:t xml:space="preserve">.</w:t>
      </w:r>
    </w:p>
    <w:bookmarkEnd w:id="217"/>
    <w:bookmarkStart w:id="219"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8">
        <w:r>
          <w:rPr>
            <w:rStyle w:val="Hyperlink"/>
          </w:rPr>
          <w:t xml:space="preserve">https://doi.org/10.5281/zenodo.15397990</w:t>
        </w:r>
      </w:hyperlink>
      <w:r>
        <w:t xml:space="preserve">.</w:t>
      </w:r>
    </w:p>
    <w:bookmarkEnd w:id="219"/>
    <w:bookmarkStart w:id="221"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20">
        <w:r>
          <w:rPr>
            <w:rStyle w:val="Hyperlink"/>
          </w:rPr>
          <w:t xml:space="preserve">https://doi.org/10.2307/280511</w:t>
        </w:r>
      </w:hyperlink>
      <w:r>
        <w:t xml:space="preserve">.</w:t>
      </w:r>
    </w:p>
    <w:bookmarkEnd w:id="221"/>
    <w:bookmarkStart w:id="223"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2">
        <w:r>
          <w:rPr>
            <w:rStyle w:val="Hyperlink"/>
          </w:rPr>
          <w:t xml:space="preserve">https://doi.org/10.1038/s41467-024-51349-y</w:t>
        </w:r>
      </w:hyperlink>
      <w:r>
        <w:t xml:space="preserve">.</w:t>
      </w:r>
    </w:p>
    <w:bookmarkEnd w:id="223"/>
    <w:bookmarkStart w:id="225"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24">
        <w:r>
          <w:rPr>
            <w:rStyle w:val="Hyperlink"/>
          </w:rPr>
          <w:t xml:space="preserve">https://doi.org/10.1080/03122417.1992.11681454</w:t>
        </w:r>
      </w:hyperlink>
      <w:r>
        <w:t xml:space="preserve">.</w:t>
      </w:r>
    </w:p>
    <w:bookmarkEnd w:id="225"/>
    <w:bookmarkStart w:id="226"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26"/>
    <w:bookmarkStart w:id="228"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7">
        <w:r>
          <w:rPr>
            <w:rStyle w:val="Hyperlink"/>
          </w:rPr>
          <w:t xml:space="preserve">https://doi.org/10.1002/9780470773475.ch5</w:t>
        </w:r>
      </w:hyperlink>
      <w:r>
        <w:t xml:space="preserve">.</w:t>
      </w:r>
    </w:p>
    <w:bookmarkEnd w:id="228"/>
    <w:bookmarkStart w:id="230"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29">
        <w:r>
          <w:rPr>
            <w:rStyle w:val="Hyperlink"/>
          </w:rPr>
          <w:t xml:space="preserve">https://doi.org/10.1016/B978-0-12-564750-2.50020-2</w:t>
        </w:r>
      </w:hyperlink>
      <w:r>
        <w:t xml:space="preserve">.</w:t>
      </w:r>
    </w:p>
    <w:bookmarkEnd w:id="230"/>
    <w:bookmarkStart w:id="232"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1">
        <w:r>
          <w:rPr>
            <w:rStyle w:val="Hyperlink"/>
          </w:rPr>
          <w:t xml:space="preserve">https://doi.org/10.1080/00438243.1994.9980272</w:t>
        </w:r>
      </w:hyperlink>
      <w:r>
        <w:t xml:space="preserve">.</w:t>
      </w:r>
    </w:p>
    <w:bookmarkEnd w:id="232"/>
    <w:bookmarkStart w:id="234"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3">
        <w:r>
          <w:rPr>
            <w:rStyle w:val="Hyperlink"/>
          </w:rPr>
          <w:t xml:space="preserve">https://doi.org/10.1002/9781118253892.ch6</w:t>
        </w:r>
      </w:hyperlink>
      <w:r>
        <w:t xml:space="preserve">.</w:t>
      </w:r>
    </w:p>
    <w:bookmarkEnd w:id="234"/>
    <w:bookmarkStart w:id="236"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5">
        <w:r>
          <w:rPr>
            <w:rStyle w:val="Hyperlink"/>
          </w:rPr>
          <w:t xml:space="preserve">https://doi.org/10.2307/40035267</w:t>
        </w:r>
      </w:hyperlink>
      <w:r>
        <w:t xml:space="preserve">.</w:t>
      </w:r>
    </w:p>
    <w:bookmarkEnd w:id="236"/>
    <w:bookmarkStart w:id="238"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7">
        <w:r>
          <w:rPr>
            <w:rStyle w:val="Hyperlink"/>
          </w:rPr>
          <w:t xml:space="preserve">https://doi.org/10.1016/0278-4165(84)90002-3</w:t>
        </w:r>
      </w:hyperlink>
      <w:r>
        <w:t xml:space="preserve">.</w:t>
      </w:r>
    </w:p>
    <w:bookmarkEnd w:id="238"/>
    <w:bookmarkStart w:id="240"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39">
        <w:r>
          <w:rPr>
            <w:rStyle w:val="Hyperlink"/>
          </w:rPr>
          <w:t xml:space="preserve">https://doi.org/10.1080/03122417.1992.11681450</w:t>
        </w:r>
      </w:hyperlink>
      <w:r>
        <w:t xml:space="preserve">.</w:t>
      </w:r>
    </w:p>
    <w:bookmarkEnd w:id="240"/>
    <w:bookmarkStart w:id="242"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1">
        <w:r>
          <w:rPr>
            <w:rStyle w:val="Hyperlink"/>
          </w:rPr>
          <w:t xml:space="preserve">https://doi.org/10.1007/978-4-431-55363-2_8</w:t>
        </w:r>
      </w:hyperlink>
      <w:r>
        <w:t xml:space="preserve">.</w:t>
      </w:r>
    </w:p>
    <w:bookmarkEnd w:id="242"/>
    <w:bookmarkStart w:id="243"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43"/>
    <w:bookmarkStart w:id="244"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4"/>
    <w:bookmarkStart w:id="245"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5"/>
    <w:bookmarkStart w:id="247"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6">
        <w:r>
          <w:rPr>
            <w:rStyle w:val="Hyperlink"/>
          </w:rPr>
          <w:t xml:space="preserve">https://doi.org/10.2307/4128416</w:t>
        </w:r>
      </w:hyperlink>
      <w:r>
        <w:t xml:space="preserve">.</w:t>
      </w:r>
    </w:p>
    <w:bookmarkEnd w:id="247"/>
    <w:bookmarkStart w:id="249"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48">
        <w:r>
          <w:rPr>
            <w:rStyle w:val="Hyperlink"/>
          </w:rPr>
          <w:t xml:space="preserve">https://doi.org/10.1126/sciadv.aax5913</w:t>
        </w:r>
      </w:hyperlink>
      <w:r>
        <w:t xml:space="preserve">.</w:t>
      </w:r>
    </w:p>
    <w:bookmarkEnd w:id="249"/>
    <w:bookmarkStart w:id="251"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0">
        <w:r>
          <w:rPr>
            <w:rStyle w:val="Hyperlink"/>
          </w:rPr>
          <w:t xml:space="preserve">https://doi.org/10.1111/brv.12599</w:t>
        </w:r>
      </w:hyperlink>
      <w:r>
        <w:t xml:space="preserve">.</w:t>
      </w:r>
    </w:p>
    <w:bookmarkEnd w:id="251"/>
    <w:bookmarkStart w:id="253"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2">
        <w:r>
          <w:rPr>
            <w:rStyle w:val="Hyperlink"/>
          </w:rPr>
          <w:t xml:space="preserve">https://doi.org/10.1093/oxfordhb/9780198854265.013.34</w:t>
        </w:r>
      </w:hyperlink>
      <w:r>
        <w:t xml:space="preserve">.</w:t>
      </w:r>
    </w:p>
    <w:bookmarkEnd w:id="253"/>
    <w:bookmarkStart w:id="255"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Archaeological and Anthropological Sciences 2022;14.</w:t>
      </w:r>
      <w:r>
        <w:t xml:space="preserve"> </w:t>
      </w:r>
      <w:hyperlink r:id="rId254">
        <w:r>
          <w:rPr>
            <w:rStyle w:val="Hyperlink"/>
          </w:rPr>
          <w:t xml:space="preserve">https://doi.org/10.1007/s12520-022-01641-z</w:t>
        </w:r>
      </w:hyperlink>
      <w:r>
        <w:t xml:space="preserve">.</w:t>
      </w:r>
    </w:p>
    <w:bookmarkEnd w:id="255"/>
    <w:bookmarkStart w:id="257" w:name="ref-Eerkens_Lipo_2005"/>
    <w:p>
      <w:pPr>
        <w:pStyle w:val="Bibliography"/>
      </w:pPr>
      <w:r>
        <w:t xml:space="preserve">[104]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6">
        <w:r>
          <w:rPr>
            <w:rStyle w:val="Hyperlink"/>
          </w:rPr>
          <w:t xml:space="preserve">https://doi.org/10.1016/j.jaa.2005.08.001</w:t>
        </w:r>
      </w:hyperlink>
      <w:r>
        <w:t xml:space="preserve">.</w:t>
      </w:r>
    </w:p>
    <w:bookmarkEnd w:id="257"/>
    <w:bookmarkStart w:id="259" w:name="ref-Intxaurbe_2026"/>
    <w:p>
      <w:pPr>
        <w:pStyle w:val="Bibliography"/>
      </w:pPr>
      <w:r>
        <w:t xml:space="preserve">[105]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58">
        <w:r>
          <w:rPr>
            <w:rStyle w:val="Hyperlink"/>
          </w:rPr>
          <w:t xml:space="preserve">https://doi.org/10.1007/s10816-026-09796-y</w:t>
        </w:r>
      </w:hyperlink>
      <w:r>
        <w:t xml:space="preserve">.</w:t>
      </w:r>
    </w:p>
    <w:bookmarkEnd w:id="259"/>
    <w:bookmarkStart w:id="261" w:name="ref-Bentz_Dutkiewicz_2026"/>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0">
        <w:r>
          <w:rPr>
            <w:rStyle w:val="Hyperlink"/>
          </w:rPr>
          <w:t xml:space="preserve">https://doi.org/10.1073/pnas.2520385123</w:t>
        </w:r>
      </w:hyperlink>
      <w:r>
        <w:t xml:space="preserve">.</w:t>
      </w:r>
    </w:p>
    <w:bookmarkEnd w:id="261"/>
    <w:bookmarkStart w:id="263"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2">
        <w:r>
          <w:rPr>
            <w:rStyle w:val="Hyperlink"/>
          </w:rPr>
          <w:t xml:space="preserve">https://doi.org/10.1017/S0959774322000415</w:t>
        </w:r>
      </w:hyperlink>
      <w:r>
        <w:t xml:space="preserve">.</w:t>
      </w:r>
    </w:p>
    <w:bookmarkEnd w:id="263"/>
    <w:bookmarkStart w:id="265" w:name="Xa4990169aeb885a690070ab4fd90972c31994f8"/>
    <w:p>
      <w:pPr>
        <w:pStyle w:val="Bibliography"/>
      </w:pPr>
      <w:r>
        <w:t xml:space="preserve">[108]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4">
        <w:r>
          <w:rPr>
            <w:rStyle w:val="Hyperlink"/>
          </w:rPr>
          <w:t xml:space="preserve">https://doi.org/10.2139/ssrn.7053279</w:t>
        </w:r>
      </w:hyperlink>
      <w:r>
        <w:t xml:space="preserve">.</w:t>
      </w:r>
    </w:p>
    <w:bookmarkEnd w:id="265"/>
    <w:bookmarkStart w:id="267" w:name="X8ea620419c64d551554c48b7075c9934881930b"/>
    <w:p>
      <w:pPr>
        <w:pStyle w:val="Bibliography"/>
      </w:pPr>
      <w:r>
        <w:t xml:space="preserve">[109]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6">
        <w:r>
          <w:rPr>
            <w:rStyle w:val="Hyperlink"/>
          </w:rPr>
          <w:t xml:space="preserve">https://doi.org/10.1007/s41982-023-00158-8</w:t>
        </w:r>
      </w:hyperlink>
      <w:r>
        <w:t xml:space="preserve">.</w:t>
      </w:r>
    </w:p>
    <w:bookmarkEnd w:id="267"/>
    <w:bookmarkStart w:id="269"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68">
        <w:r>
          <w:rPr>
            <w:rStyle w:val="Hyperlink"/>
          </w:rPr>
          <w:t xml:space="preserve">https://doi.org/10.1080/1751696X.2024.2441115</w:t>
        </w:r>
      </w:hyperlink>
      <w:r>
        <w:t xml:space="preserve">.</w:t>
      </w:r>
    </w:p>
    <w:bookmarkEnd w:id="269"/>
    <w:bookmarkStart w:id="271" w:name="ref-Nowell_2024_evidence"/>
    <w:p>
      <w:pPr>
        <w:pStyle w:val="Bibliography"/>
      </w:pPr>
      <w:r>
        <w:t xml:space="preserve">[111]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0">
        <w:r>
          <w:rPr>
            <w:rStyle w:val="Hyperlink"/>
          </w:rPr>
          <w:t xml:space="preserve">https://doi.org/10.1017/S0959774324000155</w:t>
        </w:r>
      </w:hyperlink>
      <w:r>
        <w:t xml:space="preserve">.</w:t>
      </w:r>
    </w:p>
    <w:bookmarkEnd w:id="271"/>
    <w:bookmarkStart w:id="273"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2">
        <w:r>
          <w:rPr>
            <w:rStyle w:val="Hyperlink"/>
          </w:rPr>
          <w:t xml:space="preserve">https://doi.org/10.1007/978-981-13-8980-1_12</w:t>
        </w:r>
      </w:hyperlink>
      <w:r>
        <w:t xml:space="preserve">.</w:t>
      </w:r>
    </w:p>
    <w:bookmarkEnd w:id="273"/>
    <w:bookmarkStart w:id="274" w:name="ref-Rogers_2018"/>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4"/>
    <w:bookmarkStart w:id="276"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5">
        <w:r>
          <w:rPr>
            <w:rStyle w:val="Hyperlink"/>
          </w:rPr>
          <w:t xml:space="preserve">https://doi.org/10.1016/j.jasrep.2021.103118</w:t>
        </w:r>
      </w:hyperlink>
      <w:r>
        <w:t xml:space="preserve">.</w:t>
      </w:r>
    </w:p>
    <w:bookmarkEnd w:id="276"/>
    <w:bookmarkStart w:id="278"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7">
        <w:r>
          <w:rPr>
            <w:rStyle w:val="Hyperlink"/>
          </w:rPr>
          <w:t xml:space="preserve">https://doi.org/10.2307/2802103</w:t>
        </w:r>
      </w:hyperlink>
      <w:r>
        <w:t xml:space="preserve">.</w:t>
      </w:r>
    </w:p>
    <w:bookmarkEnd w:id="278"/>
    <w:bookmarkStart w:id="280"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79">
        <w:r>
          <w:rPr>
            <w:rStyle w:val="Hyperlink"/>
          </w:rPr>
          <w:t xml:space="preserve">https://doi.org/10.1016/j.quascirev.2018.12.011</w:t>
        </w:r>
      </w:hyperlink>
      <w:r>
        <w:t xml:space="preserve">.</w:t>
      </w:r>
    </w:p>
    <w:bookmarkEnd w:id="280"/>
    <w:bookmarkStart w:id="282"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1">
        <w:r>
          <w:rPr>
            <w:rStyle w:val="Hyperlink"/>
          </w:rPr>
          <w:t xml:space="preserve">https://doi.org/10.1098/rsif.2017.0171</w:t>
        </w:r>
      </w:hyperlink>
      <w:r>
        <w:t xml:space="preserve">.</w:t>
      </w:r>
    </w:p>
    <w:bookmarkEnd w:id="282"/>
    <w:bookmarkStart w:id="284"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3">
        <w:r>
          <w:rPr>
            <w:rStyle w:val="Hyperlink"/>
          </w:rPr>
          <w:t xml:space="preserve">https://doi.org/10.1007/978-1-4757-9945-3_4</w:t>
        </w:r>
      </w:hyperlink>
      <w:r>
        <w:t xml:space="preserve">.</w:t>
      </w:r>
    </w:p>
    <w:bookmarkEnd w:id="284"/>
    <w:bookmarkStart w:id="286"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5">
        <w:r>
          <w:rPr>
            <w:rStyle w:val="Hyperlink"/>
          </w:rPr>
          <w:t xml:space="preserve">https://doi.org/10.1371/journal.pone.0102806</w:t>
        </w:r>
      </w:hyperlink>
      <w:r>
        <w:t xml:space="preserve">.</w:t>
      </w:r>
    </w:p>
    <w:bookmarkEnd w:id="286"/>
    <w:bookmarkStart w:id="288"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7">
        <w:r>
          <w:rPr>
            <w:rStyle w:val="Hyperlink"/>
          </w:rPr>
          <w:t xml:space="preserve">https://doi.org/10.1073/pnas.1518798113</w:t>
        </w:r>
      </w:hyperlink>
      <w:r>
        <w:t xml:space="preserve">.</w:t>
      </w:r>
    </w:p>
    <w:bookmarkEnd w:id="288"/>
    <w:bookmarkStart w:id="289" w:name="ref-Von_Petzinger_2009"/>
    <w:p>
      <w:pPr>
        <w:pStyle w:val="Bibliography"/>
      </w:pPr>
      <w:r>
        <w:t xml:space="preserve">[121]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89"/>
    <w:bookmarkStart w:id="291" w:name="ref-Herskind2023"/>
    <w:p>
      <w:pPr>
        <w:pStyle w:val="Bibliography"/>
      </w:pPr>
      <w:r>
        <w:t xml:space="preserve">[122]</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0">
        <w:r>
          <w:rPr>
            <w:rStyle w:val="Hyperlink"/>
          </w:rPr>
          <w:t xml:space="preserve">https://doi.org/10.3828/hgr.2023.12</w:t>
        </w:r>
      </w:hyperlink>
      <w:r>
        <w:t xml:space="preserve">.</w:t>
      </w:r>
    </w:p>
    <w:bookmarkEnd w:id="291"/>
    <w:bookmarkStart w:id="293"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2">
        <w:r>
          <w:rPr>
            <w:rStyle w:val="Hyperlink"/>
          </w:rPr>
          <w:t xml:space="preserve">https://doi.org/10.1093/oxfordhb/9780198854265.013.31</w:t>
        </w:r>
      </w:hyperlink>
      <w:r>
        <w:t xml:space="preserve">.</w:t>
      </w:r>
    </w:p>
    <w:bookmarkEnd w:id="293"/>
    <w:bookmarkStart w:id="295"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4">
        <w:r>
          <w:rPr>
            <w:rStyle w:val="Hyperlink"/>
          </w:rPr>
          <w:t xml:space="preserve">https://doi.org/10.1007/s10816-023-09608-7</w:t>
        </w:r>
      </w:hyperlink>
      <w:r>
        <w:t xml:space="preserve">.</w:t>
      </w:r>
    </w:p>
    <w:bookmarkEnd w:id="295"/>
    <w:bookmarkStart w:id="297" w:name="ref-Chiotti_2005"/>
    <w:p>
      <w:pPr>
        <w:pStyle w:val="Bibliography"/>
      </w:pPr>
      <w:r>
        <w:t xml:space="preserve">[125]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6">
        <w:r>
          <w:rPr>
            <w:rStyle w:val="Hyperlink"/>
          </w:rPr>
          <w:t xml:space="preserve">https://doi.org/10.30861/9781841718309</w:t>
        </w:r>
      </w:hyperlink>
      <w:r>
        <w:t xml:space="preserve">.</w:t>
      </w:r>
    </w:p>
    <w:bookmarkEnd w:id="297"/>
    <w:bookmarkStart w:id="299" w:name="ref-Higham_Abri_Pataud_2011"/>
    <w:p>
      <w:pPr>
        <w:pStyle w:val="Bibliography"/>
      </w:pPr>
      <w:r>
        <w:t xml:space="preserve">[126]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98">
        <w:r>
          <w:rPr>
            <w:rStyle w:val="Hyperlink"/>
          </w:rPr>
          <w:t xml:space="preserve">https://doi.org/10.1016/j.jhevol.2011.06.005</w:t>
        </w:r>
      </w:hyperlink>
      <w:r>
        <w:t xml:space="preserve">.</w:t>
      </w:r>
    </w:p>
    <w:bookmarkEnd w:id="299"/>
    <w:bookmarkStart w:id="301" w:name="ref-Talamo_La_Ferrassie_2020"/>
    <w:p>
      <w:pPr>
        <w:pStyle w:val="Bibliography"/>
      </w:pPr>
      <w:r>
        <w:t xml:space="preserve">[127]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0">
        <w:r>
          <w:rPr>
            <w:rStyle w:val="Hyperlink"/>
          </w:rPr>
          <w:t xml:space="preserve">https://doi.org/10.1002/jqs.3236</w:t>
        </w:r>
      </w:hyperlink>
      <w:r>
        <w:t xml:space="preserve">.</w:t>
      </w:r>
    </w:p>
    <w:bookmarkEnd w:id="301"/>
    <w:bookmarkStart w:id="303" w:name="ref-Wild_et_al_2005"/>
    <w:p>
      <w:pPr>
        <w:pStyle w:val="Bibliography"/>
      </w:pPr>
      <w:r>
        <w:t xml:space="preserve">[128]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2">
        <w:r>
          <w:rPr>
            <w:rStyle w:val="Hyperlink"/>
          </w:rPr>
          <w:t xml:space="preserve">https://doi.org/10.1038/nature03585</w:t>
        </w:r>
      </w:hyperlink>
      <w:r>
        <w:t xml:space="preserve">.</w:t>
      </w:r>
    </w:p>
    <w:bookmarkEnd w:id="303"/>
    <w:bookmarkStart w:id="305" w:name="ref-Schurch_Conard_2026_reassess"/>
    <w:p>
      <w:pPr>
        <w:pStyle w:val="Bibliography"/>
      </w:pPr>
      <w:r>
        <w:t xml:space="preserve">[129]</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4">
        <w:r>
          <w:rPr>
            <w:rStyle w:val="Hyperlink"/>
          </w:rPr>
          <w:t xml:space="preserve">https://doi.org/10.1007/s41982-025-00246-x</w:t>
        </w:r>
      </w:hyperlink>
      <w:r>
        <w:t xml:space="preserve">.</w:t>
      </w:r>
    </w:p>
    <w:bookmarkEnd w:id="305"/>
    <w:bookmarkEnd w:id="306"/>
    <w:bookmarkEnd w:id="307"/>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2026-09-07T23:33:50Z</dcterms:created>
  <dcterms:modified xsi:type="dcterms:W3CDTF">2026-09-07T23:33:50Z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7,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