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2,</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infer and evaluate a two-group structure of restricted versus broad geometric-sign repertoires. However, stochastic block models do not recover this two-group structure (single-block selected for both phases under both Bernoulli and Gaussian emission models, a result expected below the detectability limit for sparse networks of this size), and the richness gap between groups is largely explained by sampling effort. The early phase supports a larger network centred on key sites, but permutation tests indicate that the phases do not differ significantly in edge density, modularity, mean betweenness, or component count, so the observed differences in connectivity track the larger size of the early phase, not a statistically distinguishable community structure. The late phase (Aur-P2; 9 sites) shows a weaker, less resolved structure.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Geometric signs do not show the geographically distinct clusters found in personal ornaments; their function (notation, calendrical, identity) remains unresolved.</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We investigated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have some potential as informative proxies for reconstructing past cultural patterns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[13]</w:t>
      </w:r>
      <w:r>
        <w:t xml:space="preserve">. Periodization of the Aurignacian is complicated by regional variation with phases starting and ending at different times</w:t>
      </w:r>
      <w:r>
        <w:t xml:space="preserve"> </w:t>
      </w:r>
      <w:r>
        <w:t xml:space="preserve">[14,15]</w:t>
      </w:r>
      <w:r>
        <w:t xml:space="preserve">, and a lack of compositional integrity over time</w:t>
      </w:r>
      <w:r>
        <w:t xml:space="preserve"> </w:t>
      </w:r>
      <w:r>
        <w:t xml:space="preserve">[16]</w:t>
      </w:r>
      <w:r>
        <w:t xml:space="preserve">, with supposed index fossils persisting through multiple phases</w:t>
      </w:r>
      <w:r>
        <w:t xml:space="preserve"> </w:t>
      </w:r>
      <w:r>
        <w:t xml:space="preserve">[17]</w:t>
      </w:r>
      <w:r>
        <w:t xml:space="preserve">. While earlier work on the Aquitaine/Périgord sequences proposed as many as five phases</w:t>
      </w:r>
      <w:r>
        <w:t xml:space="preserve"> </w:t>
      </w:r>
      <w:r>
        <w:t xml:space="preserve">[18]</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[19]</w:t>
      </w:r>
      <w:r>
        <w:t xml:space="preserve">. For example,</w:t>
      </w:r>
      <w:r>
        <w:t xml:space="preserve"> </w:t>
      </w:r>
      <w:r>
        <w:t xml:space="preserve">[20]</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[21]</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[20]</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[16,19]</w:t>
      </w:r>
      <w:r>
        <w:t xml:space="preserve">. The chronological and technological distinctness of the Proto- and Early Aurignacian is difficult to sustain</w:t>
      </w:r>
      <w:r>
        <w:t xml:space="preserve"> </w:t>
      </w:r>
      <w:r>
        <w:t xml:space="preserve">[20]</w:t>
      </w:r>
      <w:r>
        <w:t xml:space="preserve">, and some analyses suggest these represent coexisting facies rather than successive phases</w:t>
      </w:r>
      <w:r>
        <w:t xml:space="preserve"> </w:t>
      </w:r>
      <w:r>
        <w:t xml:space="preserve">[22]</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[20,22,e.g. 23]</w:t>
      </w:r>
      <w:r>
        <w:t xml:space="preserve">.</w:t>
      </w:r>
    </w:p>
    <w:p>
      <w:pPr>
        <w:pStyle w:val="BodyText"/>
      </w:pPr>
      <w:r>
        <w:t xml:space="preserve">Our phase assignments follow specialist technological attributions from the published literature, not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¹⁴C BP (~35–36 ka cal BP) dates</w:t>
      </w:r>
      <w:r>
        <w:t xml:space="preserve"> </w:t>
      </w:r>
      <w:r>
        <w:t xml:space="preserve">[27]</w:t>
      </w:r>
      <w:r>
        <w:t xml:space="preserve">, and the Swabian Jura site of Geissenklösterle in the Early Aurignacian</w:t>
      </w:r>
      <w:r>
        <w:t xml:space="preserve"> </w:t>
      </w:r>
      <w:r>
        <w:t xml:space="preserve">[23,Aur-P1, 28]</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[14,23,28]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S2</w:t>
      </w:r>
      <w:r>
        <w:t xml:space="preserve"> </w:t>
      </w:r>
      <w:r>
        <w:t xml:space="preserve">“</w:t>
      </w:r>
      <w:r>
        <w:t xml:space="preserve">Site Phase Assignments</w:t>
      </w:r>
      <w:r>
        <w:t xml:space="preserve">”</w:t>
      </w:r>
      <w:r>
        <w:t xml:space="preserve">, where stratigraphic mixing concerns at Vogelherd are also addressed</w:t>
      </w:r>
      <w:r>
        <w:t xml:space="preserve"> </w:t>
      </w:r>
      <w:r>
        <w:t xml:space="preserve">[31]</w:t>
      </w:r>
      <w:r>
        <w:t xml:space="preserve">. We detail the rationale and procedure for assigning archaeological sites to Aurignacian phases in our S2</w:t>
      </w:r>
      <w:r>
        <w:t xml:space="preserve"> </w:t>
      </w:r>
      <w:r>
        <w:t xml:space="preserve">“</w:t>
      </w:r>
      <w:r>
        <w:t xml:space="preserve">Site Phase Assignments</w:t>
      </w:r>
      <w:r>
        <w:t xml:space="preserve">”</w:t>
      </w:r>
      <w:r>
        <w:t xml:space="preserve">. We test the sensitivity of our results to this baseline by also running four-phase and boundary-shift variants (S1</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[12,13,21,32]</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[33,34]</w:t>
            </w:r>
          </w:p>
          <w:bookmarkEnd w:id="27"/>
        </w:tc>
      </w:tr>
    </w:tbl>
    <w:p>
      <w:pPr>
        <w:pStyle w:val="BodyText"/>
      </w:pPr>
      <w:r>
        <w:t xml:space="preserve">Ages of the objects were determined by calibrating the uncalibrated ages provided by SignBase using the rcarbon package</w:t>
      </w:r>
      <w:r>
        <w:t xml:space="preserve"> </w:t>
      </w:r>
      <w:r>
        <w:t xml:space="preserve">[35]</w:t>
      </w:r>
      <w:r>
        <w:t xml:space="preserve">. The calibrated radiocarbon dates of the sampled data range from approximately 33 to 45 ka cal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0.008).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S5.12): we binned all 28 sites (378 site pairs) by their absolute temporal separation (|ΔMedianBP|) and asked whether Jaccard sign dissimilarity rises with lag. It does not — the Spearman correlation between temporal lag and dissimilarity is -0.04 (p = 0.39) overall and -0.04 (p = 0.58) within phase, and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[36]</w:t>
      </w:r>
      <w:r>
        <w:t xml:space="preserve"> </w:t>
      </w:r>
      <w:r>
        <w:t xml:space="preserve">in using presence/absence data for each sign at each site, reducing the effect of variation in object count between sites. Beyond presence/absence coding, we additionally tested the residual object-count confound directly at the object level via downsampling, coverage-based rarefaction, and a mixed model with an object-count offset (see our S1</w:t>
      </w:r>
      <w:r>
        <w:t xml:space="preserve"> </w:t>
      </w:r>
      <w:r>
        <w:t xml:space="preserve">“</w:t>
      </w:r>
      <w:r>
        <w:t xml:space="preserve">Sensitivity Analyses</w:t>
      </w:r>
      <w:r>
        <w:t xml:space="preserve">”</w:t>
      </w:r>
      <w:r>
        <w:t xml:space="preserve"> </w:t>
      </w:r>
      <w:r>
        <w:t xml:space="preserve">S9). We used Mantel tests with a Euclidean object abundance distance matrix and a Jaccard dissimilarity matrix of sign types. The test seeks to determine the level of correspondence between the matrices through permutational evaluation (here 1000 permutations) of the null distribution</w:t>
      </w:r>
      <w:r>
        <w:t xml:space="preserve"> </w:t>
      </w:r>
      <w:r>
        <w:t xml:space="preserve">[37]</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[38]</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[39]</w:t>
      </w:r>
      <w:r>
        <w:t xml:space="preserve">. This relationship can be investigated using the isolation-by-distance framework, which proposes that cultural difference can be primarily explained by geographic distance</w:t>
      </w:r>
      <w:r>
        <w:t xml:space="preserve"> </w:t>
      </w:r>
      <w:r>
        <w:t xml:space="preserve">[36]</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Further verification of these results using geodesic distances in kilometres rather than flat-coordinate Euclidean distances also shows a null result (see our S1</w:t>
      </w:r>
      <w:r>
        <w:t xml:space="preserve"> </w:t>
      </w:r>
      <w:r>
        <w:t xml:space="preserve">“</w:t>
      </w:r>
      <w:r>
        <w:t xml:space="preserve">Sensitivity Analyses</w:t>
      </w:r>
      <w:r>
        <w:t xml:space="preserve">”</w:t>
      </w:r>
      <w:r>
        <w:t xml:space="preserve"> </w:t>
      </w:r>
      <w:r>
        <w:t xml:space="preserve">S3).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S5.10). This reveals no candidate driver is significant, so the null Mantel does not identify any specific alternative process. A Mantel correlogram likewise shows no significant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w:t>
      </w:r>
      <w:r>
        <w:t xml:space="preserve">S5.11).</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analysis is the arrangement of data into a linear order to reveal patterns</w:t>
      </w:r>
      <w:r>
        <w:t xml:space="preserve"> </w:t>
      </w:r>
      <w:r>
        <w:t xml:space="preserve">[40]</w:t>
      </w:r>
      <w:r>
        <w:t xml:space="preserve">. We used the Brower-Kile</w:t>
      </w:r>
      <w:r>
        <w:t xml:space="preserve"> </w:t>
      </w:r>
      <w:r>
        <w:t xml:space="preserve">[41]</w:t>
      </w:r>
      <w:r>
        <w:t xml:space="preserve"> </w:t>
      </w:r>
      <w:r>
        <w:t xml:space="preserve">seriation algorithm implemented as a manual iterative reordering procedure that arranges rows and columns to group the presences along the diagonal. This algorithm was adapted from the original Brower-Kile approach and implemented in R within the functions.R file available in our research compendium.</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[42]</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[43]</w:t>
      </w:r>
      <w:r>
        <w:t xml:space="preserve">, a force-directed graph layout for uniform edge lengths, and network analysis was performed using the vegan</w:t>
      </w:r>
      <w:r>
        <w:t xml:space="preserve"> </w:t>
      </w:r>
      <w:r>
        <w:t xml:space="preserve">[38]</w:t>
      </w:r>
      <w:r>
        <w:t xml:space="preserve">, statnet</w:t>
      </w:r>
      <w:r>
        <w:t xml:space="preserve"> </w:t>
      </w:r>
      <w:r>
        <w:t xml:space="preserve">[44]</w:t>
      </w:r>
      <w:r>
        <w:t xml:space="preserve"> </w:t>
      </w:r>
      <w:r>
        <w:t xml:space="preserve">and igraph</w:t>
      </w:r>
      <w:r>
        <w:t xml:space="preserve"> </w:t>
      </w:r>
      <w:r>
        <w:t xml:space="preserve">[45]</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[46,47]</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[38]</w:t>
      </w:r>
      <w:r>
        <w:t xml:space="preserve"> </w:t>
      </w:r>
      <w:r>
        <w:t xml:space="preserve">and igraph</w:t>
      </w:r>
      <w:r>
        <w:t xml:space="preserve"> </w:t>
      </w:r>
      <w:r>
        <w:t xml:space="preserve">[45]</w:t>
      </w:r>
      <w:r>
        <w:t xml:space="preserve"> </w:t>
      </w:r>
      <w:r>
        <w:t xml:space="preserve">packages.</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methods. We apply data-driven Louvain community detection and report the comparison in our S1</w:t>
      </w:r>
      <w:r>
        <w:t xml:space="preserve"> </w:t>
      </w:r>
      <w:r>
        <w:t xml:space="preserve">“</w:t>
      </w:r>
      <w:r>
        <w:t xml:space="preserve">Sensitivity Analyses</w:t>
      </w:r>
      <w:r>
        <w:t xml:space="preserve">”</w:t>
      </w:r>
      <w:r>
        <w:t xml:space="preserve"> </w:t>
      </w:r>
      <w:r>
        <w:t xml:space="preserve">S5. We further test the robustness of the partition with bootstrap consensus clustering of sites and with stochastic block models, which select the number of groups model-independently and assign posterior membership probabilities to each site (see our S1</w:t>
      </w:r>
      <w:r>
        <w:t xml:space="preserve"> </w:t>
      </w:r>
      <w:r>
        <w:t xml:space="preserve">“</w:t>
      </w:r>
      <w:r>
        <w:t xml:space="preserve">Sensitivity Analyses</w:t>
      </w:r>
      <w:r>
        <w:t xml:space="preserve">”</w:t>
      </w:r>
      <w:r>
        <w:t xml:space="preserve"> </w:t>
      </w:r>
      <w:r>
        <w:t xml:space="preserve">S6). Finally, we apply analyses in which the group definition is included within the permutation and validation procedure, to define the groups fully independently of the seriation. To accomplish this we used a maximally-selected achieved-significance test that re-derives the optimal split from randomised data within every permutation; a leave-one-out and object-half cross-validation analysis that tests the grouping on data withheld from its definition; and a group-free gradient PerMANOVA that regresses sign composition on a continuous ordination axis rather than on the discrete groups (see our S1</w:t>
      </w:r>
      <w:r>
        <w:t xml:space="preserve"> </w:t>
      </w:r>
      <w:r>
        <w:t xml:space="preserve">“</w:t>
      </w:r>
      <w:r>
        <w:t xml:space="preserve">Sensitivity Analyses</w:t>
      </w:r>
      <w:r>
        <w:t xml:space="preserve">”</w:t>
      </w:r>
      <w:r>
        <w:t xml:space="preserve"> </w:t>
      </w:r>
      <w:r>
        <w:t xml:space="preserve">S6.6).</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[48,49]</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suggests possible group pattern across Upper Palaeolithic phases. Presence–absence matrices of geometric sign types reordered using manual Brower‑Kile seriation for (A) Aur-P1 and (B) Aur-P2 phases. Rows represent sites and columns represent sign types. Blocks of co-occurring signs indicate coherent groupings of sites with similar geometric‑sign repertoires. Despite chronological turnover in specific sign types, two broad classes of assemblages—restricted-range and broad-range—may be proposed for both phases, suggesting patterning in symbolic signaling practices. Restricted group is in red, broader group is in blue.</w:t>
            </w:r>
          </w:p>
          <w:bookmarkEnd w:id="37"/>
        </w:tc>
      </w:tr>
    </w:tbl>
    <w:p>
      <w:pPr>
        <w:pStyle w:val="BodyText"/>
      </w:pPr>
      <w:r>
        <w:t xml:space="preserve">For each of the two phases, we infer two groups from visual inspection of our seriation results.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explore the robustness of the two-group pattern inferred from the seriation analysis, we used bootstrap resampling and stochastic block models, which we describe in detail in S1</w:t>
      </w:r>
      <w:r>
        <w:t xml:space="preserve"> </w:t>
      </w:r>
      <w:r>
        <w:t xml:space="preserve">“</w:t>
      </w:r>
      <w:r>
        <w:t xml:space="preserve">Sensitivity Analyses</w:t>
      </w:r>
      <w:r>
        <w:t xml:space="preserve">”</w:t>
      </w:r>
      <w:r>
        <w:t xml:space="preserve">. In Aur-P1, mean within-block co-clustering is 0.79 for the restricted-range block and 0.9 for the broader-range block, against 0.26 across the two blocks. The within-block values substantially exceed the across-block value, which is a strong signal that both groups are internally coherent and sharply separated. The strength of this signal is much lower for Aur-P2, where the pattern is 0.57 within the restricted block and 0.83 within the broader block, against 0.37 across the blocks. However the two-group pattern is not supported by the results of the stochastic block model analysis. Both Bernoulli and Gaussian emission models select a single-block structure for both the Aur-P1 and Aur-P2 samples, providing no model-based support for a two-group pattern inferred from the seriation (S1</w:t>
      </w:r>
      <w:r>
        <w:t xml:space="preserve"> </w:t>
      </w:r>
      <w:r>
        <w:t xml:space="preserve">“</w:t>
      </w:r>
      <w:r>
        <w:t xml:space="preserve">Sensitivity Analyses</w:t>
      </w:r>
      <w:r>
        <w:t xml:space="preserve">”</w:t>
      </w:r>
      <w:r>
        <w:t xml:space="preserve"> </w:t>
      </w:r>
      <w:r>
        <w:t xml:space="preserve">S6.3). This single-block result is expected below the detectability limit for sparse networks of this size (Peixoto 2019). In sum, because stochastic block modelling does not recover a multi-block structure, the restricted/broad dichotomy should be considered only as a dominant axis of variation (rich vs. poor sign repertoires) rather than an exact partition that emerges from compositional similarity through an unsupervised model. Network analysis allows us to evaluate how these sites may have been connected along this axis.</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 These networks illustrate phase-specific differences in the intensity and configuration of inter‑site correspondences among sign repertoires.</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The results of the network analysis support the restricted-broad groupings inferred from</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our inference from the seriation results: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pattern is again somewhat apparent, with a broad-range group (Trou Magrite, Bockstein-Törle, Hohle Fels) and a restricted-range group (Les Rois, Sirgenstein Cave, La Viña, Mladeč, Gargas, Vindija Cave). Connectivity between sign-use groups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phase-randomized null distribution, and pairwise randomisation tests comparing the two phases. Under phase randomization, none of the tested statistics — edge density, modularity (Louvain), mean betweenness, or component count — differs significantly from its null distribution in either phase: all observed values fall within the null 95% confidence intervals and all Benjamini–Hochberg-adjusted p-values are ≥ 0.05. The restricted/broad grouping is instead supported by the model-based and null-benchmarked community-structure analyses in our S1</w:t>
      </w:r>
      <w:r>
        <w:t xml:space="preserve"> </w:t>
      </w:r>
      <w:r>
        <w:t xml:space="preserve">“</w:t>
      </w:r>
      <w:r>
        <w:t xml:space="preserve">Sensitivity Analyses</w:t>
      </w:r>
      <w:r>
        <w:t xml:space="preserve">”</w:t>
      </w:r>
      <w:r>
        <w:t xml:space="preserve"> </w:t>
      </w:r>
      <w:r>
        <w:t xml:space="preserve">(S5.1, S5.3, S5.9), which evaluate the observed structure net of network size. Pairwise permutation tests with Benjamini–Hochberg correction show that the phases do not differ significantly in any of the tested network statistics — edge density (p = 0.44), modularity (p = 0.302), mean betweenness (p = 0.622), or component count (p = 0.515). The Aur-P1–Aur-P2 contrast is therefore primarily one of network scale rather than a statistically distinguishable community structure.</w:t>
      </w:r>
    </w:p>
    <w:p>
      <w:pPr>
        <w:pStyle w:val="BodyText"/>
      </w:pPr>
      <w:r>
        <w:t xml:space="preserve">We assessed the sensitivity of our two-phase framework to site assignment criteria in three ways: (1) reverting to purely date-based assignment (S8 Analysis A); (2) excluding the stratigraphically mixed site Vogelherd entirely (S8 Analysis B); (3) excluding figurines concentrated at Vogelherd (S7). Under all conditions, the Aur-P1 &gt; Aur-P2 connectivity ordering is preserved (Aur-P1 mean degree: 7.5 baseline, 7.26 no Vogelherd, 7.4 no figurines; Aur-P2: 4.22). Excluding Vogelherd reduces Aur-P1 edges by 8% and mean degree by 3.2%, but does not alter the phase contrast or the within-phase two-group pattern (S8.3, S7.5). Because the principal results are unchanged when Vogelherd is excluded entirely, our conclusions do not depend on its inclusion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[34]</w:t>
            </w:r>
          </w:p>
          <w:bookmarkEnd w:id="49"/>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1"/>
        </w:tc>
      </w:tr>
    </w:tbl>
    <w:p>
      <w:pPr>
        <w:pStyle w:val="BodyText"/>
      </w:pPr>
      <w:r>
        <w:t xml:space="preserve">Because the restricted/broad groups were defined from the same sign data used for the perMANOVA, it is exploratory only. PerMANOVA attributes approximately 0.196 of the variance in sign composition to the restricted/broad grouping in the Aur-P1 phase and 0.223 in the Aur-P2 phase (</w:t>
      </w:r>
      <w:hyperlink w:anchor="tbl-strength-table">
        <w:r>
          <w:rPr>
            <w:rStyle w:val="Hyperlink"/>
          </w:rPr>
          <w:t xml:space="preserve">Table 3</w:t>
        </w:r>
      </w:hyperlink>
      <w:r>
        <w:t xml:space="preserve">). The pseudo-F statistic is larger for Aur-P1 (F = 4.382) than for Aur-P2 (F = 2.008), indicating a stronger nominal separation in the early phase. The betadisper test for homogeneity of multivariate dispersions shows that group dispersion does not differ significantly between restricted and broad groups in either phase (Aur-P1: p = 0.124, Aur-P2: p = 0.771), so for Aur-P1 the perMANOVA signal reflects a difference in group centroids rather than in dispersion.</w:t>
      </w:r>
    </w:p>
    <w:p>
      <w:pPr>
        <w:pStyle w:val="BodyText"/>
      </w:pPr>
      <w:r>
        <w:t xml:space="preserve">Because this perMANOVA is circular, we applied independent tests of whether the restricted/broad difference survives group-definition-independent validation (see our S1</w:t>
      </w:r>
      <w:r>
        <w:t xml:space="preserve"> </w:t>
      </w:r>
      <w:r>
        <w:t xml:space="preserve">“</w:t>
      </w:r>
      <w:r>
        <w:t xml:space="preserve">Sensitivity Analyses</w:t>
      </w:r>
      <w:r>
        <w:t xml:space="preserve">”</w:t>
      </w:r>
      <w:r>
        <w:t xml:space="preserve"> </w:t>
      </w:r>
      <w:r>
        <w:t xml:space="preserve">S6.6). These show that the restricted/broad contrast is recoverable from data not used to define the groups. In leave-one-out cross-validation the manual group label is re-identified for the large majority of Aur-P1 and Aur-P2 sites (permutation p &lt; 0.05 in both phases), and an object-half holdout PerMANOVA remains significant on independently defined groups (Fisher-combined p &lt; 0.05 in both phases). A group-free gradient PerMANOVA on the continuous compositional axis is also significant in both phases. Our most conservative test, re-deriving the optimal split under a fixed-fixed (Curveball) null, is not significant in either phase (Aur-P1 p = 0.106; Aur-P2 p = 0.984), indicating the restricted/broad contrast is a recoverable gradient rather than a sharp partition. We therefore treat the PerMANOVA as descriptive and rely on this cross-validation as the appropriate independent confirmation that the grouping is not a circularity artefact.</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initially suggests two main sign-use groups, with sign type frequency and diversity serving as the major dividing factor. However, quantitative investigation of these groups indicates the contrast is a recoverable gradual axis rather than a sharp partition, so this must be taken as a descriptive pattern rather than a robust structure. Group size differed between phases: in Aur-P1 the restricted-range group (9 sites) was slightly smaller than the broad-range group (11 sites), whereas in the much smaller Aur-P2 the restricted-range group (6 sites) exceeded the broad-range group (3 sites). Because of documented mixing at Vogelherd, we test our network models both with and without the site in our S1</w:t>
      </w:r>
      <w:r>
        <w:t xml:space="preserve"> </w:t>
      </w:r>
      <w:r>
        <w:t xml:space="preserve">“</w:t>
      </w:r>
      <w:r>
        <w:t xml:space="preserve">Sensitivity Analyses</w:t>
      </w:r>
      <w:r>
        <w:t xml:space="preserve">”</w:t>
      </w:r>
      <w:r>
        <w:t xml:space="preserve">. The removal of Vogelherd does not change the fundamental restricted/broad group pattern.</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 and a hub structure centred on key sites, while Aur-P2 shows fewer edges and a lower mean degree (4.2). However,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One consistent grouping pattern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[50–57]</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[4,57–68]</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S1</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above-average diversity of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dedicated object-level sensitivity analysis (see our S1</w:t>
      </w:r>
      <w:r>
        <w:t xml:space="preserve"> </w:t>
      </w:r>
      <w:r>
        <w:t xml:space="preserve">“</w:t>
      </w:r>
      <w:r>
        <w:t xml:space="preserve">Sensitivity Analyses</w:t>
      </w:r>
      <w:r>
        <w:t xml:space="preserve">”</w:t>
      </w:r>
      <w:r>
        <w:t xml:space="preserve"> </w:t>
      </w:r>
      <w:r>
        <w:t xml:space="preserve">S9) supports this caution: resampling each site to a common object count leaves only the best-sampled sites with stable group assignments, and a negative-binomial model of sign-type richness that includes object count as an offset finds no significant group effect (rate ratio 0.72, p = 0.292), so the raw richness gap between groups is largely explained by how many objects were recovered. A single larger community could have both of these groups as sub-sets, rather than the restricted/broader‑range groups being distinct, non‑overlapping groups of similar sign repertoires.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is consistent with possible non-utilitarian mobility among these larger communities, among other processes.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w:t>
      </w:r>
      <w:r>
        <w:t xml:space="preserve">S5.8),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S5.11). A non-significant Mantel result cannot establish any particular social process: it indicates only that isolation-by-distance was not detected. Non-utilitarian mobility remains a possible interpretation of the network structure, but it is not specifically demonstrated by this analysis. Previous studies have shown a range of variation in magnitudes and types of mobility among hunter-gatherer groups</w:t>
      </w:r>
      <w:r>
        <w:t xml:space="preserve"> </w:t>
      </w:r>
      <w:r>
        <w:t xml:space="preserve">[69]</w:t>
      </w:r>
      <w:r>
        <w:t xml:space="preserve">;</w:t>
      </w:r>
      <w:r>
        <w:t xml:space="preserve"> </w:t>
      </w:r>
      <w:r>
        <w:t xml:space="preserve">[70]</w:t>
      </w:r>
      <w:r>
        <w:t xml:space="preserve">;</w:t>
      </w:r>
      <w:r>
        <w:t xml:space="preserve"> </w:t>
      </w:r>
      <w:r>
        <w:t xml:space="preserve">[55]</w:t>
      </w:r>
      <w:r>
        <w:t xml:space="preserve">;</w:t>
      </w:r>
      <w:r>
        <w:t xml:space="preserve"> </w:t>
      </w:r>
      <w:r>
        <w:t xml:space="preserve">[71]</w:t>
      </w:r>
      <w:r>
        <w:t xml:space="preserve">;</w:t>
      </w:r>
      <w:r>
        <w:t xml:space="preserve"> </w:t>
      </w:r>
      <w:r>
        <w:t xml:space="preserve">[56]</w:t>
      </w:r>
      <w:r>
        <w:t xml:space="preserve">. Non-utilitarian mobility establishes regional social networks which facilitate the spread of information and the survival of hunter-gatherers in uncertain environments</w:t>
      </w:r>
      <w:r>
        <w:t xml:space="preserve"> </w:t>
      </w:r>
      <w:r>
        <w:t xml:space="preserve">[72]</w:t>
      </w:r>
      <w:r>
        <w:t xml:space="preserve">;</w:t>
      </w:r>
      <w:r>
        <w:t xml:space="preserve"> </w:t>
      </w:r>
      <w:r>
        <w:t xml:space="preserve">[73]</w:t>
      </w:r>
      <w:r>
        <w:t xml:space="preserve">;</w:t>
      </w:r>
      <w:r>
        <w:t xml:space="preserve"> </w:t>
      </w:r>
      <w:r>
        <w:t xml:space="preserve">[74]</w:t>
      </w:r>
      <w:r>
        <w:t xml:space="preserve">;</w:t>
      </w:r>
      <w:r>
        <w:t xml:space="preserve"> </w:t>
      </w:r>
      <w:r>
        <w:t xml:space="preserve">[75]</w:t>
      </w:r>
      <w:r>
        <w:t xml:space="preserve">;</w:t>
      </w:r>
      <w:r>
        <w:t xml:space="preserve"> </w:t>
      </w:r>
      <w:r>
        <w:t xml:space="preserve">[76]</w:t>
      </w:r>
      <w:r>
        <w:t xml:space="preserve">. The exchange and production of decorative items, such as objects with geometric signs, has been associated with non-utilitarian mobility and recognized as an indicator of social contact</w:t>
      </w:r>
      <w:r>
        <w:t xml:space="preserve"> </w:t>
      </w:r>
      <w:r>
        <w:t xml:space="preserve">[72]</w:t>
      </w:r>
      <w:r>
        <w:t xml:space="preserve">;</w:t>
      </w:r>
      <w:r>
        <w:t xml:space="preserve"> </w:t>
      </w:r>
      <w:r>
        <w:t xml:space="preserve">[77]</w:t>
      </w:r>
      <w:r>
        <w:t xml:space="preserve">;</w:t>
      </w:r>
      <w:r>
        <w:t xml:space="preserve"> </w:t>
      </w:r>
      <w:r>
        <w:t xml:space="preserve">[78]</w:t>
      </w:r>
      <w:r>
        <w:t xml:space="preserve">;</w:t>
      </w:r>
      <w:r>
        <w:t xml:space="preserve"> </w:t>
      </w:r>
      <w:r>
        <w:t xml:space="preserve">[79]</w:t>
      </w:r>
      <w:r>
        <w:t xml:space="preserve">;</w:t>
      </w:r>
      <w:r>
        <w:t xml:space="preserve"> </w:t>
      </w:r>
      <w:r>
        <w:t xml:space="preserve">[80]</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[81]</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[81]</w:t>
      </w:r>
      <w:r>
        <w:t xml:space="preserve">, including, in some cases, decorative objects</w:t>
      </w:r>
      <w:r>
        <w:t xml:space="preserve"> </w:t>
      </w:r>
      <w:r>
        <w:t xml:space="preserve">[77]</w:t>
      </w:r>
      <w:r>
        <w:t xml:space="preserve">; of these indicators, only assemblage diversity is testable in our data, which we evaluate below.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 Previous studies have also identified evidence of aggregation/dispersion patterns among the early modern humans of the Upper Palaeolithic</w:t>
      </w:r>
      <w:r>
        <w:t xml:space="preserve"> </w:t>
      </w:r>
      <w:r>
        <w:t xml:space="preserve">[2,82–88]</w:t>
      </w:r>
      <w:r>
        <w:t xml:space="preserve">.</w:t>
      </w:r>
    </w:p>
    <w:p>
      <w:pPr>
        <w:pStyle w:val="BodyText"/>
      </w:pPr>
      <w:r>
        <w:t xml:space="preserve">One way to potentially identify aggregation sites is by measuring sign diversity. Sites with a higher than expected sign diversity index may be consistent with aggregation, but could also reflect sample size, recovery history, or site function; this is a possible archaeological interpretation, not a statistical result.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[89,90]</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 possible indicator of aggregation) showed a weak, non-significant trend with network degree after Benjamini‑Hochberg correction (ρ = -0.35, p = 0.095). However, because this trend is not significant, it is not evidence either way about whether these sites are more or less connected. The correlation with mean betweenness was not significant (ρ = -0.24, p = 0.246).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two groups a site belongs to.</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differ significantly in size-adjusted network statistics and that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 </w:t>
      </w:r>
      <w:r>
        <w:t xml:space="preserve">S5.11).</w:t>
      </w:r>
    </w:p>
    <w:p>
      <w:pPr>
        <w:pStyle w:val="BodyText"/>
      </w:pPr>
      <w:r>
        <w:t xml:space="preserve">These results are broadly consistent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[91]</w:t>
      </w:r>
      <w:r>
        <w:t xml:space="preserve">. This was followed by rapid expansion from 43.25–41 ka cal BP, with the maximum extent of early Aurignacian (Aur-P1) settlement being reached around 41 ka cal BP (</w:t>
      </w:r>
      <w:r>
        <w:t xml:space="preserve">[20]</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[92–100]</w:t>
      </w:r>
      <w:r>
        <w:t xml:space="preserve">. Quantitative demographic reconstructions suggest that western and central European Aurignacian populations numbered approximately 1500 individuals</w:t>
      </w:r>
      <w:r>
        <w:t xml:space="preserve"> </w:t>
      </w:r>
      <w:r>
        <w:t xml:space="preserve">[20]</w:t>
      </w:r>
      <w:r>
        <w:t xml:space="preserve">, a relatively small number that may partly explain why our networks remain small and sparsely connected across both phases.</w:t>
      </w:r>
      <w:r>
        <w:t xml:space="preserve"> </w:t>
      </w:r>
      <w:r>
        <w:t xml:space="preserve">[20]</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network’s high-degree nodes are located — notably the Dordogne (La Ferrassie) in Aur-P1.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consistent with cultural drift in small populations (1500 individuals;</w:t>
      </w:r>
      <w:r>
        <w:t xml:space="preserve"> </w:t>
      </w:r>
      <w:r>
        <w:t xml:space="preserve">[20]</w:t>
      </w:r>
      <w:r>
        <w:t xml:space="preserve">), does not survive testing. At equal sampling effort with incidence-frequency rarefaction to 63 objects (S1 S9.5, all types and shared object types only), the rarefied Aur-P1 pool overlaps the Aur-P2 pool, so the raw difference in the number of sign types is not distinguishable from sampling variation. Neither the networks or sign diversity can be clearly linked to demographic dynamics with the current sample.</w:t>
      </w:r>
    </w:p>
    <w:p>
      <w:pPr>
        <w:pStyle w:val="BodyText"/>
      </w:pPr>
      <w:r>
        <w:t xml:space="preserve">Our results partially align with</w:t>
      </w:r>
      <w:r>
        <w:t xml:space="preserve"> </w:t>
      </w:r>
      <w:r>
        <w:t xml:space="preserve">[21]</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[21]</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[91]</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groups differentiated by sign repertoire: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 (</w:t>
      </w:r>
      <w:hyperlink w:anchor="fig-group-map">
        <w:r>
          <w:rPr>
            <w:rStyle w:val="Hyperlink"/>
          </w:rPr>
          <w:t xml:space="preserve">Figure 5</w:t>
        </w:r>
      </w:hyperlink>
      <w:r>
        <w:t xml:space="preserve">) 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[101]</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[101]</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[102–104]</w:t>
      </w:r>
      <w:r>
        <w:t xml:space="preserve">. Smaller populations are predicted to experience greater drift and reduced capacity to maintain complex cultural repertoires</w:t>
      </w:r>
      <w:r>
        <w:t xml:space="preserve"> </w:t>
      </w:r>
      <w:r>
        <w:t xml:space="preserve">[105]</w:t>
      </w:r>
      <w:r>
        <w:t xml:space="preserve">, which is consistent with our observation that the sign-type pool is larger in the Aur-P1 phase (26 types) than in the Aur-P2 phase (15 types). Network structure also shapes cultural information flow: highly connected networks with high-degree node structures facilitate rapid transmission and reduce drift</w:t>
      </w:r>
      <w:r>
        <w:t xml:space="preserve"> </w:t>
      </w:r>
      <w:r>
        <w:t xml:space="preserve">[106,107]</w:t>
      </w:r>
      <w:r>
        <w:t xml:space="preserve">, while more clustered networks promote localised conformist transmission and differentiation within subgroups</w:t>
      </w:r>
      <w:r>
        <w:t xml:space="preserve"> </w:t>
      </w:r>
      <w:r>
        <w:t xml:space="preserve">[108]</w:t>
      </w:r>
      <w:r>
        <w:t xml:space="preserve">. Our finding of no statistically significant difference in connectivity metrics across the two phases suggests that relative interaction levels remained consistent over time, even as populations consolidated into fewer sites. The lack of significant geographic structure in either phase contradicts simple isolation-by-distance models</w:t>
      </w:r>
      <w:r>
        <w:t xml:space="preserve"> </w:t>
      </w:r>
      <w:r>
        <w:t xml:space="preserve">[105,109]</w:t>
      </w:r>
      <w:r>
        <w:t xml:space="preserve">. A non-significant Mantel result cannot establish which social process generated the pattern; ritual gatherings or ceremonial exchange remain speculative possibilities, not demonstrated mechanisms.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null result does not by itself establish the signs’ function. One speculative possibility is that different material classes encode different identity dimensions, for example, ornaments may signal ethnic affiliation, while geometric signs could serve functions such as notation, calendrical recording, or information storage. But these remain untested hypotheses. This aligns with work by</w:t>
      </w:r>
      <w:r>
        <w:t xml:space="preserve"> </w:t>
      </w:r>
      <w:r>
        <w:t xml:space="preserve">[110]</w:t>
      </w:r>
      <w:r>
        <w:t xml:space="preserve"> </w:t>
      </w:r>
      <w:r>
        <w:t xml:space="preserve">(sign sequences having protocuneiform-like information density, suggesting notational function) and</w:t>
      </w:r>
      <w:r>
        <w:t xml:space="preserve"> </w:t>
      </w:r>
      <w:r>
        <w:t xml:space="preserve">[111]</w:t>
      </w:r>
      <w:r>
        <w:t xml:space="preserve"> </w:t>
      </w:r>
      <w:r>
        <w:t xml:space="preserve">(some signs recording seasonal prey information). However, both hypotheses are contested:</w:t>
      </w:r>
      <w:r>
        <w:t xml:space="preserve"> </w:t>
      </w:r>
      <w:r>
        <w:t xml:space="preserve">[112]</w:t>
      </w:r>
      <w:r>
        <w:t xml:space="preserve"> </w:t>
      </w:r>
      <w:r>
        <w:t xml:space="preserve">note methodological issues in Bentz &amp; Dutkiewicz;</w:t>
      </w:r>
      <w:r>
        <w:t xml:space="preserve"> </w:t>
      </w:r>
      <w:r>
        <w:t xml:space="preserve">[113]</w:t>
      </w:r>
      <w:r>
        <w:t xml:space="preserve"> </w:t>
      </w:r>
      <w:r>
        <w:t xml:space="preserve">and</w:t>
      </w:r>
      <w:r>
        <w:t xml:space="preserve"> </w:t>
      </w:r>
      <w:r>
        <w:t xml:space="preserve">[114]</w:t>
      </w:r>
      <w:r>
        <w:t xml:space="preserve"> </w:t>
      </w:r>
      <w:r>
        <w:t xml:space="preserve">argue the lunar calendar hypothesis is untestable, circular, and selectively uses data;</w:t>
      </w:r>
      <w:r>
        <w:t xml:space="preserve"> </w:t>
      </w:r>
      <w:r>
        <w:t xml:space="preserve">[115]</w:t>
      </w:r>
      <w:r>
        <w:t xml:space="preserve"> </w:t>
      </w:r>
      <w:r>
        <w:t xml:space="preserve">finds multiple theoretical weaknesses. Our results neither confirm nor rule out these hypotheses, and sign-type ambiguity remains a limitation.</w:t>
      </w:r>
    </w:p>
    <w:bookmarkEnd w:id="59"/>
    <w:bookmarkEnd w:id="60"/>
    <w:bookmarkStart w:id="61" w:name="conclusion"/>
    <w:p>
      <w:pPr>
        <w:pStyle w:val="Heading1"/>
      </w:pPr>
      <w:r>
        <w:t xml:space="preserve">Conclusion</w:t>
      </w:r>
    </w:p>
    <w:p>
      <w:pPr>
        <w:pStyle w:val="FirstParagraph"/>
      </w:pPr>
      <w:r>
        <w:t xml:space="preserve">This study adds to our knowledge of social networks within the Aurignacian period, as our results may reflect patterns of possible social exchange and connection. Previous work</w:t>
      </w:r>
      <w:r>
        <w:t xml:space="preserve"> </w:t>
      </w:r>
      <w:r>
        <w:t xml:space="preserve">[3,83,116–119]</w:t>
      </w:r>
      <w:r>
        <w:t xml:space="preserve"> </w:t>
      </w:r>
      <w:r>
        <w:t xml:space="preserve">has used material culture analysis to reconstruct Upper Palaeolithic social networks, which have been argued to be a driver of cultural and evolutionary change</w:t>
      </w:r>
      <w:r>
        <w:t xml:space="preserve"> </w:t>
      </w:r>
      <w:r>
        <w:t xml:space="preserve">[2,76,120–124]</w:t>
      </w:r>
      <w:r>
        <w:t xml:space="preserve">. Permutation tests (n = 10,000) show no significant difference between phases in any size-adjusted network statistic — edge density (p = 0.44), modularity (p = 0.302), mean betweenness (p = 0.622), or component count (p = 0.515) — so the Aur-P1–Aur-P2 contrast is one of network scale, not community structure.</w:t>
      </w:r>
    </w:p>
    <w:p>
      <w:pPr>
        <w:pStyle w:val="BodyText"/>
      </w:pPr>
      <w:r>
        <w:t xml:space="preserve">A restricted/broad repertoire axis is visually evident in seriation and supported by bootstrap co-clustering (Aur-P1: within-block 0.79/0.9 vs. across-block 0.26; Aur-P2: 0.57/0.83 vs. 0.37). However, stochastic block models do not recover a two-group partition for either phase (single block selected under both Bernoulli and Gaussian emission models; S6.3). Cross-validation (leave-one-out, object-half holdout, gradient PerMANOVA) recovers the axis, yet the maximally-selected split test under a fixed-fixed (Curveball) null is not significant in either phase (Aur-P1 p = 0.106; Aur-P2 p = 0.984). Critically, a negative-binomial model with object-count offset finds no group effect on sign-type richness (rate ratio 0.72, p = 0.292; S9), so the raw richness gap is largely a sampling-effort artifact.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but bootstrap confidence intervals (S5.11) show the tests are underpowered at n = 20 and 9 sites — these are null results reflecting limited power, not evidence of geographic irrelevance. Geometric signs do not exhibit the geographically distinct clusters reported for personal ornaments</w:t>
      </w:r>
      <w:r>
        <w:t xml:space="preserve"> </w:t>
      </w:r>
      <w:r>
        <w:t xml:space="preserve">[3,6]</w:t>
      </w:r>
      <w:r>
        <w:t xml:space="preserve">; whether they encode different identity dimensions (notation, calendrical recording, information storage) remains speculative and untested</w:t>
      </w:r>
      <w:r>
        <w:t xml:space="preserve"> </w:t>
      </w:r>
      <w:r>
        <w:t xml:space="preserve">[110–115]</w:t>
      </w:r>
      <w:r>
        <w:t xml:space="preserve">. Our findings are consistent with the conclusions of</w:t>
      </w:r>
      <w:r>
        <w:t xml:space="preserve"> </w:t>
      </w:r>
      <w:r>
        <w:t xml:space="preserve">[101]</w:t>
      </w:r>
      <w:r>
        <w:t xml:space="preserve"> </w:t>
      </w:r>
      <w:r>
        <w:t xml:space="preserve">that cultural identity by-descent with modification is a likely explanation for the distribution of Aurignacian ornaments.</w:t>
      </w:r>
    </w:p>
    <w:p>
      <w:pPr>
        <w:pStyle w:val="BodyText"/>
      </w:pPr>
      <w:r>
        <w:t xml:space="preserve">Our study has four important limitations. First is the potential ambiguity that arises with some of the sign types. While</w:t>
      </w:r>
      <w:r>
        <w:t xml:space="preserve"> </w:t>
      </w:r>
      <w:r>
        <w:t xml:space="preserve">[125]</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[126]</w:t>
      </w:r>
      <w:r>
        <w:t xml:space="preserve">, and additionally, greater quantities of included sign types serve to establish stronger connections</w:t>
      </w:r>
      <w:r>
        <w:t xml:space="preserve"> </w:t>
      </w:r>
      <w:r>
        <w:t xml:space="preserve">[127]</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[110]</w:t>
      </w:r>
      <w:r>
        <w:t xml:space="preserve">.</w:t>
      </w:r>
    </w:p>
    <w:p>
      <w:pPr>
        <w:pStyle w:val="BodyText"/>
      </w:pPr>
      <w:r>
        <w:t xml:space="preserve">A second limitation concerns the effects of time-averaging on our network reconstructions.</w:t>
      </w:r>
      <w:r>
        <w:t xml:space="preserve"> </w:t>
      </w:r>
      <w:r>
        <w:t xml:space="preserve">[128]</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[71]</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¹⁴C BP (~35–36 ka cal BP) dates indicate an Evolved (Aur-P2) attribution</w:t>
      </w:r>
      <w:r>
        <w:t xml:space="preserve"> </w:t>
      </w:r>
      <w:r>
        <w:t xml:space="preserve">[27]</w:t>
      </w:r>
      <w:r>
        <w:t xml:space="preserve">. Additionally, Vogelherd Cave’s stratigraphy is compromised by excavation methodology and post-depositional disturbance, with documented mixing between Aurignacian, Gravettian, and Magdalenian layers</w:t>
      </w:r>
      <w:r>
        <w:t xml:space="preserve"> </w:t>
      </w:r>
      <w:r>
        <w:t xml:space="preserve">[31]</w:t>
      </w:r>
      <w:r>
        <w:t xml:space="preserve">. After exclusions, Aur-P2 rests on only 9 sites and 63 objects, so its two-group structure and network statistics have limited power. To manage this limitation we tested the sensitivity of our assignments to reverting to purely date-based criteria in S1</w:t>
      </w:r>
      <w:r>
        <w:t xml:space="preserve"> </w:t>
      </w:r>
      <w:r>
        <w:t xml:space="preserve">“</w:t>
      </w:r>
      <w:r>
        <w:t xml:space="preserve">Sensitivity Analyses</w:t>
      </w:r>
      <w:r>
        <w:t xml:space="preserve">”</w:t>
      </w:r>
      <w:r>
        <w:t xml:space="preserve"> </w:t>
      </w:r>
      <w:r>
        <w:t xml:space="preserve">and find that the main structures are generally robust.</w:t>
      </w:r>
    </w:p>
    <w:p>
      <w:pPr>
        <w:pStyle w:val="BodyText"/>
      </w:pPr>
      <w:r>
        <w:t xml:space="preserve">Fourth, the restricted/broad division may not be independent from sampling intensity. Object-level resampling shows that only the best-sampled sites retain stable group assignments when compared at a common object count. A negative-binomial model that enters object count as an offset finds no significant group effect on sign-type richness (rate ratio 0.72, p = 0.292; S1 S9). The raw richness gap between groups is therefore largely a sampling-effort artefact, and for sites represented by only a few objects the restricted/broad membership is only provisional. The division should accordingly be read as a descriptive axis of variation whose separation from sampling effort is not demonstrated for small-object sites.</w:t>
      </w:r>
    </w:p>
    <w:bookmarkEnd w:id="61"/>
    <w:bookmarkStart w:id="304" w:name="references"/>
    <w:p>
      <w:pPr>
        <w:pStyle w:val="Heading1"/>
      </w:pPr>
      <w:r>
        <w:t xml:space="preserve">References</w:t>
      </w:r>
    </w:p>
    <w:bookmarkStart w:id="303"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Chu_Richter_2020"/>
    <w:p>
      <w:pPr>
        <w:pStyle w:val="Bibliography"/>
      </w:pPr>
      <w:r>
        <w:t xml:space="preserve">[13]</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6">
        <w:r>
          <w:rPr>
            <w:rStyle w:val="Hyperlink"/>
          </w:rPr>
          <w:t xml:space="preserve">https://doi.org/10.1007/978-3-319-51726-1_3441-1</w:t>
        </w:r>
      </w:hyperlink>
      <w:r>
        <w:t xml:space="preserve">.</w:t>
      </w:r>
    </w:p>
    <w:bookmarkEnd w:id="87"/>
    <w:bookmarkStart w:id="89" w:name="ref-Dinnis_et_al_2019"/>
    <w:p>
      <w:pPr>
        <w:pStyle w:val="Bibliography"/>
      </w:pPr>
      <w:r>
        <w:t xml:space="preserve">[14]</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88">
        <w:r>
          <w:rPr>
            <w:rStyle w:val="Hyperlink"/>
          </w:rPr>
          <w:t xml:space="preserve">https://doi.org/10.1017/ppr.2019.11</w:t>
        </w:r>
      </w:hyperlink>
      <w:r>
        <w:t xml:space="preserve">.</w:t>
      </w:r>
    </w:p>
    <w:bookmarkEnd w:id="89"/>
    <w:bookmarkStart w:id="91" w:name="ref-falcucci2020breaking"/>
    <w:p>
      <w:pPr>
        <w:pStyle w:val="Bibliography"/>
      </w:pPr>
      <w:r>
        <w:t xml:space="preserve">[15]</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0">
        <w:r>
          <w:rPr>
            <w:rStyle w:val="Hyperlink"/>
          </w:rPr>
          <w:t xml:space="preserve">https://doi.org/10.4436/JASS.98021</w:t>
        </w:r>
      </w:hyperlink>
      <w:r>
        <w:t xml:space="preserve">.</w:t>
      </w:r>
    </w:p>
    <w:bookmarkEnd w:id="91"/>
    <w:bookmarkStart w:id="92" w:name="ref-clark200917"/>
    <w:p>
      <w:pPr>
        <w:pStyle w:val="Bibliography"/>
      </w:pPr>
      <w:r>
        <w:t xml:space="preserve">[16]</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2"/>
    <w:bookmarkStart w:id="94" w:name="ref-zilhao2024data"/>
    <w:p>
      <w:pPr>
        <w:pStyle w:val="Bibliography"/>
      </w:pPr>
      <w:r>
        <w:t xml:space="preserve">[17]</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3">
        <w:r>
          <w:rPr>
            <w:rStyle w:val="Hyperlink"/>
          </w:rPr>
          <w:t xml:space="preserve">https://doi.org/10.1016/j.qeh.2024.100037</w:t>
        </w:r>
      </w:hyperlink>
      <w:r>
        <w:t xml:space="preserve">.</w:t>
      </w:r>
    </w:p>
    <w:bookmarkEnd w:id="94"/>
    <w:bookmarkStart w:id="95" w:name="ref-bordes2006news"/>
    <w:p>
      <w:pPr>
        <w:pStyle w:val="Bibliography"/>
      </w:pPr>
      <w:r>
        <w:t xml:space="preserve">[18]</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5"/>
    <w:bookmarkStart w:id="97" w:name="ref-canessa2026unpacking"/>
    <w:p>
      <w:pPr>
        <w:pStyle w:val="Bibliography"/>
      </w:pPr>
      <w:r>
        <w:t xml:space="preserve">[19]</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6">
        <w:r>
          <w:rPr>
            <w:rStyle w:val="Hyperlink"/>
          </w:rPr>
          <w:t xml:space="preserve">https://doi.org/10.1371/journal.pone.0345202</w:t>
        </w:r>
      </w:hyperlink>
      <w:r>
        <w:t xml:space="preserve">.</w:t>
      </w:r>
    </w:p>
    <w:bookmarkEnd w:id="97"/>
    <w:bookmarkStart w:id="99" w:name="ref-Schmidt_Zimmermann_2019"/>
    <w:p>
      <w:pPr>
        <w:pStyle w:val="Bibliography"/>
      </w:pPr>
      <w:r>
        <w:t xml:space="preserve">[20]</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8">
        <w:r>
          <w:rPr>
            <w:rStyle w:val="Hyperlink"/>
          </w:rPr>
          <w:t xml:space="preserve">https://doi.org/10.1371/journal.pone.0211562</w:t>
        </w:r>
      </w:hyperlink>
      <w:r>
        <w:t xml:space="preserve">.</w:t>
      </w:r>
    </w:p>
    <w:bookmarkEnd w:id="99"/>
    <w:bookmarkStart w:id="101" w:name="ref-Banks_dErrico_Zilhao_2013"/>
    <w:p>
      <w:pPr>
        <w:pStyle w:val="Bibliography"/>
      </w:pPr>
      <w:r>
        <w:t xml:space="preserve">[21]</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0">
        <w:r>
          <w:rPr>
            <w:rStyle w:val="Hyperlink"/>
          </w:rPr>
          <w:t xml:space="preserve">https://doi.org/10.1016/j.jhevol.2012.10.001</w:t>
        </w:r>
      </w:hyperlink>
      <w:r>
        <w:t xml:space="preserve">.</w:t>
      </w:r>
    </w:p>
    <w:bookmarkEnd w:id="101"/>
    <w:bookmarkStart w:id="103"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2">
        <w:r>
          <w:rPr>
            <w:rStyle w:val="Hyperlink"/>
          </w:rPr>
          <w:t xml:space="preserve">https://doi.org/10.1371/journal.pone.0189241</w:t>
        </w:r>
      </w:hyperlink>
      <w:r>
        <w:t xml:space="preserve">.</w:t>
      </w:r>
    </w:p>
    <w:bookmarkEnd w:id="103"/>
    <w:bookmarkStart w:id="105"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4">
        <w:r>
          <w:rPr>
            <w:rStyle w:val="Hyperlink"/>
          </w:rPr>
          <w:t xml:space="preserve">https://doi.org/10.7485/QU65_1</w:t>
        </w:r>
      </w:hyperlink>
      <w:r>
        <w:t xml:space="preserve">.</w:t>
      </w:r>
    </w:p>
    <w:bookmarkEnd w:id="105"/>
    <w:bookmarkStart w:id="107"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106">
        <w:r>
          <w:rPr>
            <w:rStyle w:val="Hyperlink"/>
          </w:rPr>
          <w:t xml:space="preserve">https://doi.org/10.30861/9781841718309</w:t>
        </w:r>
      </w:hyperlink>
      <w:r>
        <w:t xml:space="preserve">.</w:t>
      </w:r>
    </w:p>
    <w:bookmarkEnd w:id="107"/>
    <w:bookmarkStart w:id="109" w:name="ref-Higham_Abri_Pataud_2011"/>
    <w:p>
      <w:pPr>
        <w:pStyle w:val="Bibliography"/>
      </w:pPr>
      <w:r>
        <w:t xml:space="preserve">[25]</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08">
        <w:r>
          <w:rPr>
            <w:rStyle w:val="Hyperlink"/>
          </w:rPr>
          <w:t xml:space="preserve">https://doi.org/10.1016/j.jhevol.2011.06.005</w:t>
        </w:r>
      </w:hyperlink>
      <w:r>
        <w:t xml:space="preserve">.</w:t>
      </w:r>
    </w:p>
    <w:bookmarkEnd w:id="109"/>
    <w:bookmarkStart w:id="111" w:name="ref-Talamo_La_Ferrassie_2020"/>
    <w:p>
      <w:pPr>
        <w:pStyle w:val="Bibliography"/>
      </w:pPr>
      <w:r>
        <w:t xml:space="preserve">[26]</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110">
        <w:r>
          <w:rPr>
            <w:rStyle w:val="Hyperlink"/>
          </w:rPr>
          <w:t xml:space="preserve">https://doi.org/10.1002/jqs.3236</w:t>
        </w:r>
      </w:hyperlink>
      <w:r>
        <w:t xml:space="preserve">.</w:t>
      </w:r>
    </w:p>
    <w:bookmarkEnd w:id="111"/>
    <w:bookmarkStart w:id="113" w:name="ref-Wild_et_al_2005"/>
    <w:p>
      <w:pPr>
        <w:pStyle w:val="Bibliography"/>
      </w:pPr>
      <w:r>
        <w:t xml:space="preserve">[27]</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112">
        <w:r>
          <w:rPr>
            <w:rStyle w:val="Hyperlink"/>
          </w:rPr>
          <w:t xml:space="preserve">https://doi.org/10.1038/nature03585</w:t>
        </w:r>
      </w:hyperlink>
      <w:r>
        <w:t xml:space="preserve">.</w:t>
      </w:r>
    </w:p>
    <w:bookmarkEnd w:id="113"/>
    <w:bookmarkStart w:id="115"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14">
        <w:r>
          <w:rPr>
            <w:rStyle w:val="Hyperlink"/>
          </w:rPr>
          <w:t xml:space="preserve">https://doi.org/10.1371/journal.pone.0194097</w:t>
        </w:r>
      </w:hyperlink>
      <w:r>
        <w:t xml:space="preserve">.</w:t>
      </w:r>
    </w:p>
    <w:bookmarkEnd w:id="115"/>
    <w:bookmarkStart w:id="116" w:name="ref-Flas_et_al_2013"/>
    <w:p>
      <w:pPr>
        <w:pStyle w:val="Bibliography"/>
      </w:pPr>
      <w:r>
        <w:t xml:space="preserve">[29]</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6"/>
    <w:bookmarkStart w:id="118"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117">
        <w:r>
          <w:rPr>
            <w:rStyle w:val="Hyperlink"/>
          </w:rPr>
          <w:t xml:space="preserve">https://doi.org/10.4000/palethnologie.736</w:t>
        </w:r>
      </w:hyperlink>
      <w:r>
        <w:t xml:space="preserve">.</w:t>
      </w:r>
    </w:p>
    <w:bookmarkEnd w:id="118"/>
    <w:bookmarkStart w:id="120" w:name="ref-Schurch_Conard_2026_reassess"/>
    <w:p>
      <w:pPr>
        <w:pStyle w:val="Bibliography"/>
      </w:pPr>
      <w:r>
        <w:t xml:space="preserve">[31]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119">
        <w:r>
          <w:rPr>
            <w:rStyle w:val="Hyperlink"/>
          </w:rPr>
          <w:t xml:space="preserve">https://doi.org/10.1007/s41982-025-00246-x</w:t>
        </w:r>
      </w:hyperlink>
      <w:r>
        <w:t xml:space="preserve">.</w:t>
      </w:r>
    </w:p>
    <w:bookmarkEnd w:id="120"/>
    <w:bookmarkStart w:id="122"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21">
        <w:r>
          <w:rPr>
            <w:rStyle w:val="Hyperlink"/>
          </w:rPr>
          <w:t xml:space="preserve">https://doi.org/10.1016/j.quascirev.2009.11.015</w:t>
        </w:r>
      </w:hyperlink>
      <w:r>
        <w:t xml:space="preserve">.</w:t>
      </w:r>
    </w:p>
    <w:bookmarkEnd w:id="122"/>
    <w:bookmarkStart w:id="124" w:name="ref-Pebesma_2018"/>
    <w:p>
      <w:pPr>
        <w:pStyle w:val="Bibliography"/>
      </w:pPr>
      <w:r>
        <w:t xml:space="preserve">[33]</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23">
        <w:r>
          <w:rPr>
            <w:rStyle w:val="Hyperlink"/>
          </w:rPr>
          <w:t xml:space="preserve">https://doi.org/10.32614/rj-2018-009</w:t>
        </w:r>
      </w:hyperlink>
      <w:r>
        <w:t xml:space="preserve">.</w:t>
      </w:r>
    </w:p>
    <w:bookmarkEnd w:id="124"/>
    <w:bookmarkStart w:id="126" w:name="ref-rnaturalearth"/>
    <w:p>
      <w:pPr>
        <w:pStyle w:val="Bibliography"/>
      </w:pPr>
      <w:r>
        <w:t xml:space="preserve">[34]</w:t>
      </w:r>
      <w:r>
        <w:t xml:space="preserve"> </w:t>
      </w:r>
      <w:r>
        <w:t xml:space="preserve">	</w:t>
      </w:r>
      <w:r>
        <w:t xml:space="preserve">Massicotte P, South A.</w:t>
      </w:r>
      <w:r>
        <w:t xml:space="preserve"> </w:t>
      </w:r>
      <w:hyperlink r:id="rId125">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26"/>
    <w:bookmarkStart w:id="128" w:name="ref-Crema_Bevan_2021"/>
    <w:p>
      <w:pPr>
        <w:pStyle w:val="Bibliography"/>
      </w:pPr>
      <w:r>
        <w:t xml:space="preserve">[35]</w:t>
      </w:r>
      <w:r>
        <w:t xml:space="preserve"> </w:t>
      </w:r>
      <w:r>
        <w:t xml:space="preserve">	</w:t>
      </w:r>
      <w:r>
        <w:t xml:space="preserve">Crema ER, Bevan A. Inference from large sets of radiocarbon dates: Software and methods. Radiocarbon 2021;63:23–39.</w:t>
      </w:r>
      <w:r>
        <w:t xml:space="preserve"> </w:t>
      </w:r>
      <w:hyperlink r:id="rId127">
        <w:r>
          <w:rPr>
            <w:rStyle w:val="Hyperlink"/>
          </w:rPr>
          <w:t xml:space="preserve">https://doi.org/10.1017/RDC.2020.95</w:t>
        </w:r>
      </w:hyperlink>
      <w:r>
        <w:t xml:space="preserve">.</w:t>
      </w:r>
    </w:p>
    <w:bookmarkEnd w:id="128"/>
    <w:bookmarkStart w:id="130" w:name="ref-Lycett_2019"/>
    <w:p>
      <w:pPr>
        <w:pStyle w:val="Bibliography"/>
      </w:pPr>
      <w:r>
        <w:t xml:space="preserve">[36]</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29">
        <w:r>
          <w:rPr>
            <w:rStyle w:val="Hyperlink"/>
          </w:rPr>
          <w:t xml:space="preserve">https://doi.org/10.1007/s12520-018-0742-3</w:t>
        </w:r>
      </w:hyperlink>
      <w:r>
        <w:t xml:space="preserve">.</w:t>
      </w:r>
    </w:p>
    <w:bookmarkEnd w:id="130"/>
    <w:bookmarkStart w:id="132" w:name="ref-Mantel_Smouse"/>
    <w:p>
      <w:pPr>
        <w:pStyle w:val="Bibliography"/>
      </w:pPr>
      <w:r>
        <w:t xml:space="preserve">[37]</w:t>
      </w:r>
      <w:r>
        <w:t xml:space="preserve"> </w:t>
      </w:r>
      <w:r>
        <w:t xml:space="preserve">	</w:t>
      </w:r>
      <w:r>
        <w:t xml:space="preserve">Smouse PE, Long JC. Matrix correlation analysis in anthropology and genetics. American Journal of Physical Anthropology 1992;35:187–213.</w:t>
      </w:r>
      <w:r>
        <w:t xml:space="preserve"> </w:t>
      </w:r>
      <w:hyperlink r:id="rId131">
        <w:r>
          <w:rPr>
            <w:rStyle w:val="Hyperlink"/>
          </w:rPr>
          <w:t xml:space="preserve">https://doi.org/10.1002/ajpa.1330350608</w:t>
        </w:r>
      </w:hyperlink>
      <w:r>
        <w:t xml:space="preserve">.</w:t>
      </w:r>
    </w:p>
    <w:bookmarkEnd w:id="132"/>
    <w:bookmarkStart w:id="134" w:name="ref-Vegan2001"/>
    <w:p>
      <w:pPr>
        <w:pStyle w:val="Bibliography"/>
      </w:pPr>
      <w:r>
        <w:t xml:space="preserve">[38]</w:t>
      </w:r>
      <w:r>
        <w:t xml:space="preserve"> </w:t>
      </w:r>
      <w:r>
        <w:t xml:space="preserve">	</w:t>
      </w:r>
      <w:r>
        <w:t xml:space="preserve">Oksanen J, Simpson GL, Blanchet FG, Kindt R, Legendre P, Minchin PR, et al. Vegan: Community ecology package 2023.</w:t>
      </w:r>
      <w:r>
        <w:t xml:space="preserve"> </w:t>
      </w:r>
      <w:hyperlink r:id="rId133">
        <w:r>
          <w:rPr>
            <w:rStyle w:val="Hyperlink"/>
          </w:rPr>
          <w:t xml:space="preserve">https://doi.org/10.32614/CRAN.package.vegan</w:t>
        </w:r>
      </w:hyperlink>
      <w:r>
        <w:t xml:space="preserve">.</w:t>
      </w:r>
    </w:p>
    <w:bookmarkEnd w:id="134"/>
    <w:bookmarkStart w:id="136" w:name="ref-Rigaud_dErrico_Vanhaeren_2015"/>
    <w:p>
      <w:pPr>
        <w:pStyle w:val="Bibliography"/>
      </w:pPr>
      <w:r>
        <w:t xml:space="preserve">[39]</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35">
        <w:r>
          <w:rPr>
            <w:rStyle w:val="Hyperlink"/>
          </w:rPr>
          <w:t xml:space="preserve">https://doi.org/10.1371/journal.pone.0121166</w:t>
        </w:r>
      </w:hyperlink>
      <w:r>
        <w:t xml:space="preserve">.</w:t>
      </w:r>
    </w:p>
    <w:bookmarkEnd w:id="136"/>
    <w:bookmarkStart w:id="138" w:name="ref-seriation_pckge"/>
    <w:p>
      <w:pPr>
        <w:pStyle w:val="Bibliography"/>
      </w:pPr>
      <w:r>
        <w:t xml:space="preserve">[40]</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37">
        <w:r>
          <w:rPr>
            <w:rStyle w:val="Hyperlink"/>
          </w:rPr>
          <w:t xml:space="preserve">https://doi.org/10.18637/jss.v025.i03</w:t>
        </w:r>
      </w:hyperlink>
      <w:r>
        <w:t xml:space="preserve">.</w:t>
      </w:r>
    </w:p>
    <w:bookmarkEnd w:id="138"/>
    <w:bookmarkStart w:id="140" w:name="ref-Brower_Kile_1988"/>
    <w:p>
      <w:pPr>
        <w:pStyle w:val="Bibliography"/>
      </w:pPr>
      <w:r>
        <w:t xml:space="preserve">[41]</w:t>
      </w:r>
      <w:r>
        <w:t xml:space="preserve"> </w:t>
      </w:r>
      <w:r>
        <w:t xml:space="preserve">	</w:t>
      </w:r>
      <w:r>
        <w:t xml:space="preserve">Brower JC, Kile KM. Seriation of an original data matrix as applied to paleoecology. Lethaia 1988;21:79–93.</w:t>
      </w:r>
      <w:r>
        <w:t xml:space="preserve"> </w:t>
      </w:r>
      <w:hyperlink r:id="rId139">
        <w:r>
          <w:rPr>
            <w:rStyle w:val="Hyperlink"/>
          </w:rPr>
          <w:t xml:space="preserve">https://doi.org/10.1111/j.1502-3931.1988.tb01756.x</w:t>
        </w:r>
      </w:hyperlink>
      <w:r>
        <w:t xml:space="preserve">.</w:t>
      </w:r>
    </w:p>
    <w:bookmarkEnd w:id="140"/>
    <w:bookmarkStart w:id="142" w:name="ref-Mills_2017"/>
    <w:p>
      <w:pPr>
        <w:pStyle w:val="Bibliography"/>
      </w:pPr>
      <w:r>
        <w:t xml:space="preserve">[42]</w:t>
      </w:r>
      <w:r>
        <w:t xml:space="preserve"> </w:t>
      </w:r>
      <w:r>
        <w:t xml:space="preserve">	</w:t>
      </w:r>
      <w:r>
        <w:t xml:space="preserve">Mills BJ. Social network analysis in archaeology. Annual Review of Anthropology 2017;46:379–97.</w:t>
      </w:r>
      <w:r>
        <w:t xml:space="preserve"> </w:t>
      </w:r>
      <w:hyperlink r:id="rId141">
        <w:r>
          <w:rPr>
            <w:rStyle w:val="Hyperlink"/>
          </w:rPr>
          <w:t xml:space="preserve">https://doi.org/10.1146/annurev-anthro-102116-041423</w:t>
        </w:r>
      </w:hyperlink>
      <w:r>
        <w:t xml:space="preserve">.</w:t>
      </w:r>
    </w:p>
    <w:bookmarkEnd w:id="142"/>
    <w:bookmarkStart w:id="144" w:name="ref-Fruchterman_Reingold_1991"/>
    <w:p>
      <w:pPr>
        <w:pStyle w:val="Bibliography"/>
      </w:pPr>
      <w:r>
        <w:t xml:space="preserve">[43]</w:t>
      </w:r>
      <w:r>
        <w:t xml:space="preserve"> </w:t>
      </w:r>
      <w:r>
        <w:t xml:space="preserve">	</w:t>
      </w:r>
      <w:r>
        <w:t xml:space="preserve">Fruchterman TMJ, Reingold EM. Graph drawing by force-directed placement. Software: Practice and Experience 1991;21:1129–64.</w:t>
      </w:r>
      <w:r>
        <w:t xml:space="preserve"> </w:t>
      </w:r>
      <w:hyperlink r:id="rId143">
        <w:r>
          <w:rPr>
            <w:rStyle w:val="Hyperlink"/>
          </w:rPr>
          <w:t xml:space="preserve">https://doi.org/10.1002/spe.4380211102</w:t>
        </w:r>
      </w:hyperlink>
      <w:r>
        <w:t xml:space="preserve">.</w:t>
      </w:r>
    </w:p>
    <w:bookmarkEnd w:id="144"/>
    <w:bookmarkStart w:id="146" w:name="ref-statnet_package"/>
    <w:p>
      <w:pPr>
        <w:pStyle w:val="Bibliography"/>
      </w:pPr>
      <w:r>
        <w:t xml:space="preserve">[44]</w:t>
      </w:r>
      <w:r>
        <w:t xml:space="preserve"> </w:t>
      </w:r>
      <w:r>
        <w:t xml:space="preserve">	</w:t>
      </w:r>
      <w:r>
        <w:t xml:space="preserve">Handcock MS, Hunter DR, Butts CT, Goodreau SM, Krivitsky PN, Bender-deMoll S, et al.</w:t>
      </w:r>
      <w:r>
        <w:t xml:space="preserve"> </w:t>
      </w:r>
      <w:hyperlink r:id="rId145">
        <w:r>
          <w:rPr>
            <w:rStyle w:val="Hyperlink"/>
          </w:rPr>
          <w:t xml:space="preserve">Statnet: Software tools for the statistical analysis of network data</w:t>
        </w:r>
      </w:hyperlink>
      <w:r>
        <w:t xml:space="preserve"> </w:t>
      </w:r>
      <w:r>
        <w:t xml:space="preserve">2019.</w:t>
      </w:r>
    </w:p>
    <w:bookmarkEnd w:id="146"/>
    <w:bookmarkStart w:id="148" w:name="ref-igraph_package"/>
    <w:p>
      <w:pPr>
        <w:pStyle w:val="Bibliography"/>
      </w:pPr>
      <w:r>
        <w:t xml:space="preserve">[45]</w:t>
      </w:r>
      <w:r>
        <w:t xml:space="preserve"> </w:t>
      </w:r>
      <w:r>
        <w:t xml:space="preserve">	</w:t>
      </w:r>
      <w:r>
        <w:t xml:space="preserve">Csardi G, Nepusz T.</w:t>
      </w:r>
      <w:r>
        <w:t xml:space="preserve"> </w:t>
      </w:r>
      <w:hyperlink r:id="rId147">
        <w:r>
          <w:rPr>
            <w:rStyle w:val="Hyperlink"/>
          </w:rPr>
          <w:t xml:space="preserve">The igraph software package for complex network research</w:t>
        </w:r>
      </w:hyperlink>
      <w:r>
        <w:t xml:space="preserve">. InterJournal 2006;Complex Systems:1695.</w:t>
      </w:r>
    </w:p>
    <w:bookmarkEnd w:id="148"/>
    <w:bookmarkStart w:id="150" w:name="ref-Anderson_2017"/>
    <w:p>
      <w:pPr>
        <w:pStyle w:val="Bibliography"/>
      </w:pPr>
      <w:r>
        <w:t xml:space="preserve">[46]</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49">
        <w:r>
          <w:rPr>
            <w:rStyle w:val="Hyperlink"/>
          </w:rPr>
          <w:t xml:space="preserve">https://doi.org/10.1002/9781118445112.stat07841</w:t>
        </w:r>
      </w:hyperlink>
      <w:r>
        <w:t xml:space="preserve">.</w:t>
      </w:r>
    </w:p>
    <w:bookmarkEnd w:id="150"/>
    <w:bookmarkStart w:id="152" w:name="ref-Shennan_Crema_Kerig_2015"/>
    <w:p>
      <w:pPr>
        <w:pStyle w:val="Bibliography"/>
      </w:pPr>
      <w:r>
        <w:t xml:space="preserve">[47]</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51">
        <w:r>
          <w:rPr>
            <w:rStyle w:val="Hyperlink"/>
          </w:rPr>
          <w:t xml:space="preserve">https://doi.org/10.1016/j.evolhumbehav.2014.09.006</w:t>
        </w:r>
      </w:hyperlink>
      <w:r>
        <w:t xml:space="preserve">.</w:t>
      </w:r>
    </w:p>
    <w:bookmarkEnd w:id="152"/>
    <w:bookmarkStart w:id="154" w:name="ref-Marwick2017"/>
    <w:p>
      <w:pPr>
        <w:pStyle w:val="Bibliography"/>
      </w:pPr>
      <w:r>
        <w:t xml:space="preserve">[48]</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53">
        <w:r>
          <w:rPr>
            <w:rStyle w:val="Hyperlink"/>
          </w:rPr>
          <w:t xml:space="preserve">https://doi.org/10.1007/s10816-015-9272-9</w:t>
        </w:r>
      </w:hyperlink>
      <w:r>
        <w:t xml:space="preserve">.</w:t>
      </w:r>
    </w:p>
    <w:bookmarkEnd w:id="154"/>
    <w:bookmarkStart w:id="156" w:name="ref-Marwick_2025"/>
    <w:p>
      <w:pPr>
        <w:pStyle w:val="Bibliography"/>
      </w:pPr>
      <w:r>
        <w:t xml:space="preserve">[49]</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55">
        <w:r>
          <w:rPr>
            <w:rStyle w:val="Hyperlink"/>
          </w:rPr>
          <w:t xml:space="preserve">https://doi.org/10.1016/j.jas.2025.106281</w:t>
        </w:r>
      </w:hyperlink>
      <w:r>
        <w:t xml:space="preserve">.</w:t>
      </w:r>
    </w:p>
    <w:bookmarkEnd w:id="156"/>
    <w:bookmarkStart w:id="158" w:name="ref-Finlayson_Warren_2017"/>
    <w:p>
      <w:pPr>
        <w:pStyle w:val="Bibliography"/>
      </w:pPr>
      <w:r>
        <w:t xml:space="preserve">[50]</w:t>
      </w:r>
      <w:r>
        <w:t xml:space="preserve"> </w:t>
      </w:r>
      <w:r>
        <w:t xml:space="preserve">	</w:t>
      </w:r>
      <w:r>
        <w:t xml:space="preserve">Finlayson B, Warren G.</w:t>
      </w:r>
      <w:r>
        <w:t xml:space="preserve"> </w:t>
      </w:r>
      <w:hyperlink r:id="rId157">
        <w:r>
          <w:rPr>
            <w:rStyle w:val="Hyperlink"/>
          </w:rPr>
          <w:t xml:space="preserve">The diversity of hunter-gatherer pasts: An introduction</w:t>
        </w:r>
      </w:hyperlink>
      <w:r>
        <w:t xml:space="preserve">. In: Finlayson B, Warren G, editors. The diversity of hunter gatherer pasts. 1st ed., Oxbow Books; 2017, p. 1–14.</w:t>
      </w:r>
    </w:p>
    <w:bookmarkEnd w:id="158"/>
    <w:bookmarkStart w:id="160" w:name="ref-Riches_1995"/>
    <w:p>
      <w:pPr>
        <w:pStyle w:val="Bibliography"/>
      </w:pPr>
      <w:r>
        <w:t xml:space="preserve">[51]</w:t>
      </w:r>
      <w:r>
        <w:t xml:space="preserve"> </w:t>
      </w:r>
      <w:r>
        <w:t xml:space="preserve">	</w:t>
      </w:r>
      <w:r>
        <w:t xml:space="preserve">Riches D. Hunter-gatherer structural transformations. The Journal of the Royal Anthropological Institute 1995;1:679–701.</w:t>
      </w:r>
      <w:r>
        <w:t xml:space="preserve"> </w:t>
      </w:r>
      <w:hyperlink r:id="rId159">
        <w:r>
          <w:rPr>
            <w:rStyle w:val="Hyperlink"/>
          </w:rPr>
          <w:t xml:space="preserve">https://doi.org/10.2307/3034956</w:t>
        </w:r>
      </w:hyperlink>
      <w:r>
        <w:t xml:space="preserve">.</w:t>
      </w:r>
    </w:p>
    <w:bookmarkEnd w:id="160"/>
    <w:bookmarkStart w:id="162" w:name="ref-Price_Brown_1985"/>
    <w:p>
      <w:pPr>
        <w:pStyle w:val="Bibliography"/>
      </w:pPr>
      <w:r>
        <w:t xml:space="preserve">[52]</w:t>
      </w:r>
      <w:r>
        <w:t xml:space="preserve"> </w:t>
      </w:r>
      <w:r>
        <w:t xml:space="preserve">	</w:t>
      </w:r>
      <w:r>
        <w:t xml:space="preserve">Price TD, Brown JA. Aspects of hunter–gatherer complexity. In: Price TD, Brown JA, editors. Prehistoric hunters-gatherers, Academic Press; 1985, p. 3–20.</w:t>
      </w:r>
      <w:r>
        <w:t xml:space="preserve"> </w:t>
      </w:r>
      <w:hyperlink r:id="rId161">
        <w:r>
          <w:rPr>
            <w:rStyle w:val="Hyperlink"/>
          </w:rPr>
          <w:t xml:space="preserve">https://doi.org/10.1016/B978-0-12-564750-2.50006-8</w:t>
        </w:r>
      </w:hyperlink>
      <w:r>
        <w:t xml:space="preserve">.</w:t>
      </w:r>
    </w:p>
    <w:bookmarkEnd w:id="162"/>
    <w:bookmarkStart w:id="164" w:name="ref-Lane_2017"/>
    <w:p>
      <w:pPr>
        <w:pStyle w:val="Bibliography"/>
      </w:pPr>
      <w:r>
        <w:t xml:space="preserve">[53]</w:t>
      </w:r>
      <w:r>
        <w:t xml:space="preserve"> </w:t>
      </w:r>
      <w:r>
        <w:t xml:space="preserve">	</w:t>
      </w:r>
      <w:r>
        <w:t xml:space="preserve">Lane PJ.</w:t>
      </w:r>
      <w:r>
        <w:t xml:space="preserve"> </w:t>
      </w:r>
      <w:hyperlink r:id="rId163">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64"/>
    <w:bookmarkStart w:id="165" w:name="ref-Pate_2006"/>
    <w:p>
      <w:pPr>
        <w:pStyle w:val="Bibliography"/>
      </w:pPr>
      <w:r>
        <w:t xml:space="preserve">[54]</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65"/>
    <w:bookmarkStart w:id="167" w:name="ref-Johnson_2014"/>
    <w:p>
      <w:pPr>
        <w:pStyle w:val="Bibliography"/>
      </w:pPr>
      <w:r>
        <w:t xml:space="preserve">[55]</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66">
        <w:r>
          <w:rPr>
            <w:rStyle w:val="Hyperlink"/>
          </w:rPr>
          <w:t xml:space="preserve">https://doi.org/10.1007/s10814-013-9068-y</w:t>
        </w:r>
      </w:hyperlink>
      <w:r>
        <w:t xml:space="preserve">.</w:t>
      </w:r>
    </w:p>
    <w:bookmarkEnd w:id="167"/>
    <w:bookmarkStart w:id="169" w:name="ref-Singh_Glowacki_2022"/>
    <w:p>
      <w:pPr>
        <w:pStyle w:val="Bibliography"/>
      </w:pPr>
      <w:r>
        <w:t xml:space="preserve">[56]</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68">
        <w:r>
          <w:rPr>
            <w:rStyle w:val="Hyperlink"/>
          </w:rPr>
          <w:t xml:space="preserve">https://doi.org/10.1016/j.evolhumbehav.2022.07.003</w:t>
        </w:r>
      </w:hyperlink>
      <w:r>
        <w:t xml:space="preserve">.</w:t>
      </w:r>
    </w:p>
    <w:bookmarkEnd w:id="169"/>
    <w:bookmarkStart w:id="171" w:name="ref-Schwendler_2012"/>
    <w:p>
      <w:pPr>
        <w:pStyle w:val="Bibliography"/>
      </w:pPr>
      <w:r>
        <w:t xml:space="preserve">[57]</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70">
        <w:r>
          <w:rPr>
            <w:rStyle w:val="Hyperlink"/>
          </w:rPr>
          <w:t xml:space="preserve">https://doi.org/10.1016/j.quaint.2012.03.054</w:t>
        </w:r>
      </w:hyperlink>
      <w:r>
        <w:t xml:space="preserve">.</w:t>
      </w:r>
    </w:p>
    <w:bookmarkEnd w:id="171"/>
    <w:bookmarkStart w:id="173" w:name="ref-Morwood_1987"/>
    <w:p>
      <w:pPr>
        <w:pStyle w:val="Bibliography"/>
      </w:pPr>
      <w:r>
        <w:t xml:space="preserve">[58]</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72">
        <w:r>
          <w:rPr>
            <w:rStyle w:val="Hyperlink"/>
          </w:rPr>
          <w:t xml:space="preserve">https://doi.org/10.1017/S0079497X00006265</w:t>
        </w:r>
      </w:hyperlink>
      <w:r>
        <w:t xml:space="preserve">.</w:t>
      </w:r>
    </w:p>
    <w:bookmarkEnd w:id="173"/>
    <w:bookmarkStart w:id="175" w:name="ref-Mattson_2021"/>
    <w:p>
      <w:pPr>
        <w:pStyle w:val="Bibliography"/>
      </w:pPr>
      <w:r>
        <w:t xml:space="preserve">[59]</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74">
        <w:r>
          <w:rPr>
            <w:rStyle w:val="Hyperlink"/>
          </w:rPr>
          <w:t xml:space="preserve">https://doi.org/10.2307/j.ctv24q4z2g.5</w:t>
        </w:r>
      </w:hyperlink>
      <w:r>
        <w:t xml:space="preserve">.</w:t>
      </w:r>
    </w:p>
    <w:bookmarkEnd w:id="175"/>
    <w:bookmarkStart w:id="176" w:name="ref-Larsson_2006"/>
    <w:p>
      <w:pPr>
        <w:pStyle w:val="Bibliography"/>
      </w:pPr>
      <w:r>
        <w:t xml:space="preserve">[60]</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76"/>
    <w:bookmarkStart w:id="178" w:name="ref-Moore_2010"/>
    <w:p>
      <w:pPr>
        <w:pStyle w:val="Bibliography"/>
      </w:pPr>
      <w:r>
        <w:t xml:space="preserve">[61]</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77">
        <w:r>
          <w:rPr>
            <w:rStyle w:val="Hyperlink"/>
          </w:rPr>
          <w:t xml:space="preserve">https://doi.org/10.1179/sea.2010.29.1.013</w:t>
        </w:r>
      </w:hyperlink>
      <w:r>
        <w:t xml:space="preserve">.</w:t>
      </w:r>
    </w:p>
    <w:bookmarkEnd w:id="178"/>
    <w:bookmarkStart w:id="180" w:name="ref-Alfonso-Durrruty_Giles_Misarti2015"/>
    <w:p>
      <w:pPr>
        <w:pStyle w:val="Bibliography"/>
      </w:pPr>
      <w:r>
        <w:t xml:space="preserve">[62]</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79">
        <w:r>
          <w:rPr>
            <w:rStyle w:val="Hyperlink"/>
          </w:rPr>
          <w:t xml:space="preserve">https://doi.org/10.1002/ajpa.22832</w:t>
        </w:r>
      </w:hyperlink>
      <w:r>
        <w:t xml:space="preserve">.</w:t>
      </w:r>
    </w:p>
    <w:bookmarkEnd w:id="180"/>
    <w:bookmarkStart w:id="181" w:name="ref-Vanhaeren_2005"/>
    <w:p>
      <w:pPr>
        <w:pStyle w:val="Bibliography"/>
      </w:pPr>
      <w:r>
        <w:t xml:space="preserve">[63]</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81"/>
    <w:bookmarkStart w:id="183" w:name="ref-Conkey_1985"/>
    <w:p>
      <w:pPr>
        <w:pStyle w:val="Bibliography"/>
      </w:pPr>
      <w:r>
        <w:t xml:space="preserve">[64]</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82">
        <w:r>
          <w:rPr>
            <w:rStyle w:val="Hyperlink"/>
          </w:rPr>
          <w:t xml:space="preserve">https://doi.org/10.1016/B978-0-12-564750-2.50016-0</w:t>
        </w:r>
      </w:hyperlink>
      <w:r>
        <w:t xml:space="preserve">.</w:t>
      </w:r>
    </w:p>
    <w:bookmarkEnd w:id="183"/>
    <w:bookmarkStart w:id="184" w:name="ref-Conkey_1978"/>
    <w:p>
      <w:pPr>
        <w:pStyle w:val="Bibliography"/>
      </w:pPr>
      <w:r>
        <w:t xml:space="preserve">[65]</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84"/>
    <w:bookmarkStart w:id="186" w:name="ref-Tilley_1982"/>
    <w:p>
      <w:pPr>
        <w:pStyle w:val="Bibliography"/>
      </w:pPr>
      <w:r>
        <w:t xml:space="preserve">[66]</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85">
        <w:r>
          <w:rPr>
            <w:rStyle w:val="Hyperlink"/>
          </w:rPr>
          <w:t xml:space="preserve">https://doi.org/10.1017/CBO9780511558252.004</w:t>
        </w:r>
      </w:hyperlink>
      <w:r>
        <w:t xml:space="preserve">.</w:t>
      </w:r>
    </w:p>
    <w:bookmarkEnd w:id="186"/>
    <w:bookmarkStart w:id="188" w:name="ref-Hodder1979"/>
    <w:p>
      <w:pPr>
        <w:pStyle w:val="Bibliography"/>
      </w:pPr>
      <w:r>
        <w:t xml:space="preserve">[67]</w:t>
      </w:r>
      <w:r>
        <w:t xml:space="preserve"> </w:t>
      </w:r>
      <w:r>
        <w:t xml:space="preserve">	</w:t>
      </w:r>
      <w:r>
        <w:t xml:space="preserve">Hodder I. Economic and social stress and material culture patterning. American Antiquity 1979;44:446–54.</w:t>
      </w:r>
      <w:r>
        <w:t xml:space="preserve"> </w:t>
      </w:r>
      <w:hyperlink r:id="rId187">
        <w:r>
          <w:rPr>
            <w:rStyle w:val="Hyperlink"/>
          </w:rPr>
          <w:t xml:space="preserve">https://doi.org/10.2307/279544</w:t>
        </w:r>
      </w:hyperlink>
      <w:r>
        <w:t xml:space="preserve">.</w:t>
      </w:r>
    </w:p>
    <w:bookmarkEnd w:id="188"/>
    <w:bookmarkStart w:id="190" w:name="ref-Hodder1977"/>
    <w:p>
      <w:pPr>
        <w:pStyle w:val="Bibliography"/>
      </w:pPr>
      <w:r>
        <w:t xml:space="preserve">[68]</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89">
        <w:r>
          <w:rPr>
            <w:rStyle w:val="Hyperlink"/>
          </w:rPr>
          <w:t xml:space="preserve">https://doi.org/10.2307/2800797</w:t>
        </w:r>
      </w:hyperlink>
      <w:r>
        <w:t xml:space="preserve">.</w:t>
      </w:r>
    </w:p>
    <w:bookmarkEnd w:id="190"/>
    <w:bookmarkStart w:id="192" w:name="ref-Binford_1990"/>
    <w:p>
      <w:pPr>
        <w:pStyle w:val="Bibliography"/>
      </w:pPr>
      <w:r>
        <w:t xml:space="preserve">[69]</w:t>
      </w:r>
      <w:r>
        <w:t xml:space="preserve"> </w:t>
      </w:r>
      <w:r>
        <w:t xml:space="preserve">	</w:t>
      </w:r>
      <w:r>
        <w:t xml:space="preserve">Binford LR. Mobility, housing, and environment: A comparative study. Journal of Anthropological Research 1990;46:119–52.</w:t>
      </w:r>
      <w:r>
        <w:t xml:space="preserve"> </w:t>
      </w:r>
      <w:hyperlink r:id="rId191">
        <w:r>
          <w:rPr>
            <w:rStyle w:val="Hyperlink"/>
          </w:rPr>
          <w:t xml:space="preserve">https://doi.org/10.1086/jar.46.2.3630069</w:t>
        </w:r>
      </w:hyperlink>
      <w:r>
        <w:t xml:space="preserve">.</w:t>
      </w:r>
    </w:p>
    <w:bookmarkEnd w:id="192"/>
    <w:bookmarkStart w:id="194" w:name="ref-Kelly_1983"/>
    <w:p>
      <w:pPr>
        <w:pStyle w:val="Bibliography"/>
      </w:pPr>
      <w:r>
        <w:t xml:space="preserve">[70]</w:t>
      </w:r>
      <w:r>
        <w:t xml:space="preserve"> </w:t>
      </w:r>
      <w:r>
        <w:t xml:space="preserve">	</w:t>
      </w:r>
      <w:r>
        <w:t xml:space="preserve">Kelly RL. Hunter-gatherer mobility strategies. Journal of Anthropological Research 1983;39:277–306.</w:t>
      </w:r>
      <w:r>
        <w:t xml:space="preserve"> </w:t>
      </w:r>
      <w:hyperlink r:id="rId193">
        <w:r>
          <w:rPr>
            <w:rStyle w:val="Hyperlink"/>
          </w:rPr>
          <w:t xml:space="preserve">https://doi.org/10.1086/jar.39.3.3629672</w:t>
        </w:r>
      </w:hyperlink>
      <w:r>
        <w:t xml:space="preserve">.</w:t>
      </w:r>
    </w:p>
    <w:bookmarkEnd w:id="194"/>
    <w:bookmarkStart w:id="196" w:name="ref-Padilla-Iglesias_Bischoff_2024"/>
    <w:p>
      <w:pPr>
        <w:pStyle w:val="Bibliography"/>
      </w:pPr>
      <w:r>
        <w:t xml:space="preserve">[71]</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95">
        <w:r>
          <w:rPr>
            <w:rStyle w:val="Hyperlink"/>
          </w:rPr>
          <w:t xml:space="preserve">https://doi.org/10.1016/j.jasrep.2024.104798</w:t>
        </w:r>
      </w:hyperlink>
      <w:r>
        <w:t xml:space="preserve">.</w:t>
      </w:r>
    </w:p>
    <w:bookmarkEnd w:id="196"/>
    <w:bookmarkStart w:id="198" w:name="ref-Whallon_2006"/>
    <w:p>
      <w:pPr>
        <w:pStyle w:val="Bibliography"/>
      </w:pPr>
      <w:r>
        <w:t xml:space="preserve">[72]</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97">
        <w:r>
          <w:rPr>
            <w:rStyle w:val="Hyperlink"/>
          </w:rPr>
          <w:t xml:space="preserve">https://doi.org/10.1016/j.jaa.2005.11.004</w:t>
        </w:r>
      </w:hyperlink>
      <w:r>
        <w:t xml:space="preserve">.</w:t>
      </w:r>
    </w:p>
    <w:bookmarkEnd w:id="198"/>
    <w:bookmarkStart w:id="199" w:name="ref-Fitzhugh_Phillips_Gjesfeld_2011"/>
    <w:p>
      <w:pPr>
        <w:pStyle w:val="Bibliography"/>
      </w:pPr>
      <w:r>
        <w:t xml:space="preserve">[73]</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99"/>
    <w:bookmarkStart w:id="201" w:name="ref-Lovis_Donahue_2011"/>
    <w:p>
      <w:pPr>
        <w:pStyle w:val="Bibliography"/>
      </w:pPr>
      <w:r>
        <w:t xml:space="preserve">[74]</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200">
        <w:r>
          <w:rPr>
            <w:rStyle w:val="Hyperlink"/>
          </w:rPr>
          <w:t xml:space="preserve">https://doi.org/10.2307/j.ctvdmwwz4.7</w:t>
        </w:r>
      </w:hyperlink>
      <w:r>
        <w:t xml:space="preserve">.</w:t>
      </w:r>
    </w:p>
    <w:bookmarkEnd w:id="201"/>
    <w:bookmarkStart w:id="203" w:name="ref-Hitchcock_Ebert_2011"/>
    <w:p>
      <w:pPr>
        <w:pStyle w:val="Bibliography"/>
      </w:pPr>
      <w:r>
        <w:t xml:space="preserve">[75]</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202">
        <w:r>
          <w:rPr>
            <w:rStyle w:val="Hyperlink"/>
          </w:rPr>
          <w:t xml:space="preserve">https://doi.org/10.2307/j.ctvdmwwz4.10</w:t>
        </w:r>
      </w:hyperlink>
      <w:r>
        <w:t xml:space="preserve">.</w:t>
      </w:r>
    </w:p>
    <w:bookmarkEnd w:id="203"/>
    <w:bookmarkStart w:id="205" w:name="ref-Romano_Lozano_Fern2022"/>
    <w:p>
      <w:pPr>
        <w:pStyle w:val="Bibliography"/>
      </w:pPr>
      <w:r>
        <w:t xml:space="preserve">[76]</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204">
        <w:r>
          <w:rPr>
            <w:rStyle w:val="Hyperlink"/>
          </w:rPr>
          <w:t xml:space="preserve">https://doi.org/10.1098/rstb.2020.0318</w:t>
        </w:r>
      </w:hyperlink>
      <w:r>
        <w:t xml:space="preserve">.</w:t>
      </w:r>
    </w:p>
    <w:bookmarkEnd w:id="205"/>
    <w:bookmarkStart w:id="207" w:name="ref-Kelly_2024"/>
    <w:p>
      <w:pPr>
        <w:pStyle w:val="Bibliography"/>
      </w:pPr>
      <w:r>
        <w:t xml:space="preserve">[77]</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206">
        <w:r>
          <w:rPr>
            <w:rStyle w:val="Hyperlink"/>
          </w:rPr>
          <w:t xml:space="preserve">https://doi.org/10.1111/tops.12762</w:t>
        </w:r>
      </w:hyperlink>
      <w:r>
        <w:t xml:space="preserve">.</w:t>
      </w:r>
    </w:p>
    <w:bookmarkEnd w:id="207"/>
    <w:bookmarkStart w:id="209" w:name="ref-Kinahan_2013"/>
    <w:p>
      <w:pPr>
        <w:pStyle w:val="Bibliography"/>
      </w:pPr>
      <w:r>
        <w:t xml:space="preserve">[78]</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208">
        <w:r>
          <w:rPr>
            <w:rStyle w:val="Hyperlink"/>
          </w:rPr>
          <w:t xml:space="preserve">https://doi.org/10.3213/2191-5784-10243</w:t>
        </w:r>
      </w:hyperlink>
      <w:r>
        <w:t xml:space="preserve">.</w:t>
      </w:r>
    </w:p>
    <w:bookmarkEnd w:id="209"/>
    <w:bookmarkStart w:id="211" w:name="ref-Newlander_2012"/>
    <w:p>
      <w:pPr>
        <w:pStyle w:val="Bibliography"/>
      </w:pPr>
      <w:r>
        <w:t xml:space="preserve">[79]</w:t>
      </w:r>
      <w:r>
        <w:t xml:space="preserve"> </w:t>
      </w:r>
      <w:r>
        <w:t xml:space="preserve">	</w:t>
      </w:r>
      <w:r>
        <w:t xml:space="preserve">Newlander KS.</w:t>
      </w:r>
      <w:r>
        <w:t xml:space="preserve"> </w:t>
      </w:r>
      <w:hyperlink r:id="rId210">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11"/>
    <w:bookmarkStart w:id="213" w:name="ref-Iizuka_Ferguson_Izuho_2022"/>
    <w:p>
      <w:pPr>
        <w:pStyle w:val="Bibliography"/>
      </w:pPr>
      <w:r>
        <w:t xml:space="preserve">[80]</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12">
        <w:r>
          <w:rPr>
            <w:rStyle w:val="Hyperlink"/>
          </w:rPr>
          <w:t xml:space="preserve">https://doi.org/10.1371/journal.pone.0265329</w:t>
        </w:r>
      </w:hyperlink>
      <w:r>
        <w:t xml:space="preserve">.</w:t>
      </w:r>
    </w:p>
    <w:bookmarkEnd w:id="213"/>
    <w:bookmarkStart w:id="215" w:name="ref-conkey_agg"/>
    <w:p>
      <w:pPr>
        <w:pStyle w:val="Bibliography"/>
      </w:pPr>
      <w:r>
        <w:t xml:space="preserve">[81]</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14">
        <w:r>
          <w:rPr>
            <w:rStyle w:val="Hyperlink"/>
          </w:rPr>
          <w:t xml:space="preserve">https://doi.org/10.1086/202540</w:t>
        </w:r>
      </w:hyperlink>
      <w:r>
        <w:t xml:space="preserve">.</w:t>
      </w:r>
    </w:p>
    <w:bookmarkEnd w:id="215"/>
    <w:bookmarkStart w:id="217" w:name="ref-Maher_Conkey_2019"/>
    <w:p>
      <w:pPr>
        <w:pStyle w:val="Bibliography"/>
      </w:pPr>
      <w:r>
        <w:t xml:space="preserve">[82]</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16">
        <w:r>
          <w:rPr>
            <w:rStyle w:val="Hyperlink"/>
          </w:rPr>
          <w:t xml:space="preserve">https://doi.org/10.1086/701523</w:t>
        </w:r>
      </w:hyperlink>
      <w:r>
        <w:t xml:space="preserve">.</w:t>
      </w:r>
    </w:p>
    <w:bookmarkEnd w:id="217"/>
    <w:bookmarkStart w:id="219" w:name="ref-bahn1982inter"/>
    <w:p>
      <w:pPr>
        <w:pStyle w:val="Bibliography"/>
      </w:pPr>
      <w:r>
        <w:t xml:space="preserve">[83]</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18">
        <w:r>
          <w:rPr>
            <w:rStyle w:val="Hyperlink"/>
          </w:rPr>
          <w:t xml:space="preserve">https://doi.org/10.1111/j.1468-0092.1982.tb00313.x</w:t>
        </w:r>
      </w:hyperlink>
      <w:r>
        <w:t xml:space="preserve">.</w:t>
      </w:r>
    </w:p>
    <w:bookmarkEnd w:id="219"/>
    <w:bookmarkStart w:id="221" w:name="ref-Bourdier_2013"/>
    <w:p>
      <w:pPr>
        <w:pStyle w:val="Bibliography"/>
      </w:pPr>
      <w:r>
        <w:t xml:space="preserve">[84]</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20">
        <w:r>
          <w:rPr>
            <w:rStyle w:val="Hyperlink"/>
          </w:rPr>
          <w:t xml:space="preserve">https://doi.org/10.1016/j.jaa.2013.05.005</w:t>
        </w:r>
      </w:hyperlink>
      <w:r>
        <w:t xml:space="preserve">.</w:t>
      </w:r>
    </w:p>
    <w:bookmarkEnd w:id="221"/>
    <w:bookmarkStart w:id="223" w:name="ref-Svoboda_2013"/>
    <w:p>
      <w:pPr>
        <w:pStyle w:val="Bibliography"/>
      </w:pPr>
      <w:r>
        <w:t xml:space="preserve">[85]</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22">
        <w:r>
          <w:rPr>
            <w:rStyle w:val="Hyperlink"/>
          </w:rPr>
          <w:t xml:space="preserve">https://doi.org/10.4000/palethnologie.4945</w:t>
        </w:r>
      </w:hyperlink>
      <w:r>
        <w:t xml:space="preserve">.</w:t>
      </w:r>
    </w:p>
    <w:bookmarkEnd w:id="223"/>
    <w:bookmarkStart w:id="225" w:name="ref-white1992rethinking"/>
    <w:p>
      <w:pPr>
        <w:pStyle w:val="Bibliography"/>
      </w:pPr>
      <w:r>
        <w:t xml:space="preserve">[86]</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24">
        <w:r>
          <w:rPr>
            <w:rStyle w:val="Hyperlink"/>
          </w:rPr>
          <w:t xml:space="preserve">https://doi.org/10.1086/202802</w:t>
        </w:r>
      </w:hyperlink>
      <w:r>
        <w:t xml:space="preserve">.</w:t>
      </w:r>
    </w:p>
    <w:bookmarkEnd w:id="225"/>
    <w:bookmarkStart w:id="226" w:name="X79d7c52b9cdbe72fc1b94e51c6ee6057d0c4a50"/>
    <w:p>
      <w:pPr>
        <w:pStyle w:val="Bibliography"/>
      </w:pPr>
      <w:r>
        <w:t xml:space="preserve">[87]</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26"/>
    <w:bookmarkStart w:id="228" w:name="ref-montet-white1994"/>
    <w:p>
      <w:pPr>
        <w:pStyle w:val="Bibliography"/>
      </w:pPr>
      <w:r>
        <w:t xml:space="preserve">[88]</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27">
        <w:r>
          <w:rPr>
            <w:rStyle w:val="Hyperlink"/>
          </w:rPr>
          <w:t xml:space="preserve">https://doi.org/10.1146/annurev.an.23.100194.002411</w:t>
        </w:r>
      </w:hyperlink>
      <w:r>
        <w:t xml:space="preserve">.</w:t>
      </w:r>
    </w:p>
    <w:bookmarkEnd w:id="228"/>
    <w:bookmarkStart w:id="230" w:name="ref-Frerebeau_2025"/>
    <w:p>
      <w:pPr>
        <w:pStyle w:val="Bibliography"/>
      </w:pPr>
      <w:r>
        <w:t xml:space="preserve">[89]</w:t>
      </w:r>
      <w:r>
        <w:t xml:space="preserve"> </w:t>
      </w:r>
      <w:r>
        <w:t xml:space="preserve">	</w:t>
      </w:r>
      <w:r>
        <w:t xml:space="preserve">Frerebeau N. Tabula: Analysis and visualization of archaeological count data 2025.</w:t>
      </w:r>
      <w:r>
        <w:t xml:space="preserve"> </w:t>
      </w:r>
      <w:hyperlink r:id="rId229">
        <w:r>
          <w:rPr>
            <w:rStyle w:val="Hyperlink"/>
          </w:rPr>
          <w:t xml:space="preserve">https://doi.org/10.5281/zenodo.15397990</w:t>
        </w:r>
      </w:hyperlink>
      <w:r>
        <w:t xml:space="preserve">.</w:t>
      </w:r>
    </w:p>
    <w:bookmarkEnd w:id="230"/>
    <w:bookmarkStart w:id="232" w:name="ref-Kintigh_1984"/>
    <w:p>
      <w:pPr>
        <w:pStyle w:val="Bibliography"/>
      </w:pPr>
      <w:r>
        <w:t xml:space="preserve">[90]</w:t>
      </w:r>
      <w:r>
        <w:t xml:space="preserve"> </w:t>
      </w:r>
      <w:r>
        <w:t xml:space="preserve">	</w:t>
      </w:r>
      <w:r>
        <w:t xml:space="preserve">Kintigh KW. Measuring archaeological diversity by comparison with simulated assemblages. American Antiquity 1984;49:44–54.</w:t>
      </w:r>
      <w:r>
        <w:t xml:space="preserve"> </w:t>
      </w:r>
      <w:hyperlink r:id="rId231">
        <w:r>
          <w:rPr>
            <w:rStyle w:val="Hyperlink"/>
          </w:rPr>
          <w:t xml:space="preserve">https://doi.org/10.2307/280511</w:t>
        </w:r>
      </w:hyperlink>
      <w:r>
        <w:t xml:space="preserve">.</w:t>
      </w:r>
    </w:p>
    <w:bookmarkEnd w:id="232"/>
    <w:bookmarkStart w:id="234" w:name="X8c17deb08b87fbfa26556dda630532ff62c8bd1"/>
    <w:p>
      <w:pPr>
        <w:pStyle w:val="Bibliography"/>
      </w:pPr>
      <w:r>
        <w:t xml:space="preserve">[91]</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33">
        <w:r>
          <w:rPr>
            <w:rStyle w:val="Hyperlink"/>
          </w:rPr>
          <w:t xml:space="preserve">https://doi.org/10.1038/s41467-024-51349-y</w:t>
        </w:r>
      </w:hyperlink>
      <w:r>
        <w:t xml:space="preserve">.</w:t>
      </w:r>
    </w:p>
    <w:bookmarkEnd w:id="234"/>
    <w:bookmarkStart w:id="236" w:name="ref-smith1992Design"/>
    <w:p>
      <w:pPr>
        <w:pStyle w:val="Bibliography"/>
      </w:pPr>
      <w:r>
        <w:t xml:space="preserve">[92]</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35">
        <w:r>
          <w:rPr>
            <w:rStyle w:val="Hyperlink"/>
          </w:rPr>
          <w:t xml:space="preserve">https://doi.org/10.1080/03122417.1992.11681454</w:t>
        </w:r>
      </w:hyperlink>
      <w:r>
        <w:t xml:space="preserve">.</w:t>
      </w:r>
    </w:p>
    <w:bookmarkEnd w:id="236"/>
    <w:bookmarkStart w:id="237" w:name="ref-hays1993symbol"/>
    <w:p>
      <w:pPr>
        <w:pStyle w:val="Bibliography"/>
      </w:pPr>
      <w:r>
        <w:t xml:space="preserve">[93]</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37"/>
    <w:bookmarkStart w:id="239" w:name="ref-McDonald_Veth_Lilley_2006"/>
    <w:p>
      <w:pPr>
        <w:pStyle w:val="Bibliography"/>
      </w:pPr>
      <w:r>
        <w:t xml:space="preserve">[94]</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38">
        <w:r>
          <w:rPr>
            <w:rStyle w:val="Hyperlink"/>
          </w:rPr>
          <w:t xml:space="preserve">https://doi.org/10.1002/9780470773475.ch5</w:t>
        </w:r>
      </w:hyperlink>
      <w:r>
        <w:t xml:space="preserve">.</w:t>
      </w:r>
    </w:p>
    <w:bookmarkEnd w:id="239"/>
    <w:bookmarkStart w:id="241" w:name="ref-Lourandos_1985"/>
    <w:p>
      <w:pPr>
        <w:pStyle w:val="Bibliography"/>
      </w:pPr>
      <w:r>
        <w:t xml:space="preserve">[95]</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40">
        <w:r>
          <w:rPr>
            <w:rStyle w:val="Hyperlink"/>
          </w:rPr>
          <w:t xml:space="preserve">https://doi.org/10.1016/B978-0-12-564750-2.50020-2</w:t>
        </w:r>
      </w:hyperlink>
      <w:r>
        <w:t xml:space="preserve">.</w:t>
      </w:r>
    </w:p>
    <w:bookmarkEnd w:id="241"/>
    <w:bookmarkStart w:id="243" w:name="ref-barton_clark_cohen1994"/>
    <w:p>
      <w:pPr>
        <w:pStyle w:val="Bibliography"/>
      </w:pPr>
      <w:r>
        <w:t xml:space="preserve">[96]</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42">
        <w:r>
          <w:rPr>
            <w:rStyle w:val="Hyperlink"/>
          </w:rPr>
          <w:t xml:space="preserve">https://doi.org/10.1080/00438243.1994.9980272</w:t>
        </w:r>
      </w:hyperlink>
      <w:r>
        <w:t xml:space="preserve">.</w:t>
      </w:r>
    </w:p>
    <w:bookmarkEnd w:id="243"/>
    <w:bookmarkStart w:id="245" w:name="ref-mcdonald2012social"/>
    <w:p>
      <w:pPr>
        <w:pStyle w:val="Bibliography"/>
      </w:pPr>
      <w:r>
        <w:t xml:space="preserve">[97]</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44">
        <w:r>
          <w:rPr>
            <w:rStyle w:val="Hyperlink"/>
          </w:rPr>
          <w:t xml:space="preserve">https://doi.org/10.1002/9781118253892.ch6</w:t>
        </w:r>
      </w:hyperlink>
      <w:r>
        <w:t xml:space="preserve">.</w:t>
      </w:r>
    </w:p>
    <w:bookmarkEnd w:id="245"/>
    <w:bookmarkStart w:id="247" w:name="ref-bernardini2005reconsidering"/>
    <w:p>
      <w:pPr>
        <w:pStyle w:val="Bibliography"/>
      </w:pPr>
      <w:r>
        <w:t xml:space="preserve">[98]</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46">
        <w:r>
          <w:rPr>
            <w:rStyle w:val="Hyperlink"/>
          </w:rPr>
          <w:t xml:space="preserve">https://doi.org/10.2307/40035267</w:t>
        </w:r>
      </w:hyperlink>
      <w:r>
        <w:t xml:space="preserve">.</w:t>
      </w:r>
    </w:p>
    <w:bookmarkEnd w:id="247"/>
    <w:bookmarkStart w:id="249" w:name="ref-wiessner1984reconsidering"/>
    <w:p>
      <w:pPr>
        <w:pStyle w:val="Bibliography"/>
      </w:pPr>
      <w:r>
        <w:t xml:space="preserve">[99]</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48">
        <w:r>
          <w:rPr>
            <w:rStyle w:val="Hyperlink"/>
          </w:rPr>
          <w:t xml:space="preserve">https://doi.org/10.1016/0278-4165(84)90002-3</w:t>
        </w:r>
      </w:hyperlink>
      <w:r>
        <w:t xml:space="preserve">.</w:t>
      </w:r>
    </w:p>
    <w:bookmarkEnd w:id="249"/>
    <w:bookmarkStart w:id="251" w:name="ref-smith1992"/>
    <w:p>
      <w:pPr>
        <w:pStyle w:val="Bibliography"/>
      </w:pPr>
      <w:r>
        <w:t xml:space="preserve">[100]</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50">
        <w:r>
          <w:rPr>
            <w:rStyle w:val="Hyperlink"/>
          </w:rPr>
          <w:t xml:space="preserve">https://doi.org/10.1080/03122417.1992.11681450</w:t>
        </w:r>
      </w:hyperlink>
      <w:r>
        <w:t xml:space="preserve">.</w:t>
      </w:r>
    </w:p>
    <w:bookmarkEnd w:id="251"/>
    <w:bookmarkStart w:id="253" w:name="X4fed35d53d406ce17aea32f9d6f163fcb563519"/>
    <w:p>
      <w:pPr>
        <w:pStyle w:val="Bibliography"/>
      </w:pPr>
      <w:r>
        <w:t xml:space="preserve">[101]</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52">
        <w:r>
          <w:rPr>
            <w:rStyle w:val="Hyperlink"/>
          </w:rPr>
          <w:t xml:space="preserve">https://doi.org/10.1007/978-4-431-55363-2_8</w:t>
        </w:r>
      </w:hyperlink>
      <w:r>
        <w:t xml:space="preserve">.</w:t>
      </w:r>
    </w:p>
    <w:bookmarkEnd w:id="253"/>
    <w:bookmarkStart w:id="254" w:name="ref-Cavalli_Sforza_Feldman_1981"/>
    <w:p>
      <w:pPr>
        <w:pStyle w:val="Bibliography"/>
      </w:pPr>
      <w:r>
        <w:t xml:space="preserve">[102]</w:t>
      </w:r>
      <w:r>
        <w:t xml:space="preserve"> </w:t>
      </w:r>
      <w:r>
        <w:t xml:space="preserve">	</w:t>
      </w:r>
      <w:r>
        <w:t xml:space="preserve">Cavalli-Sforza L, Feldman MW. Cultural transmission and evolution: A quantitative approach. Princeton University Press; 1981.</w:t>
      </w:r>
    </w:p>
    <w:bookmarkEnd w:id="254"/>
    <w:bookmarkStart w:id="255" w:name="ref-Boyd_Richerson_1985"/>
    <w:p>
      <w:pPr>
        <w:pStyle w:val="Bibliography"/>
      </w:pPr>
      <w:r>
        <w:t xml:space="preserve">[103]</w:t>
      </w:r>
      <w:r>
        <w:t xml:space="preserve"> </w:t>
      </w:r>
      <w:r>
        <w:t xml:space="preserve">	</w:t>
      </w:r>
      <w:r>
        <w:t xml:space="preserve">Boyd R, Richerson PJ. Culture and the evolutionary process. University of Chicago Press; 1985.</w:t>
      </w:r>
    </w:p>
    <w:bookmarkEnd w:id="255"/>
    <w:bookmarkStart w:id="256" w:name="ref-Richerson_Boyd_2005"/>
    <w:p>
      <w:pPr>
        <w:pStyle w:val="Bibliography"/>
      </w:pPr>
      <w:r>
        <w:t xml:space="preserve">[104]</w:t>
      </w:r>
      <w:r>
        <w:t xml:space="preserve"> </w:t>
      </w:r>
      <w:r>
        <w:t xml:space="preserve">	</w:t>
      </w:r>
      <w:r>
        <w:t xml:space="preserve">Richerson PJ, Boyd R. Not by genes alone: How culture transformed human evolution. University of Chicago Press; 2005.</w:t>
      </w:r>
    </w:p>
    <w:bookmarkEnd w:id="256"/>
    <w:bookmarkStart w:id="258" w:name="ref-Henrich_2004"/>
    <w:p>
      <w:pPr>
        <w:pStyle w:val="Bibliography"/>
      </w:pPr>
      <w:r>
        <w:t xml:space="preserve">[105]</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57">
        <w:r>
          <w:rPr>
            <w:rStyle w:val="Hyperlink"/>
          </w:rPr>
          <w:t xml:space="preserve">https://doi.org/10.2307/4128416</w:t>
        </w:r>
      </w:hyperlink>
      <w:r>
        <w:t xml:space="preserve">.</w:t>
      </w:r>
    </w:p>
    <w:bookmarkEnd w:id="258"/>
    <w:bookmarkStart w:id="260" w:name="ref-Migliano_2020"/>
    <w:p>
      <w:pPr>
        <w:pStyle w:val="Bibliography"/>
      </w:pPr>
      <w:r>
        <w:t xml:space="preserve">[106]</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59">
        <w:r>
          <w:rPr>
            <w:rStyle w:val="Hyperlink"/>
          </w:rPr>
          <w:t xml:space="preserve">https://doi.org/10.1126/sciadv.aax5913</w:t>
        </w:r>
      </w:hyperlink>
      <w:r>
        <w:t xml:space="preserve">.</w:t>
      </w:r>
    </w:p>
    <w:bookmarkEnd w:id="260"/>
    <w:bookmarkStart w:id="262" w:name="ref-Romano_Lozano_2020"/>
    <w:p>
      <w:pPr>
        <w:pStyle w:val="Bibliography"/>
      </w:pPr>
      <w:r>
        <w:t xml:space="preserve">[107]</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61">
        <w:r>
          <w:rPr>
            <w:rStyle w:val="Hyperlink"/>
          </w:rPr>
          <w:t xml:space="preserve">https://doi.org/10.1111/brv.12599</w:t>
        </w:r>
      </w:hyperlink>
      <w:r>
        <w:t xml:space="preserve">.</w:t>
      </w:r>
    </w:p>
    <w:bookmarkEnd w:id="262"/>
    <w:bookmarkStart w:id="264" w:name="ref-Buchanan_Hamilton_2023"/>
    <w:p>
      <w:pPr>
        <w:pStyle w:val="Bibliography"/>
      </w:pPr>
      <w:r>
        <w:t xml:space="preserve">[108]</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63">
        <w:r>
          <w:rPr>
            <w:rStyle w:val="Hyperlink"/>
          </w:rPr>
          <w:t xml:space="preserve">https://doi.org/10.1093/oxfordhb/9780198854265.013.34</w:t>
        </w:r>
      </w:hyperlink>
      <w:r>
        <w:t xml:space="preserve">.</w:t>
      </w:r>
    </w:p>
    <w:bookmarkEnd w:id="264"/>
    <w:bookmarkStart w:id="266" w:name="ref-Eerkens_Lipo_2005"/>
    <w:p>
      <w:pPr>
        <w:pStyle w:val="Bibliography"/>
      </w:pPr>
      <w:r>
        <w:t xml:space="preserve">[109]</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65">
        <w:r>
          <w:rPr>
            <w:rStyle w:val="Hyperlink"/>
          </w:rPr>
          <w:t xml:space="preserve">https://doi.org/10.1016/j.jaa.2005.08.001</w:t>
        </w:r>
      </w:hyperlink>
      <w:r>
        <w:t xml:space="preserve">.</w:t>
      </w:r>
    </w:p>
    <w:bookmarkEnd w:id="266"/>
    <w:bookmarkStart w:id="268" w:name="ref-Bentz_Dutkiewicz_2026"/>
    <w:p>
      <w:pPr>
        <w:pStyle w:val="Bibliography"/>
      </w:pPr>
      <w:r>
        <w:t xml:space="preserve">[110]</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7">
        <w:r>
          <w:rPr>
            <w:rStyle w:val="Hyperlink"/>
          </w:rPr>
          <w:t xml:space="preserve">https://doi.org/10.1073/pnas.2520385123</w:t>
        </w:r>
      </w:hyperlink>
      <w:r>
        <w:t xml:space="preserve">.</w:t>
      </w:r>
    </w:p>
    <w:bookmarkEnd w:id="268"/>
    <w:bookmarkStart w:id="270" w:name="ref-Bacon_2023"/>
    <w:p>
      <w:pPr>
        <w:pStyle w:val="Bibliography"/>
      </w:pPr>
      <w:r>
        <w:t xml:space="preserve">[111]</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9">
        <w:r>
          <w:rPr>
            <w:rStyle w:val="Hyperlink"/>
          </w:rPr>
          <w:t xml:space="preserve">https://doi.org/10.1017/S0959774322000415</w:t>
        </w:r>
      </w:hyperlink>
      <w:r>
        <w:t xml:space="preserve">.</w:t>
      </w:r>
    </w:p>
    <w:bookmarkEnd w:id="270"/>
    <w:bookmarkStart w:id="272" w:name="Xa4990169aeb885a690070ab4fd90972c31994f8"/>
    <w:p>
      <w:pPr>
        <w:pStyle w:val="Bibliography"/>
      </w:pPr>
      <w:r>
        <w:t xml:space="preserve">[112]</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71">
        <w:r>
          <w:rPr>
            <w:rStyle w:val="Hyperlink"/>
          </w:rPr>
          <w:t xml:space="preserve">https://doi.org/10.2139/ssrn.7053279</w:t>
        </w:r>
      </w:hyperlink>
      <w:r>
        <w:t xml:space="preserve">.</w:t>
      </w:r>
    </w:p>
    <w:bookmarkEnd w:id="272"/>
    <w:bookmarkStart w:id="274" w:name="X8ea620419c64d551554c48b7075c9934881930b"/>
    <w:p>
      <w:pPr>
        <w:pStyle w:val="Bibliography"/>
      </w:pPr>
      <w:r>
        <w:t xml:space="preserve">[113]</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73">
        <w:r>
          <w:rPr>
            <w:rStyle w:val="Hyperlink"/>
          </w:rPr>
          <w:t xml:space="preserve">https://doi.org/10.1007/s41982-023-00158-8</w:t>
        </w:r>
      </w:hyperlink>
      <w:r>
        <w:t xml:space="preserve">.</w:t>
      </w:r>
    </w:p>
    <w:bookmarkEnd w:id="274"/>
    <w:bookmarkStart w:id="276" w:name="ref-Magli_2024"/>
    <w:p>
      <w:pPr>
        <w:pStyle w:val="Bibliography"/>
      </w:pPr>
      <w:r>
        <w:t xml:space="preserve">[114]</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75">
        <w:r>
          <w:rPr>
            <w:rStyle w:val="Hyperlink"/>
          </w:rPr>
          <w:t xml:space="preserve">https://doi.org/10.1080/1751696X.2024.2441115</w:t>
        </w:r>
      </w:hyperlink>
      <w:r>
        <w:t xml:space="preserve">.</w:t>
      </w:r>
    </w:p>
    <w:bookmarkEnd w:id="276"/>
    <w:bookmarkStart w:id="278" w:name="ref-Nowell_2024_evidence"/>
    <w:p>
      <w:pPr>
        <w:pStyle w:val="Bibliography"/>
      </w:pPr>
      <w:r>
        <w:t xml:space="preserve">[115]</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7">
        <w:r>
          <w:rPr>
            <w:rStyle w:val="Hyperlink"/>
          </w:rPr>
          <w:t xml:space="preserve">https://doi.org/10.1017/S0959774324000155</w:t>
        </w:r>
      </w:hyperlink>
      <w:r>
        <w:t xml:space="preserve">.</w:t>
      </w:r>
    </w:p>
    <w:bookmarkEnd w:id="278"/>
    <w:bookmarkStart w:id="280" w:name="ref-Horiuchi_Takakura_2019"/>
    <w:p>
      <w:pPr>
        <w:pStyle w:val="Bibliography"/>
      </w:pPr>
      <w:r>
        <w:t xml:space="preserve">[116]</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9">
        <w:r>
          <w:rPr>
            <w:rStyle w:val="Hyperlink"/>
          </w:rPr>
          <w:t xml:space="preserve">https://doi.org/10.1007/978-981-13-8980-1_12</w:t>
        </w:r>
      </w:hyperlink>
      <w:r>
        <w:t xml:space="preserve">.</w:t>
      </w:r>
    </w:p>
    <w:bookmarkEnd w:id="280"/>
    <w:bookmarkStart w:id="281" w:name="ref-Rogers_2018"/>
    <w:p>
      <w:pPr>
        <w:pStyle w:val="Bibliography"/>
      </w:pPr>
      <w:r>
        <w:t xml:space="preserve">[117]</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81"/>
    <w:bookmarkStart w:id="283" w:name="X94f875be1b7e5d23641daff5d53857bec24e739"/>
    <w:p>
      <w:pPr>
        <w:pStyle w:val="Bibliography"/>
      </w:pPr>
      <w:r>
        <w:t xml:space="preserve">[118]</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82">
        <w:r>
          <w:rPr>
            <w:rStyle w:val="Hyperlink"/>
          </w:rPr>
          <w:t xml:space="preserve">https://doi.org/10.1016/j.jasrep.2021.103118</w:t>
        </w:r>
      </w:hyperlink>
      <w:r>
        <w:t xml:space="preserve">.</w:t>
      </w:r>
    </w:p>
    <w:bookmarkEnd w:id="283"/>
    <w:bookmarkStart w:id="285" w:name="ref-Gamble_1982"/>
    <w:p>
      <w:pPr>
        <w:pStyle w:val="Bibliography"/>
      </w:pPr>
      <w:r>
        <w:t xml:space="preserve">[119]</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84">
        <w:r>
          <w:rPr>
            <w:rStyle w:val="Hyperlink"/>
          </w:rPr>
          <w:t xml:space="preserve">https://doi.org/10.2307/2802103</w:t>
        </w:r>
      </w:hyperlink>
      <w:r>
        <w:t xml:space="preserve">.</w:t>
      </w:r>
    </w:p>
    <w:bookmarkEnd w:id="285"/>
    <w:bookmarkStart w:id="287" w:name="Xba346573845225b1b1d5ef358e2fea0d893a789"/>
    <w:p>
      <w:pPr>
        <w:pStyle w:val="Bibliography"/>
      </w:pPr>
      <w:r>
        <w:t xml:space="preserve">[120]</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86">
        <w:r>
          <w:rPr>
            <w:rStyle w:val="Hyperlink"/>
          </w:rPr>
          <w:t xml:space="preserve">https://doi.org/10.1016/j.quascirev.2018.12.011</w:t>
        </w:r>
      </w:hyperlink>
      <w:r>
        <w:t xml:space="preserve">.</w:t>
      </w:r>
    </w:p>
    <w:bookmarkEnd w:id="287"/>
    <w:bookmarkStart w:id="289" w:name="ref-Creanza_Kolodny_Feldman_2017"/>
    <w:p>
      <w:pPr>
        <w:pStyle w:val="Bibliography"/>
      </w:pPr>
      <w:r>
        <w:t xml:space="preserve">[121]</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8">
        <w:r>
          <w:rPr>
            <w:rStyle w:val="Hyperlink"/>
          </w:rPr>
          <w:t xml:space="preserve">https://doi.org/10.1098/rsif.2017.0171</w:t>
        </w:r>
      </w:hyperlink>
      <w:r>
        <w:t xml:space="preserve">.</w:t>
      </w:r>
    </w:p>
    <w:bookmarkEnd w:id="289"/>
    <w:bookmarkStart w:id="291" w:name="ref-Cullen_1996"/>
    <w:p>
      <w:pPr>
        <w:pStyle w:val="Bibliography"/>
      </w:pPr>
      <w:r>
        <w:t xml:space="preserve">[122]</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90">
        <w:r>
          <w:rPr>
            <w:rStyle w:val="Hyperlink"/>
          </w:rPr>
          <w:t xml:space="preserve">https://doi.org/10.1007/978-1-4757-9945-3_4</w:t>
        </w:r>
      </w:hyperlink>
      <w:r>
        <w:t xml:space="preserve">.</w:t>
      </w:r>
    </w:p>
    <w:bookmarkEnd w:id="291"/>
    <w:bookmarkStart w:id="293" w:name="ref-Hill_Wood_Baggio_Hurtado_Boyd_2014"/>
    <w:p>
      <w:pPr>
        <w:pStyle w:val="Bibliography"/>
      </w:pPr>
      <w:r>
        <w:t xml:space="preserve">[123]</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92">
        <w:r>
          <w:rPr>
            <w:rStyle w:val="Hyperlink"/>
          </w:rPr>
          <w:t xml:space="preserve">https://doi.org/10.1371/journal.pone.0102806</w:t>
        </w:r>
      </w:hyperlink>
      <w:r>
        <w:t xml:space="preserve">.</w:t>
      </w:r>
    </w:p>
    <w:bookmarkEnd w:id="293"/>
    <w:bookmarkStart w:id="295" w:name="ref-Derex_Boyd_2016"/>
    <w:p>
      <w:pPr>
        <w:pStyle w:val="Bibliography"/>
      </w:pPr>
      <w:r>
        <w:t xml:space="preserve">[124]</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94">
        <w:r>
          <w:rPr>
            <w:rStyle w:val="Hyperlink"/>
          </w:rPr>
          <w:t xml:space="preserve">https://doi.org/10.1073/pnas.1518798113</w:t>
        </w:r>
      </w:hyperlink>
      <w:r>
        <w:t xml:space="preserve">.</w:t>
      </w:r>
    </w:p>
    <w:bookmarkEnd w:id="295"/>
    <w:bookmarkStart w:id="296" w:name="ref-Von_Petzinger_2009"/>
    <w:p>
      <w:pPr>
        <w:pStyle w:val="Bibliography"/>
      </w:pPr>
      <w:r>
        <w:t xml:space="preserve">[125]</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96"/>
    <w:bookmarkStart w:id="298" w:name="ref-Herskind2023"/>
    <w:p>
      <w:pPr>
        <w:pStyle w:val="Bibliography"/>
      </w:pPr>
      <w:r>
        <w:t xml:space="preserve">[126]</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7">
        <w:r>
          <w:rPr>
            <w:rStyle w:val="Hyperlink"/>
          </w:rPr>
          <w:t xml:space="preserve">https://doi.org/10.3828/hgr.2023.12</w:t>
        </w:r>
      </w:hyperlink>
      <w:r>
        <w:t xml:space="preserve">.</w:t>
      </w:r>
    </w:p>
    <w:bookmarkEnd w:id="298"/>
    <w:bookmarkStart w:id="300" w:name="ref-Gravel-Miguel_Coward_2023"/>
    <w:p>
      <w:pPr>
        <w:pStyle w:val="Bibliography"/>
      </w:pPr>
      <w:r>
        <w:t xml:space="preserve">[127]</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9">
        <w:r>
          <w:rPr>
            <w:rStyle w:val="Hyperlink"/>
          </w:rPr>
          <w:t xml:space="preserve">https://doi.org/10.1093/oxfordhb/9780198854265.013.31</w:t>
        </w:r>
      </w:hyperlink>
      <w:r>
        <w:t xml:space="preserve">.</w:t>
      </w:r>
    </w:p>
    <w:bookmarkEnd w:id="300"/>
    <w:bookmarkStart w:id="302" w:name="X42e36537dda68556aeacf852410efd6ac3bb1ca"/>
    <w:p>
      <w:pPr>
        <w:pStyle w:val="Bibliography"/>
      </w:pPr>
      <w:r>
        <w:t xml:space="preserve">[128]</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301">
        <w:r>
          <w:rPr>
            <w:rStyle w:val="Hyperlink"/>
          </w:rPr>
          <w:t xml:space="preserve">https://doi.org/10.1007/s10816-023-09608-7</w:t>
        </w:r>
      </w:hyperlink>
      <w:r>
        <w:t xml:space="preserve">.</w:t>
      </w:r>
    </w:p>
    <w:bookmarkEnd w:id="302"/>
    <w:bookmarkEnd w:id="303"/>
    <w:bookmarkEnd w:id="304"/>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63" Target="http://www.jstor.org.offcampus.lib.washington.edu/stable/j.ctt1pk86rr.16" TargetMode="External" /><Relationship Type="http://schemas.openxmlformats.org/officeDocument/2006/relationships/hyperlink" Id="rId157" Target="http://www.jstor.org.offcampus.lib.washington.edu/stable/j.ctt1pk86rr.5" TargetMode="External" /><Relationship Type="http://schemas.openxmlformats.org/officeDocument/2006/relationships/hyperlink" Id="rId145"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5" Target="https://docs.ropensci.org/rnaturalearth/" TargetMode="External" /><Relationship Type="http://schemas.openxmlformats.org/officeDocument/2006/relationships/hyperlink" Id="rId238" Target="https://doi.org/10.1002/9780470773475.ch5" TargetMode="External" /><Relationship Type="http://schemas.openxmlformats.org/officeDocument/2006/relationships/hyperlink" Id="rId244" Target="https://doi.org/10.1002/9781118253892.ch6" TargetMode="External" /><Relationship Type="http://schemas.openxmlformats.org/officeDocument/2006/relationships/hyperlink" Id="rId149" Target="https://doi.org/10.1002/9781118445112.stat07841" TargetMode="External" /><Relationship Type="http://schemas.openxmlformats.org/officeDocument/2006/relationships/hyperlink" Id="rId131" Target="https://doi.org/10.1002/ajpa.1330350608" TargetMode="External" /><Relationship Type="http://schemas.openxmlformats.org/officeDocument/2006/relationships/hyperlink" Id="rId179" Target="https://doi.org/10.1002/ajpa.22832" TargetMode="External" /><Relationship Type="http://schemas.openxmlformats.org/officeDocument/2006/relationships/hyperlink" Id="rId110" Target="https://doi.org/10.1002/jqs.3236" TargetMode="External" /><Relationship Type="http://schemas.openxmlformats.org/officeDocument/2006/relationships/hyperlink" Id="rId143" Target="https://doi.org/10.1002/spe.4380211102" TargetMode="External" /><Relationship Type="http://schemas.openxmlformats.org/officeDocument/2006/relationships/hyperlink" Id="rId290" Target="https://doi.org/10.1007/978-1-4757-9945-3_4" TargetMode="External" /><Relationship Type="http://schemas.openxmlformats.org/officeDocument/2006/relationships/hyperlink" Id="rId86" Target="https://doi.org/10.1007/978-3-319-51726-1_3441-1" TargetMode="External" /><Relationship Type="http://schemas.openxmlformats.org/officeDocument/2006/relationships/hyperlink" Id="rId252" Target="https://doi.org/10.1007/978-4-431-55363-2_8" TargetMode="External" /><Relationship Type="http://schemas.openxmlformats.org/officeDocument/2006/relationships/hyperlink" Id="rId279" Target="https://doi.org/10.1007/978-981-13-8980-1_12" TargetMode="External" /><Relationship Type="http://schemas.openxmlformats.org/officeDocument/2006/relationships/hyperlink" Id="rId166" Target="https://doi.org/10.1007/s10814-013-9068-y" TargetMode="External" /><Relationship Type="http://schemas.openxmlformats.org/officeDocument/2006/relationships/hyperlink" Id="rId153" Target="https://doi.org/10.1007/s10816-015-9272-9" TargetMode="External" /><Relationship Type="http://schemas.openxmlformats.org/officeDocument/2006/relationships/hyperlink" Id="rId301" Target="https://doi.org/10.1007/s10816-023-09608-7" TargetMode="External" /><Relationship Type="http://schemas.openxmlformats.org/officeDocument/2006/relationships/hyperlink" Id="rId129" Target="https://doi.org/10.1007/s12520-018-0742-3" TargetMode="External" /><Relationship Type="http://schemas.openxmlformats.org/officeDocument/2006/relationships/hyperlink" Id="rId273" Target="https://doi.org/10.1007/s41982-023-00158-8" TargetMode="External" /><Relationship Type="http://schemas.openxmlformats.org/officeDocument/2006/relationships/hyperlink" Id="rId119" Target="https://doi.org/10.1007/s41982-025-00246-x" TargetMode="External" /><Relationship Type="http://schemas.openxmlformats.org/officeDocument/2006/relationships/hyperlink" Id="rId248" Target="https://doi.org/10.1016/0278-4165(84)90002-3" TargetMode="External" /><Relationship Type="http://schemas.openxmlformats.org/officeDocument/2006/relationships/hyperlink" Id="rId161" Target="https://doi.org/10.1016/B978-0-12-564750-2.50006-8" TargetMode="External" /><Relationship Type="http://schemas.openxmlformats.org/officeDocument/2006/relationships/hyperlink" Id="rId182" Target="https://doi.org/10.1016/B978-0-12-564750-2.50016-0" TargetMode="External" /><Relationship Type="http://schemas.openxmlformats.org/officeDocument/2006/relationships/hyperlink" Id="rId240" Target="https://doi.org/10.1016/B978-0-12-564750-2.50020-2" TargetMode="External" /><Relationship Type="http://schemas.openxmlformats.org/officeDocument/2006/relationships/hyperlink" Id="rId151" Target="https://doi.org/10.1016/j.evolhumbehav.2014.09.006" TargetMode="External" /><Relationship Type="http://schemas.openxmlformats.org/officeDocument/2006/relationships/hyperlink" Id="rId168" Target="https://doi.org/10.1016/j.evolhumbehav.2022.07.003" TargetMode="External" /><Relationship Type="http://schemas.openxmlformats.org/officeDocument/2006/relationships/hyperlink" Id="rId265" Target="https://doi.org/10.1016/j.jaa.2005.08.001" TargetMode="External" /><Relationship Type="http://schemas.openxmlformats.org/officeDocument/2006/relationships/hyperlink" Id="rId197" Target="https://doi.org/10.1016/j.jaa.2005.11.004" TargetMode="External" /><Relationship Type="http://schemas.openxmlformats.org/officeDocument/2006/relationships/hyperlink" Id="rId22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5" Target="https://doi.org/10.1016/j.jas.2025.106281" TargetMode="External" /><Relationship Type="http://schemas.openxmlformats.org/officeDocument/2006/relationships/hyperlink" Id="rId282" Target="https://doi.org/10.1016/j.jasrep.2021.103118" TargetMode="External" /><Relationship Type="http://schemas.openxmlformats.org/officeDocument/2006/relationships/hyperlink" Id="rId195" Target="https://doi.org/10.1016/j.jasrep.2024.104798" TargetMode="External" /><Relationship Type="http://schemas.openxmlformats.org/officeDocument/2006/relationships/hyperlink" Id="rId108" Target="https://doi.org/10.1016/j.jhevol.2011.06.005" TargetMode="External" /><Relationship Type="http://schemas.openxmlformats.org/officeDocument/2006/relationships/hyperlink" Id="rId100" Target="https://doi.org/10.1016/j.jhevol.2012.10.001" TargetMode="External" /><Relationship Type="http://schemas.openxmlformats.org/officeDocument/2006/relationships/hyperlink" Id="rId93" Target="https://doi.org/10.1016/j.qeh.2024.100037" TargetMode="External" /><Relationship Type="http://schemas.openxmlformats.org/officeDocument/2006/relationships/hyperlink" Id="rId170"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1" Target="https://doi.org/10.1016/j.quascirev.2009.11.015" TargetMode="External" /><Relationship Type="http://schemas.openxmlformats.org/officeDocument/2006/relationships/hyperlink" Id="rId286"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85" Target="https://doi.org/10.1017/CBO9780511558252.004" TargetMode="External" /><Relationship Type="http://schemas.openxmlformats.org/officeDocument/2006/relationships/hyperlink" Id="rId127" Target="https://doi.org/10.1017/RDC.2020.95" TargetMode="External" /><Relationship Type="http://schemas.openxmlformats.org/officeDocument/2006/relationships/hyperlink" Id="rId172" Target="https://doi.org/10.1017/S0079497X00006265" TargetMode="External" /><Relationship Type="http://schemas.openxmlformats.org/officeDocument/2006/relationships/hyperlink" Id="rId269" Target="https://doi.org/10.1017/S0959774322000415" TargetMode="External" /><Relationship Type="http://schemas.openxmlformats.org/officeDocument/2006/relationships/hyperlink" Id="rId277" Target="https://doi.org/10.1017/S0959774324000155" TargetMode="External" /><Relationship Type="http://schemas.openxmlformats.org/officeDocument/2006/relationships/hyperlink" Id="rId88" Target="https://doi.org/10.1017/ppr.2019.11" TargetMode="External" /><Relationship Type="http://schemas.openxmlformats.org/officeDocument/2006/relationships/hyperlink" Id="rId112" Target="https://doi.org/10.1038/nature03585" TargetMode="External" /><Relationship Type="http://schemas.openxmlformats.org/officeDocument/2006/relationships/hyperlink" Id="rId23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94" Target="https://doi.org/10.1073/pnas.1518798113" TargetMode="External" /><Relationship Type="http://schemas.openxmlformats.org/officeDocument/2006/relationships/hyperlink" Id="rId267" Target="https://doi.org/10.1073/pnas.2520385123" TargetMode="External" /><Relationship Type="http://schemas.openxmlformats.org/officeDocument/2006/relationships/hyperlink" Id="rId242" Target="https://doi.org/10.1080/00438243.1994.9980272" TargetMode="External" /><Relationship Type="http://schemas.openxmlformats.org/officeDocument/2006/relationships/hyperlink" Id="rId250" Target="https://doi.org/10.1080/03122417.1992.11681450" TargetMode="External" /><Relationship Type="http://schemas.openxmlformats.org/officeDocument/2006/relationships/hyperlink" Id="rId235" Target="https://doi.org/10.1080/03122417.1992.11681454" TargetMode="External" /><Relationship Type="http://schemas.openxmlformats.org/officeDocument/2006/relationships/hyperlink" Id="rId275" Target="https://doi.org/10.1080/1751696X.2024.2441115" TargetMode="External" /><Relationship Type="http://schemas.openxmlformats.org/officeDocument/2006/relationships/hyperlink" Id="rId214" Target="https://doi.org/10.1086/202540" TargetMode="External" /><Relationship Type="http://schemas.openxmlformats.org/officeDocument/2006/relationships/hyperlink" Id="rId224" Target="https://doi.org/10.1086/202802" TargetMode="External" /><Relationship Type="http://schemas.openxmlformats.org/officeDocument/2006/relationships/hyperlink" Id="rId216" Target="https://doi.org/10.1086/701523" TargetMode="External" /><Relationship Type="http://schemas.openxmlformats.org/officeDocument/2006/relationships/hyperlink" Id="rId193" Target="https://doi.org/10.1086/jar.39.3.3629672" TargetMode="External" /><Relationship Type="http://schemas.openxmlformats.org/officeDocument/2006/relationships/hyperlink" Id="rId191" Target="https://doi.org/10.1086/jar.46.2.3630069" TargetMode="External" /><Relationship Type="http://schemas.openxmlformats.org/officeDocument/2006/relationships/hyperlink" Id="rId299" Target="https://doi.org/10.1093/oxfordhb/9780198854265.013.31" TargetMode="External" /><Relationship Type="http://schemas.openxmlformats.org/officeDocument/2006/relationships/hyperlink" Id="rId263" Target="https://doi.org/10.1093/oxfordhb/9780198854265.013.34" TargetMode="External" /><Relationship Type="http://schemas.openxmlformats.org/officeDocument/2006/relationships/hyperlink" Id="rId288" Target="https://doi.org/10.1098/rsif.2017.0171" TargetMode="External" /><Relationship Type="http://schemas.openxmlformats.org/officeDocument/2006/relationships/hyperlink" Id="rId204" Target="https://doi.org/10.1098/rstb.2020.0318" TargetMode="External" /><Relationship Type="http://schemas.openxmlformats.org/officeDocument/2006/relationships/hyperlink" Id="rId261" Target="https://doi.org/10.1111/brv.12599" TargetMode="External" /><Relationship Type="http://schemas.openxmlformats.org/officeDocument/2006/relationships/hyperlink" Id="rId218" Target="https://doi.org/10.1111/j.1468-0092.1982.tb00313.x" TargetMode="External" /><Relationship Type="http://schemas.openxmlformats.org/officeDocument/2006/relationships/hyperlink" Id="rId139" Target="https://doi.org/10.1111/j.1502-3931.1988.tb01756.x" TargetMode="External" /><Relationship Type="http://schemas.openxmlformats.org/officeDocument/2006/relationships/hyperlink" Id="rId206" Target="https://doi.org/10.1111/tops.12762" TargetMode="External" /><Relationship Type="http://schemas.openxmlformats.org/officeDocument/2006/relationships/hyperlink" Id="rId259" Target="https://doi.org/10.1126/sciadv.aax5913" TargetMode="External" /><Relationship Type="http://schemas.openxmlformats.org/officeDocument/2006/relationships/hyperlink" Id="rId141" Target="https://doi.org/10.1146/annurev-anthro-102116-041423" TargetMode="External" /><Relationship Type="http://schemas.openxmlformats.org/officeDocument/2006/relationships/hyperlink" Id="rId22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7" Target="https://doi.org/10.1179/sea.2010.29.1.013" TargetMode="External" /><Relationship Type="http://schemas.openxmlformats.org/officeDocument/2006/relationships/hyperlink" Id="rId292" Target="https://doi.org/10.1371/journal.pone.0102806" TargetMode="External" /><Relationship Type="http://schemas.openxmlformats.org/officeDocument/2006/relationships/hyperlink" Id="rId135" Target="https://doi.org/10.1371/journal.pone.0121166" TargetMode="External" /><Relationship Type="http://schemas.openxmlformats.org/officeDocument/2006/relationships/hyperlink" Id="rId102" Target="https://doi.org/10.1371/journal.pone.0189241" TargetMode="External" /><Relationship Type="http://schemas.openxmlformats.org/officeDocument/2006/relationships/hyperlink" Id="rId114" Target="https://doi.org/10.1371/journal.pone.0194097" TargetMode="External" /><Relationship Type="http://schemas.openxmlformats.org/officeDocument/2006/relationships/hyperlink" Id="rId98" Target="https://doi.org/10.1371/journal.pone.0211562" TargetMode="External" /><Relationship Type="http://schemas.openxmlformats.org/officeDocument/2006/relationships/hyperlink" Id="rId21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6" Target="https://doi.org/10.1371/journal.pone.0345202" TargetMode="External" /><Relationship Type="http://schemas.openxmlformats.org/officeDocument/2006/relationships/hyperlink" Id="rId137" Target="https://doi.org/10.18637/jss.v025.i03" TargetMode="External" /><Relationship Type="http://schemas.openxmlformats.org/officeDocument/2006/relationships/hyperlink" Id="rId271" Target="https://doi.org/10.2139/ssrn.7053279" TargetMode="External" /><Relationship Type="http://schemas.openxmlformats.org/officeDocument/2006/relationships/hyperlink" Id="rId187" Target="https://doi.org/10.2307/279544" TargetMode="External" /><Relationship Type="http://schemas.openxmlformats.org/officeDocument/2006/relationships/hyperlink" Id="rId189" Target="https://doi.org/10.2307/2800797" TargetMode="External" /><Relationship Type="http://schemas.openxmlformats.org/officeDocument/2006/relationships/hyperlink" Id="rId284" Target="https://doi.org/10.2307/2802103" TargetMode="External" /><Relationship Type="http://schemas.openxmlformats.org/officeDocument/2006/relationships/hyperlink" Id="rId231" Target="https://doi.org/10.2307/280511" TargetMode="External" /><Relationship Type="http://schemas.openxmlformats.org/officeDocument/2006/relationships/hyperlink" Id="rId159" Target="https://doi.org/10.2307/3034956" TargetMode="External" /><Relationship Type="http://schemas.openxmlformats.org/officeDocument/2006/relationships/hyperlink" Id="rId246" Target="https://doi.org/10.2307/40035267" TargetMode="External" /><Relationship Type="http://schemas.openxmlformats.org/officeDocument/2006/relationships/hyperlink" Id="rId257" Target="https://doi.org/10.2307/4128416" TargetMode="External" /><Relationship Type="http://schemas.openxmlformats.org/officeDocument/2006/relationships/hyperlink" Id="rId174" Target="https://doi.org/10.2307/j.ctv24q4z2g.5" TargetMode="External" /><Relationship Type="http://schemas.openxmlformats.org/officeDocument/2006/relationships/hyperlink" Id="rId202" Target="https://doi.org/10.2307/j.ctvdmwwz4.10" TargetMode="External" /><Relationship Type="http://schemas.openxmlformats.org/officeDocument/2006/relationships/hyperlink" Id="rId200" Target="https://doi.org/10.2307/j.ctvdmwwz4.7" TargetMode="External" /><Relationship Type="http://schemas.openxmlformats.org/officeDocument/2006/relationships/hyperlink" Id="rId106" Target="https://doi.org/10.30861/9781841718309" TargetMode="External" /><Relationship Type="http://schemas.openxmlformats.org/officeDocument/2006/relationships/hyperlink" Id="rId208" Target="https://doi.org/10.3213/2191-5784-10243" TargetMode="External" /><Relationship Type="http://schemas.openxmlformats.org/officeDocument/2006/relationships/hyperlink" Id="rId133" Target="https://doi.org/10.32614/CRAN.package.vegan" TargetMode="External" /><Relationship Type="http://schemas.openxmlformats.org/officeDocument/2006/relationships/hyperlink" Id="rId123" Target="https://doi.org/10.32614/rj-2018-009" TargetMode="External" /><Relationship Type="http://schemas.openxmlformats.org/officeDocument/2006/relationships/hyperlink" Id="rId297" Target="https://doi.org/10.3828/hgr.2023.12" TargetMode="External" /><Relationship Type="http://schemas.openxmlformats.org/officeDocument/2006/relationships/hyperlink" Id="rId222" Target="https://doi.org/10.4000/palethnologie.4945" TargetMode="External" /><Relationship Type="http://schemas.openxmlformats.org/officeDocument/2006/relationships/hyperlink" Id="rId117" Target="https://doi.org/10.4000/palethnologie.736" TargetMode="External" /><Relationship Type="http://schemas.openxmlformats.org/officeDocument/2006/relationships/hyperlink" Id="rId90" Target="https://doi.org/10.4436/JASS.98021" TargetMode="External" /><Relationship Type="http://schemas.openxmlformats.org/officeDocument/2006/relationships/hyperlink" Id="rId229" Target="https://doi.org/10.5281/zenodo.15397990" TargetMode="External" /><Relationship Type="http://schemas.openxmlformats.org/officeDocument/2006/relationships/hyperlink" Id="rId104" Target="https://doi.org/10.7485/QU65_1" TargetMode="External" /><Relationship Type="http://schemas.openxmlformats.org/officeDocument/2006/relationships/hyperlink" Id="rId147" Target="https://igraph.org" TargetMode="External" /><Relationship Type="http://schemas.openxmlformats.org/officeDocument/2006/relationships/hyperlink" Id="rId21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63" Target="http://www.jstor.org.offcampus.lib.washington.edu/stable/j.ctt1pk86rr.16" TargetMode="External" /><Relationship Type="http://schemas.openxmlformats.org/officeDocument/2006/relationships/hyperlink" Id="rId157" Target="http://www.jstor.org.offcampus.lib.washington.edu/stable/j.ctt1pk86rr.5" TargetMode="External" /><Relationship Type="http://schemas.openxmlformats.org/officeDocument/2006/relationships/hyperlink" Id="rId145"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5" Target="https://docs.ropensci.org/rnaturalearth/" TargetMode="External" /><Relationship Type="http://schemas.openxmlformats.org/officeDocument/2006/relationships/hyperlink" Id="rId238" Target="https://doi.org/10.1002/9780470773475.ch5" TargetMode="External" /><Relationship Type="http://schemas.openxmlformats.org/officeDocument/2006/relationships/hyperlink" Id="rId244" Target="https://doi.org/10.1002/9781118253892.ch6" TargetMode="External" /><Relationship Type="http://schemas.openxmlformats.org/officeDocument/2006/relationships/hyperlink" Id="rId149" Target="https://doi.org/10.1002/9781118445112.stat07841" TargetMode="External" /><Relationship Type="http://schemas.openxmlformats.org/officeDocument/2006/relationships/hyperlink" Id="rId131" Target="https://doi.org/10.1002/ajpa.1330350608" TargetMode="External" /><Relationship Type="http://schemas.openxmlformats.org/officeDocument/2006/relationships/hyperlink" Id="rId179" Target="https://doi.org/10.1002/ajpa.22832" TargetMode="External" /><Relationship Type="http://schemas.openxmlformats.org/officeDocument/2006/relationships/hyperlink" Id="rId110" Target="https://doi.org/10.1002/jqs.3236" TargetMode="External" /><Relationship Type="http://schemas.openxmlformats.org/officeDocument/2006/relationships/hyperlink" Id="rId143" Target="https://doi.org/10.1002/spe.4380211102" TargetMode="External" /><Relationship Type="http://schemas.openxmlformats.org/officeDocument/2006/relationships/hyperlink" Id="rId290" Target="https://doi.org/10.1007/978-1-4757-9945-3_4" TargetMode="External" /><Relationship Type="http://schemas.openxmlformats.org/officeDocument/2006/relationships/hyperlink" Id="rId86" Target="https://doi.org/10.1007/978-3-319-51726-1_3441-1" TargetMode="External" /><Relationship Type="http://schemas.openxmlformats.org/officeDocument/2006/relationships/hyperlink" Id="rId252" Target="https://doi.org/10.1007/978-4-431-55363-2_8" TargetMode="External" /><Relationship Type="http://schemas.openxmlformats.org/officeDocument/2006/relationships/hyperlink" Id="rId279" Target="https://doi.org/10.1007/978-981-13-8980-1_12" TargetMode="External" /><Relationship Type="http://schemas.openxmlformats.org/officeDocument/2006/relationships/hyperlink" Id="rId166" Target="https://doi.org/10.1007/s10814-013-9068-y" TargetMode="External" /><Relationship Type="http://schemas.openxmlformats.org/officeDocument/2006/relationships/hyperlink" Id="rId153" Target="https://doi.org/10.1007/s10816-015-9272-9" TargetMode="External" /><Relationship Type="http://schemas.openxmlformats.org/officeDocument/2006/relationships/hyperlink" Id="rId301" Target="https://doi.org/10.1007/s10816-023-09608-7" TargetMode="External" /><Relationship Type="http://schemas.openxmlformats.org/officeDocument/2006/relationships/hyperlink" Id="rId129" Target="https://doi.org/10.1007/s12520-018-0742-3" TargetMode="External" /><Relationship Type="http://schemas.openxmlformats.org/officeDocument/2006/relationships/hyperlink" Id="rId273" Target="https://doi.org/10.1007/s41982-023-00158-8" TargetMode="External" /><Relationship Type="http://schemas.openxmlformats.org/officeDocument/2006/relationships/hyperlink" Id="rId119" Target="https://doi.org/10.1007/s41982-025-00246-x" TargetMode="External" /><Relationship Type="http://schemas.openxmlformats.org/officeDocument/2006/relationships/hyperlink" Id="rId248" Target="https://doi.org/10.1016/0278-4165(84)90002-3" TargetMode="External" /><Relationship Type="http://schemas.openxmlformats.org/officeDocument/2006/relationships/hyperlink" Id="rId161" Target="https://doi.org/10.1016/B978-0-12-564750-2.50006-8" TargetMode="External" /><Relationship Type="http://schemas.openxmlformats.org/officeDocument/2006/relationships/hyperlink" Id="rId182" Target="https://doi.org/10.1016/B978-0-12-564750-2.50016-0" TargetMode="External" /><Relationship Type="http://schemas.openxmlformats.org/officeDocument/2006/relationships/hyperlink" Id="rId240" Target="https://doi.org/10.1016/B978-0-12-564750-2.50020-2" TargetMode="External" /><Relationship Type="http://schemas.openxmlformats.org/officeDocument/2006/relationships/hyperlink" Id="rId151" Target="https://doi.org/10.1016/j.evolhumbehav.2014.09.006" TargetMode="External" /><Relationship Type="http://schemas.openxmlformats.org/officeDocument/2006/relationships/hyperlink" Id="rId168" Target="https://doi.org/10.1016/j.evolhumbehav.2022.07.003" TargetMode="External" /><Relationship Type="http://schemas.openxmlformats.org/officeDocument/2006/relationships/hyperlink" Id="rId265" Target="https://doi.org/10.1016/j.jaa.2005.08.001" TargetMode="External" /><Relationship Type="http://schemas.openxmlformats.org/officeDocument/2006/relationships/hyperlink" Id="rId197" Target="https://doi.org/10.1016/j.jaa.2005.11.004" TargetMode="External" /><Relationship Type="http://schemas.openxmlformats.org/officeDocument/2006/relationships/hyperlink" Id="rId22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5" Target="https://doi.org/10.1016/j.jas.2025.106281" TargetMode="External" /><Relationship Type="http://schemas.openxmlformats.org/officeDocument/2006/relationships/hyperlink" Id="rId282" Target="https://doi.org/10.1016/j.jasrep.2021.103118" TargetMode="External" /><Relationship Type="http://schemas.openxmlformats.org/officeDocument/2006/relationships/hyperlink" Id="rId195" Target="https://doi.org/10.1016/j.jasrep.2024.104798" TargetMode="External" /><Relationship Type="http://schemas.openxmlformats.org/officeDocument/2006/relationships/hyperlink" Id="rId108" Target="https://doi.org/10.1016/j.jhevol.2011.06.005" TargetMode="External" /><Relationship Type="http://schemas.openxmlformats.org/officeDocument/2006/relationships/hyperlink" Id="rId100" Target="https://doi.org/10.1016/j.jhevol.2012.10.001" TargetMode="External" /><Relationship Type="http://schemas.openxmlformats.org/officeDocument/2006/relationships/hyperlink" Id="rId93" Target="https://doi.org/10.1016/j.qeh.2024.100037" TargetMode="External" /><Relationship Type="http://schemas.openxmlformats.org/officeDocument/2006/relationships/hyperlink" Id="rId170"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1" Target="https://doi.org/10.1016/j.quascirev.2009.11.015" TargetMode="External" /><Relationship Type="http://schemas.openxmlformats.org/officeDocument/2006/relationships/hyperlink" Id="rId286"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85" Target="https://doi.org/10.1017/CBO9780511558252.004" TargetMode="External" /><Relationship Type="http://schemas.openxmlformats.org/officeDocument/2006/relationships/hyperlink" Id="rId127" Target="https://doi.org/10.1017/RDC.2020.95" TargetMode="External" /><Relationship Type="http://schemas.openxmlformats.org/officeDocument/2006/relationships/hyperlink" Id="rId172" Target="https://doi.org/10.1017/S0079497X00006265" TargetMode="External" /><Relationship Type="http://schemas.openxmlformats.org/officeDocument/2006/relationships/hyperlink" Id="rId269" Target="https://doi.org/10.1017/S0959774322000415" TargetMode="External" /><Relationship Type="http://schemas.openxmlformats.org/officeDocument/2006/relationships/hyperlink" Id="rId277" Target="https://doi.org/10.1017/S0959774324000155" TargetMode="External" /><Relationship Type="http://schemas.openxmlformats.org/officeDocument/2006/relationships/hyperlink" Id="rId88" Target="https://doi.org/10.1017/ppr.2019.11" TargetMode="External" /><Relationship Type="http://schemas.openxmlformats.org/officeDocument/2006/relationships/hyperlink" Id="rId112" Target="https://doi.org/10.1038/nature03585" TargetMode="External" /><Relationship Type="http://schemas.openxmlformats.org/officeDocument/2006/relationships/hyperlink" Id="rId23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94" Target="https://doi.org/10.1073/pnas.1518798113" TargetMode="External" /><Relationship Type="http://schemas.openxmlformats.org/officeDocument/2006/relationships/hyperlink" Id="rId267" Target="https://doi.org/10.1073/pnas.2520385123" TargetMode="External" /><Relationship Type="http://schemas.openxmlformats.org/officeDocument/2006/relationships/hyperlink" Id="rId242" Target="https://doi.org/10.1080/00438243.1994.9980272" TargetMode="External" /><Relationship Type="http://schemas.openxmlformats.org/officeDocument/2006/relationships/hyperlink" Id="rId250" Target="https://doi.org/10.1080/03122417.1992.11681450" TargetMode="External" /><Relationship Type="http://schemas.openxmlformats.org/officeDocument/2006/relationships/hyperlink" Id="rId235" Target="https://doi.org/10.1080/03122417.1992.11681454" TargetMode="External" /><Relationship Type="http://schemas.openxmlformats.org/officeDocument/2006/relationships/hyperlink" Id="rId275" Target="https://doi.org/10.1080/1751696X.2024.2441115" TargetMode="External" /><Relationship Type="http://schemas.openxmlformats.org/officeDocument/2006/relationships/hyperlink" Id="rId214" Target="https://doi.org/10.1086/202540" TargetMode="External" /><Relationship Type="http://schemas.openxmlformats.org/officeDocument/2006/relationships/hyperlink" Id="rId224" Target="https://doi.org/10.1086/202802" TargetMode="External" /><Relationship Type="http://schemas.openxmlformats.org/officeDocument/2006/relationships/hyperlink" Id="rId216" Target="https://doi.org/10.1086/701523" TargetMode="External" /><Relationship Type="http://schemas.openxmlformats.org/officeDocument/2006/relationships/hyperlink" Id="rId193" Target="https://doi.org/10.1086/jar.39.3.3629672" TargetMode="External" /><Relationship Type="http://schemas.openxmlformats.org/officeDocument/2006/relationships/hyperlink" Id="rId191" Target="https://doi.org/10.1086/jar.46.2.3630069" TargetMode="External" /><Relationship Type="http://schemas.openxmlformats.org/officeDocument/2006/relationships/hyperlink" Id="rId299" Target="https://doi.org/10.1093/oxfordhb/9780198854265.013.31" TargetMode="External" /><Relationship Type="http://schemas.openxmlformats.org/officeDocument/2006/relationships/hyperlink" Id="rId263" Target="https://doi.org/10.1093/oxfordhb/9780198854265.013.34" TargetMode="External" /><Relationship Type="http://schemas.openxmlformats.org/officeDocument/2006/relationships/hyperlink" Id="rId288" Target="https://doi.org/10.1098/rsif.2017.0171" TargetMode="External" /><Relationship Type="http://schemas.openxmlformats.org/officeDocument/2006/relationships/hyperlink" Id="rId204" Target="https://doi.org/10.1098/rstb.2020.0318" TargetMode="External" /><Relationship Type="http://schemas.openxmlformats.org/officeDocument/2006/relationships/hyperlink" Id="rId261" Target="https://doi.org/10.1111/brv.12599" TargetMode="External" /><Relationship Type="http://schemas.openxmlformats.org/officeDocument/2006/relationships/hyperlink" Id="rId218" Target="https://doi.org/10.1111/j.1468-0092.1982.tb00313.x" TargetMode="External" /><Relationship Type="http://schemas.openxmlformats.org/officeDocument/2006/relationships/hyperlink" Id="rId139" Target="https://doi.org/10.1111/j.1502-3931.1988.tb01756.x" TargetMode="External" /><Relationship Type="http://schemas.openxmlformats.org/officeDocument/2006/relationships/hyperlink" Id="rId206" Target="https://doi.org/10.1111/tops.12762" TargetMode="External" /><Relationship Type="http://schemas.openxmlformats.org/officeDocument/2006/relationships/hyperlink" Id="rId259" Target="https://doi.org/10.1126/sciadv.aax5913" TargetMode="External" /><Relationship Type="http://schemas.openxmlformats.org/officeDocument/2006/relationships/hyperlink" Id="rId141" Target="https://doi.org/10.1146/annurev-anthro-102116-041423" TargetMode="External" /><Relationship Type="http://schemas.openxmlformats.org/officeDocument/2006/relationships/hyperlink" Id="rId22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7" Target="https://doi.org/10.1179/sea.2010.29.1.013" TargetMode="External" /><Relationship Type="http://schemas.openxmlformats.org/officeDocument/2006/relationships/hyperlink" Id="rId292" Target="https://doi.org/10.1371/journal.pone.0102806" TargetMode="External" /><Relationship Type="http://schemas.openxmlformats.org/officeDocument/2006/relationships/hyperlink" Id="rId135" Target="https://doi.org/10.1371/journal.pone.0121166" TargetMode="External" /><Relationship Type="http://schemas.openxmlformats.org/officeDocument/2006/relationships/hyperlink" Id="rId102" Target="https://doi.org/10.1371/journal.pone.0189241" TargetMode="External" /><Relationship Type="http://schemas.openxmlformats.org/officeDocument/2006/relationships/hyperlink" Id="rId114" Target="https://doi.org/10.1371/journal.pone.0194097" TargetMode="External" /><Relationship Type="http://schemas.openxmlformats.org/officeDocument/2006/relationships/hyperlink" Id="rId98" Target="https://doi.org/10.1371/journal.pone.0211562" TargetMode="External" /><Relationship Type="http://schemas.openxmlformats.org/officeDocument/2006/relationships/hyperlink" Id="rId21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6" Target="https://doi.org/10.1371/journal.pone.0345202" TargetMode="External" /><Relationship Type="http://schemas.openxmlformats.org/officeDocument/2006/relationships/hyperlink" Id="rId137" Target="https://doi.org/10.18637/jss.v025.i03" TargetMode="External" /><Relationship Type="http://schemas.openxmlformats.org/officeDocument/2006/relationships/hyperlink" Id="rId271" Target="https://doi.org/10.2139/ssrn.7053279" TargetMode="External" /><Relationship Type="http://schemas.openxmlformats.org/officeDocument/2006/relationships/hyperlink" Id="rId187" Target="https://doi.org/10.2307/279544" TargetMode="External" /><Relationship Type="http://schemas.openxmlformats.org/officeDocument/2006/relationships/hyperlink" Id="rId189" Target="https://doi.org/10.2307/2800797" TargetMode="External" /><Relationship Type="http://schemas.openxmlformats.org/officeDocument/2006/relationships/hyperlink" Id="rId284" Target="https://doi.org/10.2307/2802103" TargetMode="External" /><Relationship Type="http://schemas.openxmlformats.org/officeDocument/2006/relationships/hyperlink" Id="rId231" Target="https://doi.org/10.2307/280511" TargetMode="External" /><Relationship Type="http://schemas.openxmlformats.org/officeDocument/2006/relationships/hyperlink" Id="rId159" Target="https://doi.org/10.2307/3034956" TargetMode="External" /><Relationship Type="http://schemas.openxmlformats.org/officeDocument/2006/relationships/hyperlink" Id="rId246" Target="https://doi.org/10.2307/40035267" TargetMode="External" /><Relationship Type="http://schemas.openxmlformats.org/officeDocument/2006/relationships/hyperlink" Id="rId257" Target="https://doi.org/10.2307/4128416" TargetMode="External" /><Relationship Type="http://schemas.openxmlformats.org/officeDocument/2006/relationships/hyperlink" Id="rId174" Target="https://doi.org/10.2307/j.ctv24q4z2g.5" TargetMode="External" /><Relationship Type="http://schemas.openxmlformats.org/officeDocument/2006/relationships/hyperlink" Id="rId202" Target="https://doi.org/10.2307/j.ctvdmwwz4.10" TargetMode="External" /><Relationship Type="http://schemas.openxmlformats.org/officeDocument/2006/relationships/hyperlink" Id="rId200" Target="https://doi.org/10.2307/j.ctvdmwwz4.7" TargetMode="External" /><Relationship Type="http://schemas.openxmlformats.org/officeDocument/2006/relationships/hyperlink" Id="rId106" Target="https://doi.org/10.30861/9781841718309" TargetMode="External" /><Relationship Type="http://schemas.openxmlformats.org/officeDocument/2006/relationships/hyperlink" Id="rId208" Target="https://doi.org/10.3213/2191-5784-10243" TargetMode="External" /><Relationship Type="http://schemas.openxmlformats.org/officeDocument/2006/relationships/hyperlink" Id="rId133" Target="https://doi.org/10.32614/CRAN.package.vegan" TargetMode="External" /><Relationship Type="http://schemas.openxmlformats.org/officeDocument/2006/relationships/hyperlink" Id="rId123" Target="https://doi.org/10.32614/rj-2018-009" TargetMode="External" /><Relationship Type="http://schemas.openxmlformats.org/officeDocument/2006/relationships/hyperlink" Id="rId297" Target="https://doi.org/10.3828/hgr.2023.12" TargetMode="External" /><Relationship Type="http://schemas.openxmlformats.org/officeDocument/2006/relationships/hyperlink" Id="rId222" Target="https://doi.org/10.4000/palethnologie.4945" TargetMode="External" /><Relationship Type="http://schemas.openxmlformats.org/officeDocument/2006/relationships/hyperlink" Id="rId117" Target="https://doi.org/10.4000/palethnologie.736" TargetMode="External" /><Relationship Type="http://schemas.openxmlformats.org/officeDocument/2006/relationships/hyperlink" Id="rId90" Target="https://doi.org/10.4436/JASS.98021" TargetMode="External" /><Relationship Type="http://schemas.openxmlformats.org/officeDocument/2006/relationships/hyperlink" Id="rId229" Target="https://doi.org/10.5281/zenodo.15397990" TargetMode="External" /><Relationship Type="http://schemas.openxmlformats.org/officeDocument/2006/relationships/hyperlink" Id="rId104" Target="https://doi.org/10.7485/QU65_1" TargetMode="External" /><Relationship Type="http://schemas.openxmlformats.org/officeDocument/2006/relationships/hyperlink" Id="rId147" Target="https://igraph.org" TargetMode="External" /><Relationship Type="http://schemas.openxmlformats.org/officeDocument/2006/relationships/hyperlink" Id="rId21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2026-09-03T06:04:06Z</dcterms:created>
  <dcterms:modified xsi:type="dcterms:W3CDTF">2026-09-03T06:04:06Z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2,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