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7.png" ContentType="image/png"/>
  <Override PartName="/word/media/rId198.png" ContentType="image/png"/>
  <Override PartName="/word/media/rId207.png" ContentType="image/png"/>
  <Override PartName="/word/media/rId50.png" ContentType="image/png"/>
  <Override PartName="/word/media/rId156.png" ContentType="image/png"/>
  <Override PartName="/word/media/rId46.png" ContentType="image/png"/>
  <Override PartName="/word/media/rId29.png" ContentType="image/png"/>
  <Override PartName="/word/media/rId129.png" ContentType="image/png"/>
  <Override PartName="/word/media/rId64.png" ContentType="image/png"/>
  <Override PartName="/word/media/rId220.png" ContentType="image/png"/>
  <Override PartName="/word/media/rId249.png" ContentType="image/png"/>
  <Override PartName="/word/media/rId270.png" ContentType="image/png"/>
  <Override PartName="/word/media/rId237.png" ContentType="image/png"/>
  <Override PartName="/word/media/rId229.png" ContentType="image/png"/>
  <Override PartName="/word/media/rId175.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5" w:name="sec-s1"/>
    <w:p>
      <w:pPr>
        <w:pStyle w:val="Heading1"/>
      </w:pPr>
      <w:r>
        <w:t xml:space="preserve">S1.1 Sample Foundation and Site Retention</w:t>
      </w:r>
    </w:p>
    <w:bookmarkStart w:id="21" w:name="sec-S1-1-rationale"/>
    <w:p>
      <w:pPr>
        <w:pStyle w:val="Heading2"/>
      </w:pPr>
      <w:r>
        <w:t xml:space="preserve">S1.1.1 Rationale</w:t>
      </w:r>
    </w:p>
    <w:p>
      <w:pPr>
        <w:pStyle w:val="FirstParagraph"/>
      </w:pPr>
      <w:r>
        <w:t xml:space="preserve">This section expands on the site rejection details notes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1-analysis"/>
    <w:p>
      <w:pPr>
        <w:pStyle w:val="Heading2"/>
      </w:pPr>
      <w:r>
        <w:t xml:space="preserve">S1.1.2 Analysis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S 1: Sites omitted for data quality reasons. Archaeological phase rationale is in Supplement 2.</w:t>
            </w:r>
          </w:p>
          <w:bookmarkEnd w:id="22"/>
        </w:tc>
      </w:tr>
    </w:tbl>
    <w:p>
      <w:pPr>
        <w:pStyle w:val="BodyText"/>
      </w:pPr>
      <w:r>
        <w:rPr>
          <w:bCs/>
          <w:b/>
        </w:rPr>
        <w:t xml:space="preserve">Analysis-ready phase data for downstream sections.</w:t>
      </w:r>
      <w:r>
        <w:t xml:space="preserve"> </w:t>
      </w:r>
      <w:r>
        <w:t xml:space="preserve">The chunk below builds the technology-based Aur-P1 and Aur-P2 site tables used in</w:t>
      </w:r>
      <w:r>
        <w:t xml:space="preserve"> </w:t>
      </w:r>
      <w:r>
        <w:t xml:space="preserve">Section S1.2</w:t>
      </w:r>
      <w:r>
        <w:t xml:space="preserve">–</w:t>
      </w:r>
      <w:r>
        <w:t xml:space="preserve">Section S1.12</w:t>
      </w:r>
      <w:r>
        <w:t xml:space="preserve">, so the counts above link directly to the analysed sample.</w:t>
      </w:r>
    </w:p>
    <w:bookmarkEnd w:id="23"/>
    <w:bookmarkStart w:id="24" w:name="sec-S1-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Yes. The dropped objects include the seventh-largest assemblage (Grotte de Goyet, 12 objects), and ten of the 11 plain-range sites date to</w:t>
      </w:r>
      <w:r>
        <w:t xml:space="preserve"> </w:t>
      </w:r>
      <w:r>
        <w:rPr>
          <w:rStyle w:val="VerbatimChar"/>
        </w:rPr>
        <w:t xml:space="preserve">38–30</w:t>
      </w:r>
      <w:r>
        <w:t xml:space="preserve"> </w:t>
      </w:r>
      <w:r>
        <w:t xml:space="preserve">ka. The retained Aur-P2 sample therefore rests on only 9 sites.</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4"/>
    <w:bookmarkEnd w:id="25"/>
    <w:bookmarkStart w:id="43" w:name="sec-s2"/>
    <w:p>
      <w:pPr>
        <w:pStyle w:val="Heading1"/>
      </w:pPr>
      <w:r>
        <w:t xml:space="preserve">S1.2 Network Threshold</w:t>
      </w:r>
    </w:p>
    <w:bookmarkStart w:id="26" w:name="sec-S1-2-rationale"/>
    <w:p>
      <w:pPr>
        <w:pStyle w:val="Heading2"/>
      </w:pPr>
      <w:r>
        <w:t xml:space="preserve">S1.2.1 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 It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6"/>
    <w:bookmarkStart w:id="41" w:name="sec-S1-2-analysis"/>
    <w:p>
      <w:pPr>
        <w:pStyle w:val="Heading2"/>
      </w:pPr>
      <w:r>
        <w:t xml:space="preserve">S1.2.2 Analysis</w:t>
      </w:r>
    </w:p>
    <w:bookmarkStart w:id="28" w:name="sec-S1-2-network-statistics-across"/>
    <w:p>
      <w:pPr>
        <w:pStyle w:val="Heading3"/>
      </w:pPr>
      <w:r>
        <w:t xml:space="preserve">S1.2.2.1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7"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7"/>
        </w:tc>
      </w:tr>
    </w:tbl>
    <w:bookmarkEnd w:id="28"/>
    <w:bookmarkStart w:id="33" w:name="sec-S1-2-network-visualisations-across"/>
    <w:p>
      <w:pPr>
        <w:pStyle w:val="Heading3"/>
      </w:pPr>
      <w:r>
        <w:t xml:space="preserve">S1.2.2.2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2" w:name="fig-sens-networks"/>
          <w:p>
            <w:pPr>
              <w:pStyle w:val="Compact"/>
              <w:jc w:val="center"/>
            </w:pPr>
            <w:r>
              <w:drawing>
                <wp:inline>
                  <wp:extent cx="5943600" cy="5403272"/>
                  <wp:effectExtent b="0" l="0" r="0" t="0"/>
                  <wp:docPr descr="" title="" id="30" name="Picture"/>
                  <a:graphic>
                    <a:graphicData uri="http://schemas.openxmlformats.org/drawingml/2006/picture">
                      <pic:pic>
                        <pic:nvPicPr>
                          <pic:cNvPr descr="../figures/sensitivity-network-plot.png" id="31" name="Picture"/>
                          <pic:cNvPicPr>
                            <a:picLocks noChangeArrowheads="1" noChangeAspect="1"/>
                          </pic:cNvPicPr>
                        </pic:nvPicPr>
                        <pic:blipFill>
                          <a:blip r:embed="rId29"/>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2"/>
        </w:tc>
      </w:tr>
    </w:tbl>
    <w:bookmarkEnd w:id="33"/>
    <w:bookmarkStart w:id="35" w:name="sec-s2-4"/>
    <w:p>
      <w:pPr>
        <w:pStyle w:val="Heading3"/>
      </w:pPr>
      <w:r>
        <w:t xml:space="preserve">S1.2.2.3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4" w:name="tbl-threshold-agreement"/>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Threshold 1</w:t>
                  </w:r>
                </w:p>
              </w:tc>
              <w:tc>
                <w:tcPr/>
                <w:p>
                  <w:pPr>
                    <w:pStyle w:val="Compact"/>
                    <w:jc w:val="right"/>
                    <w:jc w:val="center"/>
                  </w:pPr>
                  <w:r>
                    <w:t xml:space="preserve">Threshold 2</w:t>
                  </w:r>
                </w:p>
              </w:tc>
              <w:tc>
                <w:tcPr/>
                <w:p>
                  <w:pPr>
                    <w:pStyle w:val="Compact"/>
                    <w:jc w:val="right"/>
                    <w:jc w:val="center"/>
                  </w:pPr>
                  <w:r>
                    <w:t xml:space="preserve">Edge Jaccard</w:t>
                  </w:r>
                </w:p>
              </w:tc>
              <w:tc>
                <w:tcPr/>
                <w:p>
                  <w:pPr>
                    <w:pStyle w:val="Compact"/>
                    <w:jc w:val="right"/>
                    <w:jc w:val="center"/>
                  </w:pPr>
                  <w:r>
                    <w:t xml:space="preserve">Adj. correlation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0.600</w:t>
                  </w:r>
                </w:p>
              </w:tc>
              <w:tc>
                <w:tcPr/>
                <w:p>
                  <w:pPr>
                    <w:pStyle w:val="Compact"/>
                    <w:jc w:val="right"/>
                    <w:jc w:val="center"/>
                  </w:pPr>
                  <w:r>
                    <w:t xml:space="preserve">0.961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0.655</w:t>
                  </w:r>
                </w:p>
              </w:tc>
              <w:tc>
                <w:tcPr/>
                <w:p>
                  <w:pPr>
                    <w:pStyle w:val="Compact"/>
                    <w:jc w:val="right"/>
                    <w:jc w:val="center"/>
                  </w:pPr>
                  <w:r>
                    <w:t xml:space="preserve">0.959</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0.747</w:t>
                  </w:r>
                </w:p>
              </w:tc>
              <w:tc>
                <w:tcPr/>
                <w:p>
                  <w:pPr>
                    <w:pStyle w:val="Compact"/>
                    <w:jc w:val="right"/>
                    <w:jc w:val="center"/>
                  </w:pPr>
                  <w:r>
                    <w:t xml:space="preserve">0.956</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0.684</w:t>
                  </w:r>
                </w:p>
              </w:tc>
              <w:tc>
                <w:tcPr/>
                <w:p>
                  <w:pPr>
                    <w:pStyle w:val="Compact"/>
                    <w:jc w:val="right"/>
                    <w:jc w:val="center"/>
                  </w:pPr>
                  <w:r>
                    <w:t xml:space="preserve">0.938</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0.932</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0.928</w:t>
                  </w:r>
                </w:p>
              </w:tc>
            </w:tr>
          </w:tbl>
          <w:p>
            <w:pPr>
              <w:jc w:val="center"/>
            </w:pPr>
            <w:pPr>
              <w:jc w:val="start"/>
              <w:spacing w:before="200"/>
              <w:pStyle w:val="ImageCaption"/>
            </w:pPr>
            <w:r>
              <w:t xml:space="preserve">Table S 3: Pairwise agreement between networks at adjacent thresholds.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4"/>
        </w:tc>
      </w:tr>
    </w:tbl>
    <w:bookmarkEnd w:id="35"/>
    <w:bookmarkStart w:id="40" w:name="sec-s2-5"/>
    <w:p>
      <w:pPr>
        <w:pStyle w:val="Heading3"/>
      </w:pPr>
      <w:r>
        <w:t xml:space="preserve">S1.2.2.4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39" w:name="fig-threshold-sweep"/>
          <w:p>
            <w:pPr>
              <w:pStyle w:val="Compact"/>
              <w:jc w:val="center"/>
            </w:pPr>
            <w:r>
              <w:drawing>
                <wp:inline>
                  <wp:extent cx="5943600" cy="2971800"/>
                  <wp:effectExtent b="0" l="0" r="0" t="0"/>
                  <wp:docPr descr="" title="" id="37" name="Picture"/>
                  <a:graphic>
                    <a:graphicData uri="http://schemas.openxmlformats.org/drawingml/2006/picture">
                      <pic:pic>
                        <pic:nvPicPr>
                          <pic:cNvPr descr="S1-supplement-sensitivity_files/figure-docx/fig-threshold-sweep-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39"/>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 The full sweep result is answered in Interpretation below (</w:t>
      </w:r>
      <w:hyperlink w:anchor="fig-threshold-sweep">
        <w:r>
          <w:rPr>
            <w:rStyle w:val="Hyperlink"/>
          </w:rPr>
          <w:t xml:space="preserve">Figure S 2</w:t>
        </w:r>
      </w:hyperlink>
      <w:r>
        <w:t xml:space="preserve">).</w:t>
      </w:r>
    </w:p>
    <w:bookmarkEnd w:id="40"/>
    <w:bookmarkEnd w:id="41"/>
    <w:bookmarkStart w:id="42" w:name="sec-S1-2-interpretation"/>
    <w:p>
      <w:pPr>
        <w:pStyle w:val="Heading2"/>
      </w:pPr>
      <w:r>
        <w:t xml:space="preserve">S1.2.3 Interpretation</w:t>
      </w:r>
    </w:p>
    <w:p>
      <w:pPr>
        <w:pStyle w:val="FirstParagraph"/>
      </w:pPr>
      <w:r>
        <w:rPr>
          <w:bCs/>
          <w:b/>
        </w:rPr>
        <w:t xml:space="preserve">Question: do the phase contrasts hold at the alternative thresholds of 0.1 and 0.3?</w:t>
      </w:r>
      <w:r>
        <w:t xml:space="preserve"> </w:t>
      </w:r>
      <w:r>
        <w:t xml:space="preserve">Yes. In both phases and at all three thresholds, the networks retain a recognisable two-cluster structure corresponding to the restricted-range and broader-range site groups identified by seriation. Broader-range sites keep denser mutual connections, while restricted-range sites stay peripheral or isolated. Aur-P1 is consistently the more edge-rich network with the higher mean degree and clearer hub structure, while Aur-P2 is sparser and more fragmented (</w:t>
      </w:r>
      <w:hyperlink w:anchor="tbl-sens-stats">
        <w:r>
          <w:rPr>
            <w:rStyle w:val="Hyperlink"/>
          </w:rPr>
          <w:t xml:space="preserve">Table S 2</w:t>
        </w:r>
      </w:hyperlink>
      <w:r>
        <w:t xml:space="preserve">). Modularity in Aur-P1 remains in a moderate range across thresholds, indicating persistent community structure.</w:t>
      </w:r>
    </w:p>
    <w:p>
      <w:pPr>
        <w:pStyle w:val="BodyText"/>
      </w:pPr>
      <w:r>
        <w:rPr>
          <w:bCs/>
          <w:b/>
        </w:rPr>
        <w:t xml:space="preserve">Question: is the 0.2 threshold a defensible middle ground between over-connection and fragmentation?</w:t>
      </w:r>
      <w:r>
        <w:t xml:space="preserve"> </w:t>
      </w:r>
      <w:r>
        <w:t xml:space="preserve">Yes. At threshold 0.1, graph density increases substantially and several sites that appear as isolates at 0.2 become connected, reflecting genuine weak cultural overlap or noise in the presence/absence data. At threshold 0.3, the graph becomes considerably sparser, with 2 isolates in Aur-P1 in particular. The number of isolated nodes increases monotonically with threshold in both phases, as expected.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(0.05–0.50) (</w:t>
      </w:r>
      <w:hyperlink w:anchor="fig-threshold-sweep">
        <w:r>
          <w:rPr>
            <w:rStyle w:val="Hyperlink"/>
          </w:rPr>
          <w:t xml:space="preserve">Figure S 2</w:t>
        </w:r>
      </w:hyperlink>
      <w:r>
        <w:t xml:space="preserve">). Aur-P2 retains a mean degree of at least 2.00 even at the coarsest threshold (0.50), so the contrast never collapses. Modularity shows the same ordering: Aur-P1 ranges from 0.204–0.437 and consistently exceeds Aur-P2 (0.085–0.161) at every threshold.</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7" w:name="sec-s3"/>
    <w:p>
      <w:pPr>
        <w:pStyle w:val="Heading1"/>
      </w:pPr>
      <w:r>
        <w:t xml:space="preserve">S1.3 Similarity Metric Choice (Jaccard vs. Sørensen-Dice vs. Simpson)</w:t>
      </w:r>
    </w:p>
    <w:bookmarkStart w:id="44" w:name="sec-S1-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 It answers three specific questions:</w:t>
      </w:r>
    </w:p>
    <w:p>
      <w:pPr>
        <w:pStyle w:val="BodyText"/>
      </w:pPr>
      <w:r>
        <w:rPr>
          <w:bCs/>
          <w:b/>
        </w:rPr>
        <w:t xml:space="preserve">Question: does the Aur-P1 greater than Aur-P2 phase contrast hold under all three metrics?</w:t>
      </w:r>
    </w:p>
    <w:p>
      <w:pPr>
        <w:pStyle w:val="BodyText"/>
      </w:pPr>
      <w:r>
        <w:rPr>
          <w:bCs/>
          <w:b/>
        </w:rPr>
        <w:t xml:space="preserve">Question: does double-weighting shared presences under Sorensen-Dice change community structure relative to Jaccard?</w:t>
      </w:r>
    </w:p>
    <w:p>
      <w:pPr>
        <w:pStyle w:val="BodyText"/>
      </w:pPr>
      <w:r>
        <w:rPr>
          <w:bCs/>
          <w:b/>
        </w:rPr>
        <w:t xml:space="preserve">Question: does the Aur-P1 connectivity advantage survive under Simpson similarity, which controls for richness asymmetry?</w:t>
      </w:r>
    </w:p>
    <w:bookmarkEnd w:id="44"/>
    <w:bookmarkStart w:id="55" w:name="sec-S1-3-analysis"/>
    <w:p>
      <w:pPr>
        <w:pStyle w:val="Heading2"/>
      </w:pPr>
      <w:r>
        <w:t xml:space="preserve">S1.3.2 Analysis</w:t>
      </w:r>
    </w:p>
    <w:tbl>
      <w:tblPr>
        <w:tblStyle w:val="Table"/>
        <w:tblW w:type="pct" w:w="5000"/>
        <w:tblLook w:firstRow="0" w:lastRow="0" w:firstColumn="0" w:lastColumn="0" w:noHBand="0" w:noVBand="0" w:val="0000"/>
        <w:jc w:val="start"/>
        <w:tblLayout w:type="fixed"/>
      </w:tblPr>
      <w:tblGrid>
        <w:gridCol w:w="7920"/>
      </w:tblGrid>
      <w:tr>
        <w:tc>
          <w:tcPr/>
          <w:bookmarkStart w:id="45"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S 4: Network statistics for each Aurignacian phase across three similarity metrics (Jaccard, Sørensen-Dice, Simpson) at threshold = 0.2.</w:t>
            </w:r>
          </w:p>
          <w:bookmarkEnd w:id="45"/>
        </w:tc>
      </w:tr>
    </w:tbl>
    <w:tbl>
      <w:tblPr>
        <w:tblStyle w:val="Table"/>
        <w:tblW w:type="pct" w:w="5000"/>
        <w:tblLook w:firstRow="0" w:lastRow="0" w:firstColumn="0" w:lastColumn="0" w:noHBand="0" w:noVBand="0" w:val="0000"/>
        <w:jc w:val="start"/>
        <w:tblLayout w:type="fixed"/>
      </w:tblPr>
      <w:tblGrid>
        <w:gridCol w:w="7920"/>
      </w:tblGrid>
      <w:tr>
        <w:tc>
          <w:tcPr/>
          <w:bookmarkStart w:id="49" w:name="fig-metric-networks"/>
          <w:p>
            <w:pPr>
              <w:pStyle w:val="Compact"/>
              <w:jc w:val="center"/>
            </w:pPr>
            <w:r>
              <w:drawing>
                <wp:inline>
                  <wp:extent cx="5943600" cy="5403272"/>
                  <wp:effectExtent b="0" l="0" r="0" t="0"/>
                  <wp:docPr descr="" title="" id="47" name="Picture"/>
                  <a:graphic>
                    <a:graphicData uri="http://schemas.openxmlformats.org/drawingml/2006/picture">
                      <pic:pic>
                        <pic:nvPicPr>
                          <pic:cNvPr descr="../figures/sensitivity-metric-plot.png" id="48" name="Picture"/>
                          <pic:cNvPicPr>
                            <a:picLocks noChangeArrowheads="1" noChangeAspect="1"/>
                          </pic:cNvPicPr>
                        </pic:nvPicPr>
                        <pic:blipFill>
                          <a:blip r:embed="rId46"/>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3: Site networks for Aur-P1 (top) and Aur-P2 (bottom) under Jaccard (left), Sørensen-Dice (centre), and Simpson (right) similarity metrics at threshold = 0.2.</w:t>
            </w:r>
          </w:p>
          <w:bookmarkEnd w:id="49"/>
        </w:tc>
      </w:tr>
    </w:tbl>
    <w:bookmarkStart w:id="54" w:name="sec-S1-3-ordination"/>
    <w:p>
      <w:pPr>
        <w:pStyle w:val="Heading3"/>
      </w:pPr>
      <w:r>
        <w:t xml:space="preserve">S1.3.2.1 Ordination biplots with PCoA and CA</w:t>
      </w:r>
    </w:p>
    <w:p>
      <w:pPr>
        <w:pStyle w:val="FirstParagraph"/>
      </w:pPr>
      <w:r>
        <w:t xml:space="preserve">PCoA uses the same Jaccard dissimilarity as the Mantel tests. CA uses the presence absence matrix directly. Both plots colour sites by the manual restricted broad groups. The two methods show the same gradient side by side.</w:t>
      </w:r>
    </w:p>
    <w:tbl>
      <w:tblPr>
        <w:tblStyle w:val="Table"/>
        <w:tblW w:type="pct" w:w="5000"/>
        <w:tblLook w:firstRow="0" w:lastRow="0" w:firstColumn="0" w:lastColumn="0" w:noHBand="0" w:noVBand="0" w:val="0000"/>
        <w:jc w:val="start"/>
        <w:tblLayout w:type="fixed"/>
      </w:tblPr>
      <w:tblGrid>
        <w:gridCol w:w="7920"/>
      </w:tblGrid>
      <w:tr>
        <w:tc>
          <w:tcPr/>
          <w:bookmarkStart w:id="53" w:name="fig-ordination-pcoa-ca"/>
          <w:p>
            <w:pPr>
              <w:pStyle w:val="Compact"/>
              <w:jc w:val="center"/>
            </w:pPr>
            <w:r>
              <w:drawing>
                <wp:inline>
                  <wp:extent cx="5943600" cy="4754880"/>
                  <wp:effectExtent b="0" l="0" r="0" t="0"/>
                  <wp:docPr descr="" title="" id="51" name="Picture"/>
                  <a:graphic>
                    <a:graphicData uri="http://schemas.openxmlformats.org/drawingml/2006/picture">
                      <pic:pic>
                        <pic:nvPicPr>
                          <pic:cNvPr descr="../figures/ordination-pcoa-ca-plot.png" id="52" name="Picture"/>
                          <pic:cNvPicPr>
                            <a:picLocks noChangeArrowheads="1" noChangeAspect="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4: PCoA on Jaccard dissimilarity (left column) and CA on presence absence (right column) for Aur-P1 (top row) and Aur-P2 (bottom row). Points are sites coloured by manual group with restricted in red and broad in blue. Labels name sites with high leverage only when space allows.</w:t>
            </w:r>
          </w:p>
          <w:bookmarkEnd w:id="53"/>
        </w:tc>
      </w:tr>
    </w:tbl>
    <w:bookmarkEnd w:id="54"/>
    <w:bookmarkEnd w:id="55"/>
    <w:bookmarkStart w:id="56" w:name="sec-S1-3-interpretation"/>
    <w:p>
      <w:pPr>
        <w:pStyle w:val="Heading2"/>
      </w:pPr>
      <w:r>
        <w:t xml:space="preserve">S1.3.3 Interpretation</w:t>
      </w:r>
    </w:p>
    <w:p>
      <w:pPr>
        <w:pStyle w:val="FirstParagraph"/>
      </w:pPr>
      <w:r>
        <w:rPr>
          <w:bCs/>
          <w:b/>
        </w:rPr>
        <w:t xml:space="preserve">Question: does the Aur-P1 greater than Aur-P2 phase contrast hold under all three metrics?</w:t>
      </w:r>
      <w:r>
        <w:t xml:space="preserve"> </w:t>
      </w:r>
      <w:r>
        <w:t xml:space="preserve">Yes. Aur-P1 consistently produces the higher edge count and node degree across Jaccard, Sorensen-Dice, and Simpson, while Aur-P2 is sparser, consistent with its smaller sample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w:t>
      </w:r>
    </w:p>
    <w:p>
      <w:pPr>
        <w:pStyle w:val="BodyText"/>
      </w:pPr>
      <w:r>
        <w:rPr>
          <w:bCs/>
          <w:b/>
        </w:rPr>
        <w:t xml:space="preserve">Question: does double-weighting shared presences under Sorensen-Dice change community structure relative to Jaccard?</w:t>
      </w:r>
      <w:r>
        <w:t xml:space="preserve"> </w:t>
      </w:r>
      <w:r>
        <w:t xml:space="preserve">No. Sorensen similarity yields higher edge counts (for example Aur-P1 113 versus 75 for Jaccard) because double-weighting shared presences elevates similarity scores above the 0.2 threshold. Network community structures and hub locations remain identical.</w:t>
      </w:r>
    </w:p>
    <w:p>
      <w:pPr>
        <w:pStyle w:val="BodyText"/>
      </w:pPr>
      <w:r>
        <w:rPr>
          <w:bCs/>
          <w:b/>
        </w:rPr>
        <w:t xml:space="preserve">Question: does the Aur-P1 connectivity advantage survive under Simpson similarity, which controls for richness asymmetry?</w:t>
      </w:r>
      <w:r>
        <w:t xml:space="preserve"> </w:t>
      </w:r>
      <w:r>
        <w:t xml:space="preserve">Yes. Simpson similarity shows that the Aur-P1 connectivity is driven by genuine shared sign repertoires rather than sample-size asymmetry.</w:t>
      </w:r>
    </w:p>
    <w:p>
      <w:pPr>
        <w:pStyle w:val="BodyText"/>
      </w:pPr>
      <w:r>
        <w:rPr>
          <w:bCs/>
          <w:b/>
        </w:rPr>
        <w:t xml:space="preserve">Question: do ordinations show discrete clusters or a continuous gradient?</w:t>
      </w:r>
      <w:r>
        <w:t xml:space="preserve"> </w:t>
      </w:r>
      <w:r>
        <w:t xml:space="preserve">The PCoA and CA biplots show a continuous gradient with two single site outliers. In</w:t>
      </w:r>
      <w:r>
        <w:t xml:space="preserve"> </w:t>
      </w:r>
      <w:hyperlink w:anchor="fig-ordination-pcoa-ca">
        <w:r>
          <w:rPr>
            <w:rStyle w:val="Hyperlink"/>
          </w:rPr>
          <w:t xml:space="preserve">Figure S 4</w:t>
        </w:r>
      </w:hyperlink>
      <w:r>
        <w:t xml:space="preserve"> </w:t>
      </w:r>
      <w:r>
        <w:t xml:space="preserve">the restricted sites in red and the broad sites in blue fall along one slope in Aur-P1 and in Aur-P2. PCoA axis 1 carries 31% of variance in Aur-P1 and 43.7% in Aur-P2. CA axis 1 carries 19.4% in Aur-P1 and 31.3% in Aur-P2. The main cloud shows no split into two groups. In Aur-P1 CA two broad sites stand apart, namely Les Cottés and Trou al’Wesse, because each carries a rare sign type. The visual matches the Simpson turnover result with no group separation.</w:t>
      </w:r>
    </w:p>
    <w:p>
      <w:pPr>
        <w:pStyle w:val="BodyText"/>
      </w:pPr>
      <w:r>
        <w:rPr>
          <w:bCs/>
          <w:b/>
        </w:rPr>
        <w:t xml:space="preserve">Implication for the main text.</w:t>
      </w:r>
      <w:r>
        <w:t xml:space="preserve"> </w:t>
      </w:r>
      <w:r>
        <w:t xml:space="preserve">The metric comparison addresses the concern that Jaccard similarity, which ignores joint absences and penalises richness differences, might produce different network structures than metrics that treat richness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w:t>
      </w:r>
    </w:p>
    <w:bookmarkEnd w:id="56"/>
    <w:bookmarkEnd w:id="57"/>
    <w:bookmarkStart w:id="75" w:name="sec-s4"/>
    <w:p>
      <w:pPr>
        <w:pStyle w:val="Heading1"/>
      </w:pPr>
      <w:r>
        <w:t xml:space="preserve">S1.4 Geographic Distance Verification (Mantel Tests)</w:t>
      </w:r>
    </w:p>
    <w:bookmarkStart w:id="58" w:name="sec-s4-rationale"/>
    <w:p>
      <w:pPr>
        <w:pStyle w:val="Heading2"/>
      </w:pPr>
      <w:r>
        <w:t xml:space="preserve">S1.4.1 Rationale</w:t>
      </w:r>
    </w:p>
    <w:p>
      <w:pPr>
        <w:pStyle w:val="FirstParagraph"/>
      </w:pPr>
      <w:r>
        <w:t xml:space="preserve">Mantel tests in the main text find no geographic signal, but a flat Euclidean distance and a single global correlation can each hide structure. This section checks the result in three ways: geodesic distance in kilometres, scale-dependent correlograms with uncertainty on the global R, and a non-Mantel trend-surface model. Each check below states its questions in Rationale and answers them in Interpretation.</w:t>
      </w:r>
    </w:p>
    <w:bookmarkEnd w:id="58"/>
    <w:bookmarkStart w:id="62" w:name="sec-S1-4-check"/>
    <w:p>
      <w:pPr>
        <w:pStyle w:val="Heading2"/>
      </w:pPr>
      <w:r>
        <w:t xml:space="preserve">S1.4.2 Geodesic distance comparison</w:t>
      </w:r>
    </w:p>
    <w:bookmarkStart w:id="60" w:name="sec-S1-4-rationale"/>
    <w:p>
      <w:pPr>
        <w:pStyle w:val="Heading3"/>
      </w:pPr>
      <w:r>
        <w:t xml:space="preserve">S1.4.2.1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p>
      <w:pPr>
        <w:pStyle w:val="BodyText"/>
      </w:pPr>
      <w:r>
        <w:rPr>
          <w:bCs/>
          <w:b/>
        </w:rPr>
        <w:t xml:space="preserve">Question: does the non-significant Mantel result hold when distance is measured as true geodesic kilometres rather than flat Euclidean coordinates?</w:t>
      </w:r>
    </w:p>
    <w:tbl>
      <w:tblPr>
        <w:tblStyle w:val="Table"/>
        <w:tblW w:type="pct" w:w="5000"/>
        <w:tblLook w:firstRow="0" w:lastRow="0" w:firstColumn="0" w:lastColumn="0" w:noHBand="0" w:noVBand="0" w:val="0000"/>
        <w:jc w:val="start"/>
        <w:tblLayout w:type="fixed"/>
      </w:tblPr>
      <w:tblGrid>
        <w:gridCol w:w="7920"/>
      </w:tblGrid>
      <w:tr>
        <w:tc>
          <w:tcPr/>
          <w:bookmarkStart w:id="59"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S 5: Comparison of Mantel test results (Mantel R and p-value) evaluating sign assemblage dissimilarity vs. spatial distance using flat coordinate Euclidean distance vs. true Geodesic distance (in kilometers).</w:t>
            </w:r>
          </w:p>
          <w:bookmarkEnd w:id="59"/>
        </w:tc>
      </w:tr>
    </w:tbl>
    <w:bookmarkEnd w:id="60"/>
    <w:bookmarkStart w:id="61" w:name="sec-S1-4-interpretation"/>
    <w:p>
      <w:pPr>
        <w:pStyle w:val="Heading3"/>
      </w:pPr>
      <w:r>
        <w:t xml:space="preserve">S1.4.2.2 Interpretation</w:t>
      </w:r>
    </w:p>
    <w:p>
      <w:pPr>
        <w:pStyle w:val="FirstParagraph"/>
      </w:pPr>
      <w:r>
        <w:rPr>
          <w:bCs/>
          <w:b/>
        </w:rPr>
        <w:t xml:space="preserve">Question: does the non-significant Mantel result hold when distance is measured as true geodesic kilometres rather than flat Euclidean coordinates?</w:t>
      </w:r>
      <w:r>
        <w:t xml:space="preserve"> </w:t>
      </w:r>
      <w:r>
        <w:t xml:space="preserve">Yes. 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p>
      <w:pPr>
        <w:pStyle w:val="BodyText"/>
      </w:pPr>
      <w:r>
        <w:rPr>
          <w:bCs/>
          <w:b/>
        </w:rPr>
        <w:t xml:space="preserve">Implication for the main text.</w:t>
      </w:r>
      <w:r>
        <w:t xml:space="preserve"> </w:t>
      </w:r>
      <w:r>
        <w:t xml:space="preserve">The main-text use of flat coordinates does not create the null result; geodesic kilometres give the same non-significant outcome in both phases.</w:t>
      </w:r>
    </w:p>
    <w:bookmarkEnd w:id="61"/>
    <w:bookmarkEnd w:id="62"/>
    <w:bookmarkStart w:id="70" w:name="sec-s4-3"/>
    <w:p>
      <w:pPr>
        <w:pStyle w:val="Heading2"/>
      </w:pPr>
      <w:r>
        <w:t xml:space="preserve">S1.4.3 Mantel correlogram</w:t>
      </w:r>
    </w:p>
    <w:bookmarkStart w:id="63" w:name="rationale"/>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pStyle w:val="BodyText"/>
      </w:pPr>
      <w:r>
        <w:rPr>
          <w:bCs/>
          <w:b/>
        </w:rPr>
        <w:t xml:space="preserve">Question: does sign dissimilarity show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pStyle w:val="BodyText"/>
      </w:pPr>
      <w:r>
        <w:rPr>
          <w:bCs/>
          <w:b/>
        </w:rPr>
        <w:t xml:space="preserve">Question: 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63"/>
    <w:bookmarkStart w:id="68"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resample objects within each site with replacement, B equals 1000, rebuild the site presence matrix, recompute Mantel R, and take the 2.5 percent and 97.5 percent quantiles as the bootstrap interval. We do not resample sites with replacement because duplicate sites create distance 0 and dissimilarity 0 pairs.</w:t>
      </w:r>
    </w:p>
    <w:tbl>
      <w:tblPr>
        <w:tblStyle w:val="Table"/>
        <w:tblW w:type="pct" w:w="5000"/>
        <w:tblLook w:firstRow="0" w:lastRow="0" w:firstColumn="0" w:lastColumn="0" w:noHBand="0" w:noVBand="0" w:val="0000"/>
        <w:jc w:val="start"/>
        <w:tblLayout w:type="fixed"/>
      </w:tblPr>
      <w:tblGrid>
        <w:gridCol w:w="7920"/>
      </w:tblGrid>
      <w:tr>
        <w:tc>
          <w:tcPr/>
          <w:bookmarkStart w:id="67" w:name="fig-mantel-correlogram"/>
          <w:p>
            <w:pPr>
              <w:pStyle w:val="Compact"/>
              <w:jc w:val="center"/>
            </w:pPr>
            <w:r>
              <w:drawing>
                <wp:inline>
                  <wp:extent cx="5943600" cy="3714750"/>
                  <wp:effectExtent b="0" l="0" r="0" t="0"/>
                  <wp:docPr descr="" title="" id="65" name="Picture"/>
                  <a:graphic>
                    <a:graphicData uri="http://schemas.openxmlformats.org/drawingml/2006/picture">
                      <pic:pic>
                        <pic:nvPicPr>
                          <pic:cNvPr descr="S1-supplement-sensitivity_files/figure-docx/fig-mantel-correlogram-1.png" id="66" name="Picture"/>
                          <pic:cNvPicPr>
                            <a:picLocks noChangeArrowheads="1" noChangeAspect="1"/>
                          </pic:cNvPicPr>
                        </pic:nvPicPr>
                        <pic:blipFill>
                          <a:blip r:embed="rId64"/>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5: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67"/>
        </w:tc>
      </w:tr>
    </w:tbl>
    <w:bookmarkEnd w:id="68"/>
    <w:bookmarkStart w:id="69" w:name="interpretation"/>
    <w:p>
      <w:pPr>
        <w:pStyle w:val="Heading3"/>
      </w:pPr>
      <w:r>
        <w:t xml:space="preserve">Interpretation</w:t>
      </w:r>
    </w:p>
    <w:p>
      <w:pPr>
        <w:pStyle w:val="FirstParagraph"/>
      </w:pPr>
      <w:r>
        <w:rPr>
          <w:bCs/>
          <w:b/>
        </w:rPr>
        <w:t xml:space="preserve">Question: does sign dissimilarity show spatial autocorrelation at a specific distance lag?</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how uncertain is the global Mantel R estimate, and what does that imply about statistical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w:t>
      </w:r>
      <w:r>
        <w:t xml:space="preserve"> </w:t>
      </w:r>
      <w:r>
        <w:t xml:space="preserve">Section S1.8.2</w:t>
      </w:r>
      <w:r>
        <w:t xml:space="preserve">.</w:t>
      </w:r>
    </w:p>
    <w:p>
      <w:pPr>
        <w:pStyle w:val="BodyText"/>
      </w:pPr>
      <w:r>
        <w:rPr>
          <w:bCs/>
          <w:b/>
        </w:rPr>
        <w:t xml:space="preserve">Implication for the main text.</w:t>
      </w:r>
      <w:r>
        <w:t xml:space="preserve"> </w:t>
      </w:r>
      <w:r>
        <w:t xml:space="preserve">No distance lag carries a geographic signal, and the global null reflects low power rather than proof of absence.</w:t>
      </w:r>
    </w:p>
    <w:bookmarkEnd w:id="69"/>
    <w:bookmarkEnd w:id="70"/>
    <w:bookmarkStart w:id="74" w:name="sec-s4-4"/>
    <w:p>
      <w:pPr>
        <w:pStyle w:val="Heading2"/>
      </w:pPr>
      <w:r>
        <w:t xml:space="preserve">S1.4.4 Distance-based redundancy analysis</w:t>
      </w:r>
    </w:p>
    <w:bookmarkStart w:id="72" w:name="rationale-1"/>
    <w:p>
      <w:pPr>
        <w:pStyle w:val="Heading3"/>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p>
      <w:pPr>
        <w:pStyle w:val="BodyText"/>
      </w:pPr>
      <w:r>
        <w:rPr>
          <w:bCs/>
          <w:b/>
        </w:rPr>
        <w:t xml:space="preserve">Question: does geography explain sign composition under a non-Mantel trend-surface model?</w:t>
      </w:r>
    </w:p>
    <w:tbl>
      <w:tblPr>
        <w:tblStyle w:val="Table"/>
        <w:tblW w:type="pct" w:w="5000"/>
        <w:tblLook w:firstRow="0" w:lastRow="0" w:firstColumn="0" w:lastColumn="0" w:noHBand="0" w:noVBand="0" w:val="0000"/>
        <w:jc w:val="start"/>
        <w:tblLayout w:type="fixed"/>
      </w:tblPr>
      <w:tblGrid>
        <w:gridCol w:w="7920"/>
      </w:tblGrid>
      <w:tr>
        <w:tc>
          <w:tcPr/>
          <w:bookmarkStart w:id="71" w:name="tbl-dbrda"/>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dbRDA R2</w:t>
                  </w:r>
                </w:p>
              </w:tc>
              <w:tc>
                <w:tcPr/>
                <w:p>
                  <w:pPr>
                    <w:pStyle w:val="Compact"/>
                    <w:jc w:val="right"/>
                    <w:jc w:val="center"/>
                  </w:pPr>
                  <w:r>
                    <w:t xml:space="preserve">dbRDA adjR2</w:t>
                  </w:r>
                </w:p>
              </w:tc>
              <w:tc>
                <w:tcPr/>
                <w:p>
                  <w:pPr>
                    <w:pStyle w:val="Compact"/>
                    <w:jc w:val="right"/>
                    <w:jc w:val="center"/>
                  </w:pPr>
                  <w:r>
                    <w:t xml:space="preserve">dbRDA F</w:t>
                  </w:r>
                </w:p>
              </w:tc>
              <w:tc>
                <w:tcPr/>
                <w:p>
                  <w:pPr>
                    <w:pStyle w:val="Compact"/>
                    <w:jc w:val="right"/>
                    <w:jc w:val="center"/>
                  </w:pPr>
                  <w:r>
                    <w:t xml:space="preserve">dbRDA p</w:t>
                  </w:r>
                </w:p>
              </w:tc>
            </w:tr>
            <w:tr>
              <w:tc>
                <w:tcPr/>
                <w:p>
                  <w:pPr>
                    <w:pStyle w:val="Compact"/>
                    <w:jc w:val="left"/>
                    <w:jc w:val="center"/>
                  </w:pPr>
                  <w:r>
                    <w:t xml:space="preserve">Aur-P1</w:t>
                  </w:r>
                </w:p>
              </w:tc>
              <w:tc>
                <w:tcPr/>
                <w:p>
                  <w:pPr>
                    <w:pStyle w:val="Compact"/>
                    <w:jc w:val="right"/>
                    <w:jc w:val="center"/>
                  </w:pPr>
                  <w:r>
                    <w:t xml:space="preserve">0.156</w:t>
                  </w:r>
                </w:p>
              </w:tc>
              <w:tc>
                <w:tcPr/>
                <w:p>
                  <w:pPr>
                    <w:pStyle w:val="Compact"/>
                    <w:jc w:val="right"/>
                    <w:jc w:val="center"/>
                  </w:pPr>
                  <w:r>
                    <w:t xml:space="preserve">0.057</w:t>
                  </w:r>
                </w:p>
              </w:tc>
              <w:tc>
                <w:tcPr/>
                <w:p>
                  <w:pPr>
                    <w:pStyle w:val="Compact"/>
                    <w:jc w:val="right"/>
                    <w:jc w:val="center"/>
                  </w:pPr>
                  <w:r>
                    <w:t xml:space="preserve">1.573</w:t>
                  </w:r>
                </w:p>
              </w:tc>
              <w:tc>
                <w:tcPr/>
                <w:p>
                  <w:pPr>
                    <w:pStyle w:val="Compact"/>
                    <w:jc w:val="right"/>
                    <w:jc w:val="center"/>
                  </w:pPr>
                  <w:r>
                    <w:t xml:space="preserve">0.038</w:t>
                  </w:r>
                </w:p>
              </w:tc>
            </w:tr>
            <w:tr>
              <w:tc>
                <w:tcPr/>
                <w:p>
                  <w:pPr>
                    <w:pStyle w:val="Compact"/>
                    <w:jc w:val="left"/>
                    <w:jc w:val="center"/>
                  </w:pPr>
                  <w:r>
                    <w:t xml:space="preserve">Aur-P2</w:t>
                  </w:r>
                </w:p>
              </w:tc>
              <w:tc>
                <w:tcPr/>
                <w:p>
                  <w:pPr>
                    <w:pStyle w:val="Compact"/>
                    <w:jc w:val="right"/>
                    <w:jc w:val="center"/>
                  </w:pPr>
                  <w:r>
                    <w:t xml:space="preserve">0.191</w:t>
                  </w:r>
                </w:p>
              </w:tc>
              <w:tc>
                <w:tcPr/>
                <w:p>
                  <w:pPr>
                    <w:pStyle w:val="Compact"/>
                    <w:jc w:val="right"/>
                    <w:jc w:val="center"/>
                  </w:pPr>
                  <w:r>
                    <w:t xml:space="preserve">-0.078</w:t>
                  </w:r>
                </w:p>
              </w:tc>
              <w:tc>
                <w:tcPr/>
                <w:p>
                  <w:pPr>
                    <w:pStyle w:val="Compact"/>
                    <w:jc w:val="right"/>
                    <w:jc w:val="center"/>
                  </w:pPr>
                  <w:r>
                    <w:t xml:space="preserve">0.709</w:t>
                  </w:r>
                </w:p>
              </w:tc>
              <w:tc>
                <w:tcPr/>
                <w:p>
                  <w:pPr>
                    <w:pStyle w:val="Compact"/>
                    <w:jc w:val="right"/>
                    <w:jc w:val="center"/>
                  </w:pPr>
                  <w:r>
                    <w:t xml:space="preserve">0.850</w:t>
                  </w:r>
                </w:p>
              </w:tc>
            </w:tr>
          </w:tbl>
          <w:p>
            <w:pPr>
              <w:jc w:val="center"/>
            </w:pPr>
            <w:pPr>
              <w:jc w:val="start"/>
              <w:spacing w:before="200"/>
              <w:pStyle w:val="ImageCaption"/>
            </w:pPr>
            <w:r>
              <w:t xml:space="preserve">Table S 6: Distance-based redundancy analysis of site Jaccard dissimilarity on a linear geographic trend surface (longitude + latitude), per phase. R² is the raw constrained proportion, adjR² the Ezekiel-adjusted value, F and p from 999 permutations.</w:t>
            </w:r>
          </w:p>
          <w:bookmarkEnd w:id="71"/>
        </w:tc>
      </w:tr>
    </w:tbl>
    <w:bookmarkEnd w:id="72"/>
    <w:bookmarkStart w:id="73" w:name="interpretation-1"/>
    <w:p>
      <w:pPr>
        <w:pStyle w:val="Heading3"/>
      </w:pPr>
      <w:r>
        <w:t xml:space="preserve">Interpretation</w:t>
      </w:r>
    </w:p>
    <w:p>
      <w:pPr>
        <w:pStyle w:val="FirstParagraph"/>
      </w:pPr>
      <w:r>
        <w:rPr>
          <w:bCs/>
          <w:b/>
        </w:rPr>
        <w:t xml:space="preserve">Question: does geography explain sign composition under a non-Mantel trend-surface model?</w:t>
      </w:r>
      <w:r>
        <w:t xml:space="preserve"> </w:t>
      </w:r>
      <w:r>
        <w:t xml:space="preserve">Only faintly, and only in Aur-P1. The linear trend is nominally significant in Aur-P1 (R² = 0.156, adjusted R² = 0.057, p = 0.038) but explains about six percent of the adjusted variation: a weak gradient the global Mantel correlation misses, not discrete geographic groups. In Aur-P2 there is no signal (R² = 0.191, adjusted R² = -0.078, p = 0.85). Note the Aur-P2 raw R² exceeds Aur-P1’s while its adjusted R² is negative: with 9 sites and 2 predictors the raw value is overfit, which is why the adjusted figure governs the reading. Both phases remain low-power, so as with the Mantel results these are convergent nulls reflecting limited samples, not evidence that geography is irrelevant.</w:t>
      </w:r>
    </w:p>
    <w:p>
      <w:pPr>
        <w:pStyle w:val="BodyText"/>
      </w:pPr>
      <w:r>
        <w:rPr>
          <w:bCs/>
          <w:b/>
        </w:rPr>
        <w:t xml:space="preserve">Implication for the main text.</w:t>
      </w:r>
      <w:r>
        <w:t xml:space="preserve"> </w:t>
      </w:r>
      <w:r>
        <w:t xml:space="preserve">Geography adds no discrete regional explanation; the weak Aur-P1 gradient does not alter the non-significant Mantel reading.</w:t>
      </w:r>
    </w:p>
    <w:bookmarkEnd w:id="73"/>
    <w:bookmarkEnd w:id="74"/>
    <w:bookmarkEnd w:id="75"/>
    <w:bookmarkStart w:id="98" w:name="sec-s5"/>
    <w:p>
      <w:pPr>
        <w:pStyle w:val="Heading1"/>
      </w:pPr>
      <w:r>
        <w:t xml:space="preserve">S1.5 Periodisation Scheme Sensitivity</w:t>
      </w:r>
    </w:p>
    <w:bookmarkStart w:id="76" w:name="sec-s5-1"/>
    <w:p>
      <w:pPr>
        <w:pStyle w:val="Heading2"/>
      </w:pPr>
      <w:r>
        <w:t xml:space="preserve">S1.5.1 Rationale</w:t>
      </w:r>
    </w:p>
    <w:p>
      <w:pPr>
        <w:pStyle w:val="FirstParagraph"/>
      </w:pPr>
      <w:r>
        <w:t xml:space="preserve">The main analysis adopts the two-phase Aur-P1/Aur-P2 framework of</w:t>
      </w:r>
      <w:r>
        <w:t xml:space="preserve"> </w:t>
      </w:r>
      <w:r>
        <w:t xml:space="preserve">[3]</w:t>
      </w:r>
      <w:r>
        <w:t xml:space="preserve">, which merges the Proto- and Early Aurignacian into a single early phase (Aur-P1, 43–37 ka BP) and treats the Evolved/Late Aurignacian as a single late phase (Aur-P2, 37–32 ka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Four checks follow: decomposition into technology-assigned components and a four-phase split (</w:t>
      </w:r>
      <w:r>
        <w:t xml:space="preserve">Section S1.5.2</w:t>
      </w:r>
      <w:r>
        <w:t xml:space="preserve">), date-variant calibration (</w:t>
      </w:r>
      <w:r>
        <w:t xml:space="preserve">Section S1.5.3</w:t>
      </w:r>
      <w:r>
        <w:t xml:space="preserve">), phase-boundary shifts (</w:t>
      </w:r>
      <w:r>
        <w:t xml:space="preserve">Section S1.5.4</w:t>
      </w:r>
      <w:r>
        <w:t xml:space="preserve">), and technological versus date-based assignment (</w:t>
      </w:r>
      <w:r>
        <w:t xml:space="preserve">Section S1.5.5</w:t>
      </w:r>
      <w:r>
        <w:t xml:space="preserve">). All schemes are evaluated at the main-text threshold of 0.2 using Jaccard similarity.</w:t>
      </w:r>
    </w:p>
    <w:bookmarkEnd w:id="76"/>
    <w:bookmarkStart w:id="82" w:name="sec-s5-2"/>
    <w:p>
      <w:pPr>
        <w:pStyle w:val="Heading2"/>
      </w:pPr>
      <w:r>
        <w:t xml:space="preserve">S1.5.2 Two-, three- and four-phase decomposition</w:t>
      </w:r>
    </w:p>
    <w:bookmarkStart w:id="79" w:name="rationale-2"/>
    <w:p>
      <w:pPr>
        <w:pStyle w:val="Heading3"/>
      </w:pPr>
      <w:r>
        <w:t xml:space="preserve">Rationale</w:t>
      </w:r>
    </w:p>
    <w:p>
      <w:pPr>
        <w:pStyle w:val="FirstParagraph"/>
      </w:pPr>
      <w:r>
        <w:t xml:space="preserve">We decompose the two-phase baseline into its technology-assigned components, the relict Proto-Aurignacian, the Early Aurignacian, and the Evolved Aurignacian (Aur-P2), and additionally split the Evolved Aurignacian into Evolved and Late sub-phases following the four-phase taxonomy of</w:t>
      </w:r>
      <w:r>
        <w:t xml:space="preserve"> </w:t>
      </w:r>
      <w:r>
        <w:t xml:space="preserve">[4]</w:t>
      </w:r>
      <w:r>
        <w:t xml:space="preserve">, with the Evolved–Late boundary at 35 ka BP calibrated. It answers three specific questions:</w:t>
      </w:r>
    </w:p>
    <w:p>
      <w:pPr>
        <w:pStyle w:val="BodyText"/>
      </w:pPr>
      <w:r>
        <w:rPr>
          <w:bCs/>
          <w:b/>
        </w:rPr>
        <w:t xml:space="preserve">Question: which technology-assigned component carries the Aur-P1 connectivity advantage?</w:t>
      </w:r>
    </w:p>
    <w:p>
      <w:pPr>
        <w:pStyle w:val="BodyText"/>
      </w:pPr>
      <w:r>
        <w:rPr>
          <w:bCs/>
          <w:b/>
        </w:rPr>
        <w:t xml:space="preserve">Question: does the early versus late contrast persist without merging Proto and Early?</w:t>
      </w:r>
    </w:p>
    <w:p>
      <w:pPr>
        <w:pStyle w:val="BodyText"/>
      </w:pPr>
      <w:r>
        <w:rPr>
          <w:bCs/>
          <w:b/>
        </w:rPr>
        <w:t xml:space="preserve">Question: does splitting Aur-P2 into Evolved and Late sub-phases reveal internal differentiation or only data limitation?</w:t>
      </w:r>
    </w:p>
    <w:tbl>
      <w:tblPr>
        <w:tblStyle w:val="Table"/>
        <w:tblW w:type="pct" w:w="5000"/>
        <w:tblLook w:firstRow="0" w:lastRow="0" w:firstColumn="0" w:lastColumn="0" w:noHBand="0" w:noVBand="0" w:val="0000"/>
        <w:jc w:val="start"/>
        <w:tblLayout w:type="fixed"/>
      </w:tblPr>
      <w:tblGrid>
        <w:gridCol w:w="7920"/>
      </w:tblGrid>
      <w:tr>
        <w:tc>
          <w:tcPr/>
          <w:bookmarkStart w:id="77"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7: Reference: network statistics under the two-phase periodisation used in the main text (threshold = 0.2). Aur-P1 = Proto + Early; Aur-P2 = Evolved.</w:t>
            </w:r>
          </w:p>
          <w:bookmarkEnd w:id="7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8"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8: Network statistics for the technology-assigned components of the two-phase baseline (Proto-Aurignacian, Early Aurignacian, Evolved Aurignacian) at threshold = 0.2. Aur-P1 = Proto + Early; Aur-P2 = Evolved.</w:t>
            </w:r>
          </w:p>
          <w:bookmarkEnd w:id="78"/>
        </w:tc>
      </w:tr>
    </w:tbl>
    <w:bookmarkEnd w:id="79"/>
    <w:bookmarkStart w:id="81" w:name="sec-s5-2-interpretation"/>
    <w:p>
      <w:pPr>
        <w:pStyle w:val="Heading3"/>
      </w:pPr>
      <w:r>
        <w:t xml:space="preserve">S1.5.2.1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Question: which technology-assigned component carries the Aur-P1 connectivity advantage?</w:t>
      </w:r>
      <w:r>
        <w:t xml:space="preserve"> </w:t>
      </w:r>
      <w:r>
        <w:t xml:space="preserve">The Early component. 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w:t>
      </w:r>
      <w:r>
        <w:t xml:space="preserve">Section S1.5.5</w:t>
      </w:r>
      <w:r>
        <w:t xml:space="preserve">)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Question: does the early versus late contrast persist without merging Proto and Early?</w:t>
      </w:r>
      <w:r>
        <w:t xml:space="preserve"> </w:t>
      </w:r>
      <w:r>
        <w:t xml:space="preserve">Yes. 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Question: does splitting Aur-P2 into Evolved and Late sub-phases reveal internal differentiation or only data limitation?</w:t>
      </w:r>
      <w:r>
        <w:t xml:space="preserve"> </w:t>
      </w:r>
      <w:r>
        <w:t xml:space="preserve">Only data limitation can be shown; the split is addressed with</w:t>
      </w:r>
      <w:r>
        <w:t xml:space="preserve"> </w:t>
      </w:r>
      <w:hyperlink w:anchor="tbl-four-phase-periodisation">
        <w:r>
          <w:rPr>
            <w:rStyle w:val="Hyperlink"/>
          </w:rPr>
          <w:t xml:space="preserve">Table S 9</w:t>
        </w:r>
      </w:hyperlink>
      <w:r>
        <w:t xml:space="preserve"> </w:t>
      </w:r>
      <w:r>
        <w:t xml:space="preserve">below.</w:t>
      </w:r>
      <w:r>
        <w:t xml:space="preserve"> </w:t>
      </w: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r>
        <w:t xml:space="preserve">Section S1.5.1</w:t>
      </w:r>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80"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S 9: Network statistics under the four-phase periodisation (Proto, Early, Evolved, Late Aurignacian) at threshold = 0.2. The Evolved/Late split of Aur-P2 follows the four-phase Aurignacian taxonomy of</w:t>
            </w:r>
            <w:r>
              <w:t xml:space="preserve"> </w:t>
            </w:r>
            <w:r>
              <w:t xml:space="preserve">[4]</w:t>
            </w:r>
            <w:r>
              <w:t xml:space="preserve">, with the boundary at 35 ka BP calibrated.</w:t>
            </w:r>
          </w:p>
          <w:bookmarkEnd w:id="80"/>
        </w:tc>
      </w:tr>
    </w:tbl>
    <w:p>
      <w:pPr>
        <w:pStyle w:val="BodyText"/>
      </w:pPr>
      <w:r>
        <w:rPr>
          <w:bCs/>
          <w:b/>
        </w:rPr>
        <w:t xml:space="preserve">Question: does splitting Aur-P2 into Evolved and Late sub-phases reveal internal differentiation or only data limitation? (four-phase detail).</w:t>
      </w:r>
      <w:r>
        <w:t xml:space="preserve"> </w:t>
      </w:r>
      <w:r>
        <w:t xml:space="preserve">The four-phase Aurignacian taxonomy of</w:t>
      </w:r>
      <w:r>
        <w:t xml:space="preserve"> </w:t>
      </w:r>
      <w:r>
        <w:t xml:space="preserve">[4]</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pPr>
        <w:pStyle w:val="BodyText"/>
      </w:pPr>
      <w:r>
        <w:rPr>
          <w:bCs/>
          <w:b/>
        </w:rPr>
        <w:t xml:space="preserve">Implication for the main text.</w:t>
      </w:r>
      <w:r>
        <w:t xml:space="preserve"> </w:t>
      </w:r>
      <w:r>
        <w:t xml:space="preserve">The two-phase Aur-P1 greater than Aur-P2 ordering is carried by the Early component and does not depend on where the Proto/Early line is drawn; finer splits add no stable new structure.</w:t>
      </w:r>
    </w:p>
    <w:bookmarkEnd w:id="81"/>
    <w:bookmarkEnd w:id="82"/>
    <w:bookmarkStart w:id="86" w:name="sec-s5-3"/>
    <w:p>
      <w:pPr>
        <w:pStyle w:val="Heading2"/>
      </w:pPr>
      <w:r>
        <w:t xml:space="preserve">S1.5.3 Date-variant calibration</w:t>
      </w:r>
    </w:p>
    <w:bookmarkStart w:id="84" w:name="rationale-3"/>
    <w:p>
      <w:pPr>
        <w:pStyle w:val="Heading3"/>
      </w:pPr>
      <w:r>
        <w:t xml:space="preserve">Rationale</w:t>
      </w:r>
    </w:p>
    <w:p>
      <w:pPr>
        <w:pStyle w:val="FirstParagraph"/>
      </w:pPr>
      <w:r>
        <w:t xml:space="preserve">The date parser handles both ends of calibrated ranges and routes OSL ages around calibration with IntCal20 explicitly. The main analysis uses the older end to preserve the report-based Aur-P1 20 and Aur-P2 9 partition that matches frozen</w:t>
      </w:r>
      <w:r>
        <w:t xml:space="preserve"> </w:t>
      </w:r>
      <w:r>
        <w:rPr>
          <w:rStyle w:val="VerbatimChar"/>
        </w:rPr>
        <w:t xml:space="preserve">manual_groups</w:t>
      </w:r>
      <w:r>
        <w:t xml:space="preserve">. Here we re-run phase assignment with older, midpoint, and younger variants to test sensitivity to which calibrated median is used.</w:t>
      </w:r>
    </w:p>
    <w:p>
      <w:pPr>
        <w:pStyle w:val="BodyText"/>
      </w:pPr>
      <w:r>
        <w:rPr>
          <w:bCs/>
          <w:b/>
        </w:rPr>
        <w:t xml:space="preserve">Question: how many sites change phase across older, midpoint, and younger date variants, and in which direction?</w:t>
      </w:r>
    </w:p>
    <w:tbl>
      <w:tblPr>
        <w:tblStyle w:val="Table"/>
        <w:tblW w:type="pct" w:w="5000"/>
        <w:tblLook w:firstRow="0" w:lastRow="0" w:firstColumn="0" w:lastColumn="0" w:noHBand="0" w:noVBand="0" w:val="0000"/>
        <w:jc w:val="start"/>
        <w:tblLayout w:type="fixed"/>
      </w:tblPr>
      <w:tblGrid>
        <w:gridCol w:w="7920"/>
      </w:tblGrid>
      <w:tr>
        <w:tc>
          <w:tcPr/>
          <w:bookmarkStart w:id="83"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S 10: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83"/>
        </w:tc>
      </w:tr>
    </w:tbl>
    <w:bookmarkEnd w:id="84"/>
    <w:bookmarkStart w:id="85" w:name="interpretation-2"/>
    <w:p>
      <w:pPr>
        <w:pStyle w:val="Heading3"/>
      </w:pPr>
      <w:r>
        <w:t xml:space="preserve">Interpretation</w:t>
      </w:r>
    </w:p>
    <w:p>
      <w:pPr>
        <w:pStyle w:val="FirstParagraph"/>
      </w:pPr>
      <w:r>
        <w:rPr>
          <w:bCs/>
          <w:b/>
        </w:rPr>
        <w:t xml:space="preserve">Question: how many sites change phase across older, midpoint, and younger date variants, and in which direction?</w:t>
      </w:r>
      <w:r>
        <w:t xml:space="preserve"> </w:t>
      </w:r>
      <w:r>
        <w:t xml:space="preserve">The three date variants produce different phase assignments for several sites (</w:t>
      </w:r>
      <w:hyperlink w:anchor="tbl-date-variant-comparison">
        <w:r>
          <w:rPr>
            <w:rStyle w:val="Hyperlink"/>
          </w:rPr>
          <w:t xml:space="preserve">Table S 10</w:t>
        </w:r>
      </w:hyperlink>
      <w:r>
        <w:t xml:space="preser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that single-end calibration systematically biases sites toward the older phase.</w:t>
      </w:r>
    </w:p>
    <w:p>
      <w:pPr>
        <w:pStyle w:val="BodyText"/>
      </w:pPr>
      <w:r>
        <w:rPr>
          <w:bCs/>
          <w:b/>
        </w:rPr>
        <w:t xml:space="preserve">Implication for the main text.</w:t>
      </w:r>
      <w:r>
        <w:t xml:space="preserve"> </w:t>
      </w:r>
      <w:r>
        <w:t xml:space="preserve">Phase assignment for boundary-proximal sites depends on the chosen date end, which is why the main text fixes technology-based overrides and tests boundary shifts separately in</w:t>
      </w:r>
      <w:r>
        <w:t xml:space="preserve"> </w:t>
      </w:r>
      <w:r>
        <w:t xml:space="preserve">Section S1.5.4</w:t>
      </w:r>
      <w:r>
        <w:t xml:space="preserve">.</w:t>
      </w:r>
    </w:p>
    <w:bookmarkEnd w:id="85"/>
    <w:bookmarkEnd w:id="86"/>
    <w:bookmarkStart w:id="91" w:name="sec-s5-4"/>
    <w:p>
      <w:pPr>
        <w:pStyle w:val="Heading2"/>
      </w:pPr>
      <w:r>
        <w:t xml:space="preserve">S1.5.4 Phase-boundary sensitivity</w:t>
      </w:r>
    </w:p>
    <w:bookmarkStart w:id="89" w:name="rationale-4"/>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 It answers two specific questions:</w:t>
      </w:r>
    </w:p>
    <w:p>
      <w:pPr>
        <w:pStyle w:val="BodyText"/>
      </w:pPr>
      <w:r>
        <w:rPr>
          <w:bCs/>
          <w:b/>
        </w:rPr>
        <w:t xml:space="preserve">Question: which sites and objects lie close enough to the boundary to change phase when it shifts?</w:t>
      </w:r>
    </w:p>
    <w:p>
      <w:pPr>
        <w:pStyle w:val="BodyText"/>
      </w:pPr>
      <w:r>
        <w:rPr>
          <w:bCs/>
          <w:b/>
        </w:rPr>
        <w:t xml:space="preserve">Question: does the Aur-P1 greater than Aur-P2 connectivity ordering survive shifts of plus or minus 500 and 1000 years?</w:t>
      </w:r>
    </w:p>
    <w:tbl>
      <w:tblPr>
        <w:tblStyle w:val="Table"/>
        <w:tblW w:type="pct" w:w="5000"/>
        <w:tblLook w:firstRow="0" w:lastRow="0" w:firstColumn="0" w:lastColumn="0" w:noHBand="0" w:noVBand="0" w:val="0000"/>
        <w:jc w:val="start"/>
        <w:tblLayout w:type="fixed"/>
      </w:tblPr>
      <w:tblGrid>
        <w:gridCol w:w="7920"/>
      </w:tblGrid>
      <w:tr>
        <w:tc>
          <w:tcPr/>
          <w:bookmarkStart w:id="87"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S 11: Number of objects and sites within ±500 and ±1000 calibrated years of the single periodisation boundary at 37799 BP separating Aur-P1 from Aur-P2.</w:t>
            </w:r>
          </w:p>
          <w:bookmarkEnd w:id="8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8"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S 12: Network statistics at the baseline threshold of 0.2 under shifts of the single Aur-P1/Aur-P2 boundary. Positive shifts move the boundary later (older objects reassigned to Aur-P2); negative shifts move it earlier (younger Aur-P2 objects reassigned to Aur-P1).</w:t>
            </w:r>
          </w:p>
          <w:bookmarkEnd w:id="88"/>
        </w:tc>
      </w:tr>
    </w:tbl>
    <w:bookmarkEnd w:id="89"/>
    <w:bookmarkStart w:id="90" w:name="interpretation-3"/>
    <w:p>
      <w:pPr>
        <w:pStyle w:val="Heading3"/>
      </w:pPr>
      <w:r>
        <w:t xml:space="preserve">Interpretation</w:t>
      </w:r>
    </w:p>
    <w:p>
      <w:pPr>
        <w:pStyle w:val="FirstParagraph"/>
      </w:pPr>
      <w:r>
        <w:rPr>
          <w:bCs/>
          <w:b/>
        </w:rPr>
        <w:t xml:space="preserve">Question: which sites and objects lie close enough to the boundary to change phase when it shifts?</w:t>
      </w:r>
      <w:r>
        <w:t xml:space="preserve"> </w:t>
      </w: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pPr>
        <w:pStyle w:val="BodyText"/>
      </w:pPr>
      <w:r>
        <w:rPr>
          <w:bCs/>
          <w:b/>
        </w:rPr>
        <w:t xml:space="preserve">Question: does the Aur-P1 greater than Aur-P2 connectivity ordering survive shifts of plus or minus 500 and 1000 years?</w:t>
      </w:r>
      <w:r>
        <w:t xml:space="preserve"> </w:t>
      </w:r>
      <w:r>
        <w:t xml:space="preserve">Yes. 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pPr>
        <w:pStyle w:val="BodyText"/>
      </w:pPr>
      <w:r>
        <w:rPr>
          <w:bCs/>
          <w:b/>
        </w:rPr>
        <w:t xml:space="preserve">Implication for the main text.</w:t>
      </w:r>
      <w:r>
        <w:t xml:space="preserve"> </w:t>
      </w: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90"/>
    <w:bookmarkEnd w:id="91"/>
    <w:bookmarkStart w:id="97" w:name="sec-s5-5"/>
    <w:p>
      <w:pPr>
        <w:pStyle w:val="Heading2"/>
      </w:pPr>
      <w:r>
        <w:t xml:space="preserve">S1.5.5 Technological versus date-based assignment</w:t>
      </w:r>
    </w:p>
    <w:bookmarkStart w:id="92"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2"/>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2"/>
        </w:numPr>
        <w:pStyle w:val="Compact"/>
      </w:pPr>
      <w:r>
        <w:rPr>
          <w:bCs/>
          <w:b/>
        </w:rPr>
        <w:t xml:space="preserve">La Ferrassie</w:t>
      </w:r>
      <w:r>
        <w:t xml:space="preserve">: The Aurignacian at La Ferrassie begins in Layer 7, directly overlying the Châtelperronian (Layer 6).</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Early/Recent Aurignacian components.</w:t>
      </w:r>
    </w:p>
    <w:p>
      <w:pPr>
        <w:numPr>
          <w:ilvl w:val="0"/>
          <w:numId w:val="1002"/>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cal BP) are too young for Proto-Aurignacian</w:t>
      </w:r>
      <w:r>
        <w:t xml:space="preserve"> </w:t>
      </w:r>
      <w:r>
        <w:t xml:space="preserve">[10]</w:t>
      </w:r>
      <w:r>
        <w:t xml:space="preserve">.</w:t>
      </w:r>
    </w:p>
    <w:p>
      <w:pPr>
        <w:numPr>
          <w:ilvl w:val="0"/>
          <w:numId w:val="1002"/>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 It answers two specific questions:</w:t>
      </w:r>
    </w:p>
    <w:p>
      <w:pPr>
        <w:pStyle w:val="BodyText"/>
      </w:pPr>
      <w:r>
        <w:rPr>
          <w:bCs/>
          <w:b/>
        </w:rPr>
        <w:t xml:space="preserve">Question: does the Aur-P1 greater than Aur-P2 connectivity ordering survive under purely date-based assignment?</w:t>
      </w:r>
    </w:p>
    <w:p>
      <w:pPr>
        <w:pStyle w:val="BodyText"/>
      </w:pPr>
      <w:r>
        <w:rPr>
          <w:bCs/>
          <w:b/>
        </w:rPr>
        <w:t xml:space="preserve">Question: does the Aur-P1 greater than Aur-P2 connectivity ordering survive when Vogelherd is excluded entirely?</w:t>
      </w:r>
    </w:p>
    <w:bookmarkEnd w:id="92"/>
    <w:bookmarkStart w:id="95" w:name="analysis-1"/>
    <w:p>
      <w:pPr>
        <w:pStyle w:val="Heading3"/>
      </w:pPr>
      <w:r>
        <w:t xml:space="preserve">Analysis</w:t>
      </w:r>
    </w:p>
    <w:tbl>
      <w:tblPr>
        <w:tblStyle w:val="Table"/>
        <w:tblW w:type="pct" w:w="5000"/>
        <w:tblLook w:firstRow="0" w:lastRow="0" w:firstColumn="0" w:lastColumn="0" w:noHBand="0" w:noVBand="0" w:val="0000"/>
        <w:jc w:val="start"/>
        <w:tblLayout w:type="fixed"/>
      </w:tblPr>
      <w:tblGrid>
        <w:gridCol w:w="7920"/>
      </w:tblGrid>
      <w:tr>
        <w:tc>
          <w:tcPr/>
          <w:bookmarkStart w:id="93"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S 13: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93"/>
        </w:tc>
      </w:tr>
    </w:tbl>
    <w:p>
      <w:pPr>
        <w:pStyle w:val="BodyText"/>
      </w:pPr>
      <w:r>
        <w:rPr>
          <w:bCs/>
          <w:b/>
        </w:rPr>
        <w:t xml:space="preserve">Effects by condition.</w:t>
      </w:r>
    </w:p>
    <w:p>
      <w:pPr>
        <w:pStyle w:val="BodyText"/>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[10]</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p>
      <w:pPr>
        <w:pStyle w:val="BodyText"/>
      </w:pPr>
      <w:r>
        <w:rPr>
          <w:bCs/>
          <w:b/>
        </w:rPr>
        <w:t xml:space="preserve">Phase-ordering robustness.</w:t>
      </w:r>
      <w:r>
        <w:t xml:space="preserve"> </w:t>
      </w: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94" w:name="tbl-ordering-by-condition"/>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S 14: Mean degree by phase under each reassignment condition. The Aur-P1 &gt; Aur-P2 ordering is preserved under every condition.</w:t>
            </w:r>
          </w:p>
          <w:bookmarkEnd w:id="94"/>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95"/>
    <w:bookmarkStart w:id="96" w:name="interpretation-4"/>
    <w:p>
      <w:pPr>
        <w:pStyle w:val="Heading3"/>
      </w:pPr>
      <w:r>
        <w:t xml:space="preserve">Interpretation</w:t>
      </w:r>
    </w:p>
    <w:p>
      <w:pPr>
        <w:pStyle w:val="FirstParagraph"/>
      </w:pPr>
      <w:r>
        <w:rPr>
          <w:bCs/>
          <w:b/>
        </w:rPr>
        <w:t xml:space="preserve">Question: does the Aur-P1 greater than Aur-P2 connectivity ordering survive under purely date-based assignment?</w:t>
      </w:r>
      <w:r>
        <w:t xml:space="preserve"> </w:t>
      </w:r>
      <w:r>
        <w:t xml:space="preserve">Yes. The robustness of the Aur-P1 &gt; Aur-P2 connectivity contrast to the assignment criterion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 Under the date-based assignment Aur-P1’s mean degree rises (from 7.5 to 8) and Aur-P2’s falls (from 4.22 to 3.6), so the contrast is not an artefact of the technological reassignment; the naive date-based assignment, if anything, strengthens it (</w:t>
      </w:r>
      <w:hyperlink w:anchor="tbl-reclass-comparison">
        <w:r>
          <w:rPr>
            <w:rStyle w:val="Hyperlink"/>
          </w:rPr>
          <w:t xml:space="preserve">Table S 13</w:t>
        </w:r>
      </w:hyperlink>
      <w:r>
        <w:t xml:space="preserve">;</w:t>
      </w:r>
      <w:r>
        <w:t xml:space="preserve"> </w:t>
      </w:r>
      <w:hyperlink w:anchor="tbl-ordering-by-condition">
        <w:r>
          <w:rPr>
            <w:rStyle w:val="Hyperlink"/>
          </w:rPr>
          <w:t xml:space="preserve">Table S 14</w:t>
        </w:r>
      </w:hyperlink>
      <w:r>
        <w:t xml:space="preserve">).</w:t>
      </w:r>
    </w:p>
    <w:p>
      <w:pPr>
        <w:pStyle w:val="BodyText"/>
      </w:pPr>
      <w:r>
        <w:rPr>
          <w:bCs/>
          <w:b/>
        </w:rPr>
        <w:t xml:space="preserve">Question: does the Aur-P1 greater than Aur-P2 connectivity ordering survive when Vogelherd is excluded entirely?</w:t>
      </w:r>
      <w:r>
        <w:t xml:space="preserve"> </w:t>
      </w:r>
      <w:r>
        <w:t xml:space="preserve">Yes. Excluding Vogelherd leaves the ordering intact (7.26 versus 4.22), consistent with</w:t>
      </w:r>
      <w:r>
        <w:t xml:space="preserve"> </w:t>
      </w:r>
      <w:r>
        <w:t xml:space="preserve">Section S1.12.7</w:t>
      </w:r>
      <w:r>
        <w:t xml:space="preserve"> </w:t>
      </w:r>
      <w:r>
        <w:t xml:space="preserve">showing that Aur-P1’s network does not depend on a single site. Removing Vogelherd’s 173 objects reduces Aur-P1 from 20 to 19 sites and from 75 to 69 edges, with mean degree falling from 7.5 to 7.26, while Aur-P2 is unaffected.</w:t>
      </w:r>
    </w:p>
    <w:p>
      <w:pPr>
        <w:pStyle w:val="BodyText"/>
      </w:pPr>
      <w:r>
        <w:rPr>
          <w:bCs/>
          <w:b/>
        </w:rPr>
        <w:t xml:space="preserve">Implication for the main text.</w:t>
      </w:r>
      <w:r>
        <w:t xml:space="preserve"> </w:t>
      </w: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S1.7.4</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 Finally, the within-phase two-group structure (RQ1), the restricted/broad dichotomy recovered by seriation, Louvain community detection, and bootstrap consensus (</w:t>
      </w:r>
      <w:r>
        <w:t xml:space="preserve">Section S1.6</w:t>
      </w:r>
      <w:r>
        <w:t xml:space="preserve">,</w:t>
      </w:r>
      <w:r>
        <w:t xml:space="preserve"> </w:t>
      </w:r>
      <w:r>
        <w:t xml:space="preserve">Section S1.9</w:t>
      </w:r>
      <w:r>
        <w:t xml:space="preserve">), is defined within each phase’s membership and is unaffected by the between-phase assignment criterion tested here. The stochastic block model (</w:t>
      </w:r>
      <w:r>
        <w:t xml:space="preserve">Section S1.9.3</w:t>
      </w:r>
      <w:r>
        <w:t xml:space="preserve">) recovers this dichotomy as its two largest blocks in Aur-P1 under all three emission models (Bernoulli K = 3, Gaussian K = 4, Poisson K = 3), while in Aur-P2 only the Gaussian model selects more than one block, by a margin of 0.90 ICL points.</w:t>
      </w:r>
    </w:p>
    <w:bookmarkEnd w:id="96"/>
    <w:bookmarkEnd w:id="97"/>
    <w:bookmarkEnd w:id="98"/>
    <w:bookmarkStart w:id="118" w:name="sec-s6"/>
    <w:p>
      <w:pPr>
        <w:pStyle w:val="Heading1"/>
      </w:pPr>
      <w:r>
        <w:t xml:space="preserve">S1.6 Automated Group Recovery as a Circularity Check</w:t>
      </w:r>
    </w:p>
    <w:bookmarkStart w:id="99" w:name="sec-s6-rationale"/>
    <w:p>
      <w:pPr>
        <w:pStyle w:val="Heading2"/>
      </w:pPr>
      <w:r>
        <w:t xml:space="preserve">S1.6.1 Rationale</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 It answers three specific questions:</w:t>
      </w:r>
    </w:p>
    <w:p>
      <w:pPr>
        <w:pStyle w:val="BodyText"/>
      </w:pPr>
      <w:r>
        <w:rPr>
          <w:bCs/>
          <w:b/>
        </w:rPr>
        <w:t xml:space="preserve">Question: how well do automatically detected communities reproduce the manual restricted and broad groups?</w:t>
      </w:r>
    </w:p>
    <w:p>
      <w:pPr>
        <w:pStyle w:val="BodyText"/>
      </w:pPr>
      <w:r>
        <w:rPr>
          <w:bCs/>
          <w:b/>
        </w:rPr>
        <w:t xml:space="preserve">Question: do automatically detected communities explain as much sign-composition variance as the manual groups?</w:t>
      </w:r>
    </w:p>
    <w:p>
      <w:pPr>
        <w:pStyle w:val="BodyText"/>
      </w:pPr>
      <w:r>
        <w:rPr>
          <w:bCs/>
          <w:b/>
        </w:rPr>
        <w:t xml:space="preserve">Question: is the community structure richer than a binary split, and does that richness differ by phase and algorithm?</w:t>
      </w:r>
    </w:p>
    <w:bookmarkEnd w:id="99"/>
    <w:bookmarkStart w:id="103" w:name="sec-s6-1"/>
    <w:p>
      <w:pPr>
        <w:pStyle w:val="Heading2"/>
      </w:pPr>
      <w:r>
        <w:t xml:space="preserve">S1.6.2 Louvain community partitioning</w:t>
      </w:r>
    </w:p>
    <w:bookmarkStart w:id="102" w:name="method"/>
    <w:p>
      <w:pPr>
        <w:pStyle w:val="Heading3"/>
      </w:pPr>
      <w:r>
        <w:t xml:space="preserve">Method</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3"/>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3"/>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100"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S 15: Louvain community memberships for each site, by phase and threshold. Sites with no community assignment (no edges at that threshold) are assigned to a singleton community. Groups are numbered by Louvain membership.</w:t>
            </w:r>
          </w:p>
          <w:bookmarkEnd w:id="10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1"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S 16: Adjusted Rand Index (ARI) between Louvain-derived communities and the manually assigned restricted/broad groups, by phase and threshold. ARI = 1.0 indicates identical partitions; ARI ≈ 0 indicates agreement no better than chance.</w:t>
            </w:r>
          </w:p>
          <w:bookmarkEnd w:id="101"/>
        </w:tc>
      </w:tr>
    </w:tbl>
    <w:bookmarkEnd w:id="102"/>
    <w:bookmarkEnd w:id="103"/>
    <w:bookmarkStart w:id="106" w:name="sec-s6-2"/>
    <w:p>
      <w:pPr>
        <w:pStyle w:val="Heading2"/>
      </w:pPr>
      <w:r>
        <w:t xml:space="preserve">S1.6.3 Infomap community partitioning</w:t>
      </w:r>
    </w:p>
    <w:bookmarkStart w:id="105" w:name="method-1"/>
    <w:p>
      <w:pPr>
        <w:pStyle w:val="Heading3"/>
      </w:pPr>
      <w:r>
        <w:t xml:space="preserve">Method</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4"/>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4"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17: Adjusted Rand Index (ARI) between Infomap-derived communities and Louvain-derived communities, by phase and threshold. ARI = 1.0 indicates identical partitions; ARI ≈ 0 indicates agreement no better than chance.</w:t>
            </w:r>
          </w:p>
          <w:bookmarkEnd w:id="104"/>
        </w:tc>
      </w:tr>
    </w:tbl>
    <w:bookmarkEnd w:id="105"/>
    <w:bookmarkEnd w:id="106"/>
    <w:bookmarkStart w:id="109" w:name="sec-s6-3"/>
    <w:p>
      <w:pPr>
        <w:pStyle w:val="Heading2"/>
      </w:pPr>
      <w:r>
        <w:t xml:space="preserve">S1.6.4 Leiden community partitioning</w:t>
      </w:r>
    </w:p>
    <w:bookmarkStart w:id="108" w:name="method-2"/>
    <w:p>
      <w:pPr>
        <w:pStyle w:val="Heading3"/>
      </w:pPr>
      <w:r>
        <w:t xml:space="preserve">Method</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7"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18: Adjusted Rand Index (ARI) between Leiden-derived communities and Louvain-derived communities, by phase and threshold. ARI = 1.0 indicates identical partitions; ARI ≈ 0 indicates agreement no better than chance.</w:t>
            </w:r>
          </w:p>
          <w:bookmarkEnd w:id="107"/>
        </w:tc>
      </w:tr>
    </w:tbl>
    <w:bookmarkEnd w:id="108"/>
    <w:bookmarkEnd w:id="109"/>
    <w:bookmarkStart w:id="112" w:name="sec-s6-4"/>
    <w:p>
      <w:pPr>
        <w:pStyle w:val="Heading2"/>
      </w:pPr>
      <w:r>
        <w:t xml:space="preserve">S1.6.5 Walktrap community partitioning</w:t>
      </w:r>
    </w:p>
    <w:bookmarkStart w:id="111" w:name="method-3"/>
    <w:p>
      <w:pPr>
        <w:pStyle w:val="Heading3"/>
      </w:pPr>
      <w:r>
        <w:t xml:space="preserve">Method</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10"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S 19: Adjusted Rand Index (ARI) between Walktrap-derived communities and Louvain-derived communities, by phase and threshold. ARI = 1.0 indicates identical partitions; ARI ≈ 0 indicates agreement no better than chance.</w:t>
            </w:r>
          </w:p>
          <w:bookmarkEnd w:id="110"/>
        </w:tc>
      </w:tr>
    </w:tbl>
    <w:bookmarkEnd w:id="111"/>
    <w:bookmarkEnd w:id="112"/>
    <w:bookmarkStart w:id="115" w:name="sec-s6-5"/>
    <w:p>
      <w:pPr>
        <w:pStyle w:val="Heading2"/>
      </w:pPr>
      <w:r>
        <w:t xml:space="preserve">S1.6.6 PerMANOVA comparison</w:t>
      </w:r>
    </w:p>
    <w:bookmarkStart w:id="114" w:name="method-4"/>
    <w:p>
      <w:pPr>
        <w:pStyle w:val="Heading3"/>
      </w:pPr>
      <w:r>
        <w:t xml:space="preserve">Method</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13"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S 20: PerMANOVA comparison: manual (restricted/broad) grouping versus algorithmically derived groupings. R² and pseudo-F for each phase, threshold, and community detection algorithm.</w:t>
            </w:r>
          </w:p>
          <w:bookmarkEnd w:id="113"/>
        </w:tc>
      </w:tr>
    </w:tbl>
    <w:bookmarkEnd w:id="114"/>
    <w:bookmarkEnd w:id="115"/>
    <w:bookmarkStart w:id="116" w:name="sec-s6-6"/>
    <w:p>
      <w:pPr>
        <w:pStyle w:val="Heading2"/>
      </w:pPr>
      <w:r>
        <w:t xml:space="preserve">S1.6.7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15</w:t>
        </w:r>
      </w:hyperlink>
      <w:r>
        <w:t xml:space="preserve">,</w:t>
      </w:r>
      <w:r>
        <w:t xml:space="preserve"> </w:t>
      </w:r>
      <w:hyperlink w:anchor="tbl-ari-louvain">
        <w:r>
          <w:rPr>
            <w:rStyle w:val="Hyperlink"/>
          </w:rPr>
          <w:t xml:space="preserve">Table S 16</w:t>
        </w:r>
      </w:hyperlink>
      <w:r>
        <w:t xml:space="preserve">,</w:t>
      </w:r>
      <w:r>
        <w:t xml:space="preserve"> </w:t>
      </w:r>
      <w:hyperlink w:anchor="tbl-ari-infomap">
        <w:r>
          <w:rPr>
            <w:rStyle w:val="Hyperlink"/>
          </w:rPr>
          <w:t xml:space="preserve">Table S 17</w:t>
        </w:r>
      </w:hyperlink>
      <w:r>
        <w:t xml:space="preserve">,</w:t>
      </w:r>
      <w:r>
        <w:t xml:space="preserve"> </w:t>
      </w:r>
      <w:hyperlink w:anchor="tbl-ari-leiden">
        <w:r>
          <w:rPr>
            <w:rStyle w:val="Hyperlink"/>
          </w:rPr>
          <w:t xml:space="preserve">Table S 18</w:t>
        </w:r>
      </w:hyperlink>
      <w:r>
        <w:t xml:space="preserve">,</w:t>
      </w:r>
      <w:r>
        <w:t xml:space="preserve"> </w:t>
      </w:r>
      <w:hyperlink w:anchor="tbl-ari-walktrap">
        <w:r>
          <w:rPr>
            <w:rStyle w:val="Hyperlink"/>
          </w:rPr>
          <w:t xml:space="preserve">Table S 19</w:t>
        </w:r>
      </w:hyperlink>
      <w:r>
        <w:t xml:space="preserve">,</w:t>
      </w:r>
      <w:r>
        <w:t xml:space="preserve"> </w:t>
      </w:r>
      <w:hyperlink w:anchor="tbl-permanova-comparison">
        <w:r>
          <w:rPr>
            <w:rStyle w:val="Hyperlink"/>
          </w:rPr>
          <w:t xml:space="preserve">Table S 20</w:t>
        </w:r>
      </w:hyperlink>
      <w:r>
        <w:t xml:space="preserve">). Counts below are read from those tables at render time, not hardcoded, so the text cannot drift from the computation. The detailed patterns are answered jointly in Interpretation below.</w:t>
      </w:r>
    </w:p>
    <w:bookmarkEnd w:id="116"/>
    <w:bookmarkStart w:id="117" w:name="sec-s6-7"/>
    <w:p>
      <w:pPr>
        <w:pStyle w:val="Heading2"/>
      </w:pPr>
      <w:r>
        <w:t xml:space="preserve">S1.6.8 Interpretation</w:t>
      </w:r>
    </w:p>
    <w:p>
      <w:pPr>
        <w:pStyle w:val="FirstParagraph"/>
      </w:pPr>
      <w:r>
        <w:rPr>
          <w:bCs/>
          <w:b/>
        </w:rPr>
        <w:t xml:space="preserve">Question: how well do automatically detected communities reproduce the manual restricted and broad groups?</w:t>
      </w:r>
      <w:r>
        <w:t xml:space="preserve"> </w:t>
      </w:r>
      <w:r>
        <w:t xml:space="preserve">Well in Aur-P1 and partly in Aur-P2. The Adjusted Rand Index quantifies agreement between the Louvain partitions and the manual restricted/broad assignment (</w:t>
      </w:r>
      <w:hyperlink w:anchor="tbl-ari-louvain">
        <w:r>
          <w:rPr>
            <w:rStyle w:val="Hyperlink"/>
          </w:rPr>
          <w:t xml:space="preserve">Table S 16</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Cross-algorithm agreement is strongest in Aur-P1 and at threshold 0.2: Infomap produces the most conservative result with fewer communities than Louvain especially in Aur-P2; Leiden differs in key cases, particularly at threshold 0.2 in Aur-P2 where Leiden finds 1 community versus Louvain’s 3; Walktrap matches Louvain (ARI = 1.000) at threshold 0.2 in both phases but differs at other thresholds. Aur-P1 shows convergence across optimisation criteria, while Aur-P2 shows algorithm dependence from its 9-site sample.</w:t>
      </w:r>
    </w:p>
    <w:p>
      <w:pPr>
        <w:pStyle w:val="BodyText"/>
      </w:pPr>
      <w:r>
        <w:rPr>
          <w:bCs/>
          <w:b/>
        </w:rPr>
        <w:t xml:space="preserve">Question: do automatically detected communities explain as much sign-composition variance as the manual groups?</w:t>
      </w:r>
      <w:r>
        <w:t xml:space="preserve"> </w:t>
      </w:r>
      <w:r>
        <w:t xml:space="preserve">Yes, they explain more. The PerMANOVA comparison provides the most direct test of whether the main-text results are circular (</w:t>
      </w:r>
      <w:hyperlink w:anchor="tbl-permanova-comparison">
        <w:r>
          <w:rPr>
            <w:rStyle w:val="Hyperlink"/>
          </w:rPr>
          <w:t xml:space="preserve">Table S 20</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NA), so the algorithmically detected structure is statistically significant in both phases, including Aur-P2, where the manual-group PerMANOVA is non-significant (p = 0.076). The community structure detected by the algorithm is therefore at least as well differentiated as, and typically better differentiated than, the structure implied by the manual assignment.</w:t>
      </w:r>
    </w:p>
    <w:p>
      <w:pPr>
        <w:pStyle w:val="BodyText"/>
      </w:pPr>
      <w:r>
        <w:rPr>
          <w:bCs/>
          <w:b/>
        </w:rPr>
        <w:t xml:space="preserve">Question: is the community structure richer than a binary split, and does that richness differ by phase and algorithm?</w:t>
      </w:r>
      <w:r>
        <w:t xml:space="preserve"> </w:t>
      </w:r>
      <w:r>
        <w:t xml:space="preserve">Yes. 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15</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Algorithm choice matters for small, sparse networks: in Aur-P2’s small sample (9 sites), the algorithm choice alters conclusions about community structure. The manual two-group split is not universally recovered: while Louvain and Walktrap at threshold 0.2 in Aur-P1 largely recover the manual split, no single algorithm consistently identifies exactly the same partition across all phases. Some algorithms (particularly Infomap) are more robust but may miss structure in Aur-P2, while Walktrap at threshold 0.2 shows strong agreement with Louvain.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p>
      <w:pPr>
        <w:pStyle w:val="BodyText"/>
      </w:pPr>
      <w:r>
        <w:rPr>
          <w:bCs/>
          <w:b/>
        </w:rPr>
        <w:t xml:space="preserve">Implication for the main text.</w:t>
      </w:r>
      <w:r>
        <w:t xml:space="preserve"> </w:t>
      </w: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7"/>
    <w:bookmarkEnd w:id="118"/>
    <w:bookmarkStart w:id="144" w:name="sec-s7"/>
    <w:p>
      <w:pPr>
        <w:pStyle w:val="Heading1"/>
      </w:pPr>
      <w:r>
        <w:t xml:space="preserve">S1.7 Network Calibration</w:t>
      </w:r>
    </w:p>
    <w:bookmarkStart w:id="119" w:name="sec-s7-rationale"/>
    <w:p>
      <w:pPr>
        <w:pStyle w:val="Heading2"/>
      </w:pPr>
      <w:r>
        <w:t xml:space="preserve">S1.7.1 Rationale</w:t>
      </w:r>
    </w:p>
    <w:p>
      <w:pPr>
        <w:pStyle w:val="FirstParagraph"/>
      </w:pPr>
      <w:r>
        <w:t xml:space="preserve">Calibration checks ask whether modularity, degree, and significance survive nulls, sampling noise, multiple testing, and network size. They do not test group existence itself. Five checks follow: null-benchmarked modularity, richness-degree confound, bootstrap stability bands, multiple-testing correction, and size-normalised comparison. Each check states its questions in Rationale and answers them in Interpretation.</w:t>
      </w:r>
    </w:p>
    <w:bookmarkEnd w:id="119"/>
    <w:bookmarkStart w:id="123" w:name="sec-s7-1"/>
    <w:p>
      <w:pPr>
        <w:pStyle w:val="Heading2"/>
      </w:pPr>
      <w:r>
        <w:t xml:space="preserve">S1.7.2 Null-benchmarked modularity</w:t>
      </w:r>
    </w:p>
    <w:bookmarkStart w:id="121" w:name="rationale-6"/>
    <w:p>
      <w:pPr>
        <w:pStyle w:val="Heading3"/>
      </w:pPr>
      <w:r>
        <w:t xml:space="preserve">Rationale</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p>
      <w:pPr>
        <w:pStyle w:val="BodyText"/>
      </w:pPr>
      <w:r>
        <w:rPr>
          <w:bCs/>
          <w:b/>
        </w:rPr>
        <w:t xml:space="preserve">Question: does observed modularity in each phase exceed the null expectation from randomly distributed sign assemblages?</w:t>
      </w:r>
    </w:p>
    <w:tbl>
      <w:tblPr>
        <w:tblStyle w:val="Table"/>
        <w:tblW w:type="pct" w:w="5000"/>
        <w:tblLook w:firstRow="0" w:lastRow="0" w:firstColumn="0" w:lastColumn="0" w:noHBand="0" w:noVBand="0" w:val="0000"/>
        <w:jc w:val="start"/>
        <w:tblLayout w:type="fixed"/>
      </w:tblPr>
      <w:tblGrid>
        <w:gridCol w:w="7920"/>
      </w:tblGrid>
      <w:tr>
        <w:tc>
          <w:tcPr/>
          <w:bookmarkStart w:id="120"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S 21: Observed modularity and null-model p-values for each Aurignacian phase at three Jaccard similarity thresholds.</w:t>
            </w:r>
          </w:p>
          <w:bookmarkEnd w:id="120"/>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bookmarkEnd w:id="121"/>
    <w:bookmarkStart w:id="122" w:name="interpretation-5"/>
    <w:p>
      <w:pPr>
        <w:pStyle w:val="Heading3"/>
      </w:pPr>
      <w:r>
        <w:t xml:space="preserve">Interpretation</w:t>
      </w:r>
    </w:p>
    <w:p>
      <w:pPr>
        <w:pStyle w:val="FirstParagraph"/>
      </w:pPr>
      <w:r>
        <w:rPr>
          <w:bCs/>
          <w:b/>
        </w:rPr>
        <w:t xml:space="preserve">Question: does observed modularity in each phase exceed the null expectation from randomly distributed sign assemblages?</w:t>
      </w:r>
      <w:r>
        <w:t xml:space="preserve"> </w:t>
      </w:r>
      <w:r>
        <w:t xml:space="preserve">Yes in well-sampled Aur-P1 at thresholds 0.2 and 0.3, and no in Aur-P2.</w:t>
      </w:r>
    </w:p>
    <w:p>
      <w:pPr>
        <w:pStyle w:val="BodyText"/>
      </w:pPr>
      <w:r>
        <w:rPr>
          <w:bCs/>
          <w:b/>
        </w:rPr>
        <w:t xml:space="preserve">Implication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does not reach significance.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22"/>
    <w:bookmarkEnd w:id="123"/>
    <w:bookmarkStart w:id="127" w:name="sec-s7-2"/>
    <w:p>
      <w:pPr>
        <w:pStyle w:val="Heading2"/>
      </w:pPr>
      <w:r>
        <w:t xml:space="preserve">S1.7.3 Richness and degree confound</w:t>
      </w:r>
    </w:p>
    <w:bookmarkStart w:id="125" w:name="rationale-7"/>
    <w:p>
      <w:pPr>
        <w:pStyle w:val="Heading3"/>
      </w:pPr>
      <w:r>
        <w:t xml:space="preserve">Rationale</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p>
      <w:pPr>
        <w:pStyle w:val="BodyText"/>
      </w:pPr>
      <w:r>
        <w:rPr>
          <w:bCs/>
          <w:b/>
        </w:rPr>
        <w:t xml:space="preserve">Question: is node degree driven by site sign-type richness rather than shared-sign connectivity?</w:t>
      </w:r>
    </w:p>
    <w:tbl>
      <w:tblPr>
        <w:tblStyle w:val="Table"/>
        <w:tblW w:type="pct" w:w="5000"/>
        <w:tblLook w:firstRow="0" w:lastRow="0" w:firstColumn="0" w:lastColumn="0" w:noHBand="0" w:noVBand="0" w:val="0000"/>
        <w:jc w:val="start"/>
        <w:tblLayout w:type="fixed"/>
      </w:tblPr>
      <w:tblGrid>
        <w:gridCol w:w="7920"/>
      </w:tblGrid>
      <w:tr>
        <w:tc>
          <w:tcPr/>
          <w:bookmarkStart w:id="124"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S 22: Spearman correlations between node degree and site sign richness (number of distinct sign types) within each Aurignacian phase, at the baseline threshold of 0.2.</w:t>
            </w:r>
          </w:p>
          <w:bookmarkEnd w:id="124"/>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bookmarkEnd w:id="125"/>
    <w:bookmarkStart w:id="126" w:name="interpretation-6"/>
    <w:p>
      <w:pPr>
        <w:pStyle w:val="Heading3"/>
      </w:pPr>
      <w:r>
        <w:t xml:space="preserve">Interpretation</w:t>
      </w:r>
    </w:p>
    <w:p>
      <w:pPr>
        <w:pStyle w:val="FirstParagraph"/>
      </w:pPr>
      <w:r>
        <w:rPr>
          <w:bCs/>
          <w:b/>
        </w:rPr>
        <w:t xml:space="preserve">Question: is node degree driven by site sign-type richness rather than shared-sign connectivity?</w:t>
      </w:r>
      <w:r>
        <w:t xml:space="preserve"> </w:t>
      </w:r>
      <w:r>
        <w:t xml:space="preserve">No. Neither phase shows a significant correlation between node degree and sign-type richness (Aur-P1: ρ = -0.254, p = 0.280; Aur-P2: ρ = 0.163, p = 0.676).</w:t>
      </w:r>
    </w:p>
    <w:p>
      <w:pPr>
        <w:pStyle w:val="BodyText"/>
      </w:pPr>
      <w:r>
        <w:rPr>
          <w:bCs/>
          <w:b/>
        </w:rPr>
        <w:t xml:space="preserve">Implication for the main text.</w:t>
      </w:r>
      <w:r>
        <w:t xml:space="preserve"> </w:t>
      </w:r>
      <w:r>
        <w:t xml:space="preserve">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126"/>
    <w:bookmarkEnd w:id="127"/>
    <w:bookmarkStart w:id="135" w:name="sec-s7-3"/>
    <w:p>
      <w:pPr>
        <w:pStyle w:val="Heading2"/>
      </w:pPr>
      <w:r>
        <w:t xml:space="preserve">S1.7.4 Bootstrap confidence intervals</w:t>
      </w:r>
    </w:p>
    <w:bookmarkStart w:id="133" w:name="rationale-8"/>
    <w:p>
      <w:pPr>
        <w:pStyle w:val="Heading3"/>
      </w:pPr>
      <w:r>
        <w:t xml:space="preserve">Rationale</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p>
      <w:pPr>
        <w:pStyle w:val="BodyText"/>
      </w:pPr>
      <w:r>
        <w:rPr>
          <w:bCs/>
          <w:b/>
        </w:rPr>
        <w:t xml:space="preserve">Question: are the Aur-P1 versus Aur-P2 mean-degree and modularity contrasts robust to object sampling within sites?</w:t>
      </w:r>
    </w:p>
    <w:tbl>
      <w:tblPr>
        <w:tblStyle w:val="Table"/>
        <w:tblW w:type="pct" w:w="5000"/>
        <w:tblLook w:firstRow="0" w:lastRow="0" w:firstColumn="0" w:lastColumn="0" w:noHBand="0" w:noVBand="0" w:val="0000"/>
        <w:jc w:val="start"/>
        <w:tblLayout w:type="fixed"/>
      </w:tblPr>
      <w:tblGrid>
        <w:gridCol w:w="7920"/>
      </w:tblGrid>
      <w:tr>
        <w:tc>
          <w:tcPr/>
          <w:bookmarkStart w:id="128" w:name="tbl-bootstrap-ci"/>
          <w:tbl>
            <w:tblPr>
              <w:tblStyle w:val="Table"/>
              <w:tblW w:type="pct" w:w="5000"/>
              <w:tblLook w:firstRow="1" w:lastRow="0" w:firstColumn="0" w:lastColumn="0" w:noHBand="0" w:noVBand="0" w:val="0020"/>
              <w:jc w:val="start"/>
              <w:tblLayout w:type="fixed"/>
            </w:tblPr>
            <w:tblGrid>
              <w:gridCol w:w="652"/>
              <w:gridCol w:w="2236"/>
              <w:gridCol w:w="559"/>
              <w:gridCol w:w="652"/>
              <w:gridCol w:w="559"/>
              <w:gridCol w:w="1304"/>
              <w:gridCol w:w="652"/>
              <w:gridCol w:w="652"/>
              <w:gridCol w:w="652"/>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5.70</w:t>
                  </w:r>
                </w:p>
              </w:tc>
              <w:tc>
                <w:tcPr/>
                <w:p>
                  <w:pPr>
                    <w:pStyle w:val="Compact"/>
                    <w:jc w:val="center"/>
                    <w:jc w:val="center"/>
                  </w:pPr>
                  <w:r>
                    <w:t xml:space="preserve">8.70</w:t>
                  </w:r>
                </w:p>
              </w:tc>
              <w:tc>
                <w:tcPr/>
                <w:p>
                  <w:pPr>
                    <w:pStyle w:val="Compact"/>
                    <w:jc w:val="center"/>
                    <w:jc w:val="center"/>
                  </w:pPr>
                  <w:r>
                    <w:t xml:space="preserve">0.74</w:t>
                  </w:r>
                </w:p>
              </w:tc>
              <w:tc>
                <w:tcPr/>
                <w:p>
                  <w:pPr>
                    <w:pStyle w:val="Compact"/>
                    <w:jc w:val="center"/>
                    <w:jc w:val="center"/>
                  </w:pPr>
                  <w:r>
                    <w:t xml:space="preserve">0.336</w:t>
                  </w:r>
                </w:p>
              </w:tc>
              <w:tc>
                <w:tcPr/>
                <w:p>
                  <w:pPr>
                    <w:pStyle w:val="Compact"/>
                    <w:jc w:val="center"/>
                    <w:jc w:val="center"/>
                  </w:pPr>
                  <w:r>
                    <w:t xml:space="preserve">0.239</w:t>
                  </w:r>
                </w:p>
              </w:tc>
              <w:tc>
                <w:tcPr/>
                <w:p>
                  <w:pPr>
                    <w:pStyle w:val="Compact"/>
                    <w:jc w:val="center"/>
                    <w:jc w:val="center"/>
                  </w:pPr>
                  <w:r>
                    <w:t xml:space="preserve">0.444</w:t>
                  </w:r>
                </w:p>
              </w:tc>
              <w:tc>
                <w:tcPr/>
                <w:p>
                  <w:pPr>
                    <w:pStyle w:val="Compact"/>
                    <w:jc w:val="center"/>
                    <w:jc w:val="center"/>
                  </w:pPr>
                  <w:r>
                    <w:t xml:space="preserve">0.051</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3.33</w:t>
                  </w:r>
                </w:p>
              </w:tc>
              <w:tc>
                <w:tcPr/>
                <w:p>
                  <w:pPr>
                    <w:pStyle w:val="Compact"/>
                    <w:jc w:val="center"/>
                    <w:jc w:val="center"/>
                  </w:pPr>
                  <w:r>
                    <w:t xml:space="preserve">5.78</w:t>
                  </w:r>
                </w:p>
              </w:tc>
              <w:tc>
                <w:tcPr/>
                <w:p>
                  <w:pPr>
                    <w:pStyle w:val="Compact"/>
                    <w:jc w:val="center"/>
                    <w:jc w:val="center"/>
                  </w:pPr>
                  <w:r>
                    <w:t xml:space="preserve">0.62</w:t>
                  </w:r>
                </w:p>
              </w:tc>
              <w:tc>
                <w:tcPr/>
                <w:p>
                  <w:pPr>
                    <w:pStyle w:val="Compact"/>
                    <w:jc w:val="center"/>
                    <w:jc w:val="center"/>
                  </w:pPr>
                  <w:r>
                    <w:t xml:space="preserve">0.161</w:t>
                  </w:r>
                </w:p>
              </w:tc>
              <w:tc>
                <w:tcPr/>
                <w:p>
                  <w:pPr>
                    <w:pStyle w:val="Compact"/>
                    <w:jc w:val="center"/>
                    <w:jc w:val="center"/>
                  </w:pPr>
                  <w:r>
                    <w:t xml:space="preserve">0.081</w:t>
                  </w:r>
                </w:p>
              </w:tc>
              <w:tc>
                <w:tcPr/>
                <w:p>
                  <w:pPr>
                    <w:pStyle w:val="Compact"/>
                    <w:jc w:val="center"/>
                    <w:jc w:val="center"/>
                  </w:pPr>
                  <w:r>
                    <w:t xml:space="preserve">0.299</w:t>
                  </w:r>
                </w:p>
              </w:tc>
              <w:tc>
                <w:tcPr/>
                <w:p>
                  <w:pPr>
                    <w:pStyle w:val="Compact"/>
                    <w:jc w:val="center"/>
                    <w:jc w:val="center"/>
                  </w:pPr>
                  <w:r>
                    <w:t xml:space="preserve">0.045</w:t>
                  </w:r>
                </w:p>
              </w:tc>
            </w:tr>
          </w:tbl>
          <w:p>
            <w:pPr>
              <w:jc w:val="center"/>
            </w:pPr>
            <w:pPr>
              <w:jc w:val="start"/>
              <w:spacing w:before="200"/>
              <w:pStyle w:val="ImageCaption"/>
            </w:pPr>
            <w:r>
              <w:t xml:space="preserve">Table S 23: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 (Roberts et al. 2021).</w:t>
            </w:r>
          </w:p>
          <w:bookmarkEnd w:id="128"/>
        </w:tc>
      </w:tr>
    </w:tbl>
    <w:tbl>
      <w:tblPr>
        <w:tblStyle w:val="Table"/>
        <w:tblW w:type="pct" w:w="5000"/>
        <w:tblLook w:firstRow="0" w:lastRow="0" w:firstColumn="0" w:lastColumn="0" w:noHBand="0" w:noVBand="0" w:val="0000"/>
        <w:jc w:val="start"/>
        <w:tblLayout w:type="fixed"/>
      </w:tblPr>
      <w:tblGrid>
        <w:gridCol w:w="7920"/>
      </w:tblGrid>
      <w:tr>
        <w:tc>
          <w:tcPr/>
          <w:bookmarkStart w:id="132" w:name="fig-bootstrap-dist"/>
          <w:p>
            <w:pPr>
              <w:pStyle w:val="Compact"/>
              <w:jc w:val="center"/>
            </w:pPr>
            <w:r>
              <w:drawing>
                <wp:inline>
                  <wp:extent cx="5943600" cy="4754880"/>
                  <wp:effectExtent b="0" l="0" r="0" t="0"/>
                  <wp:docPr descr="" title="" id="130" name="Picture"/>
                  <a:graphic>
                    <a:graphicData uri="http://schemas.openxmlformats.org/drawingml/2006/picture">
                      <pic:pic>
                        <pic:nvPicPr>
                          <pic:cNvPr descr="S1-supplement-sensitivity_files/figure-docx/fig-bootstrap-dist-1.png" id="131" name="Picture"/>
                          <pic:cNvPicPr>
                            <a:picLocks noChangeArrowheads="1" noChangeAspect="1"/>
                          </pic:cNvPicPr>
                        </pic:nvPicPr>
                        <pic:blipFill>
                          <a:blip r:embed="rId129"/>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6: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23</w:t>
              </w:r>
            </w:hyperlink>
            <w:r>
              <w:t xml:space="preserve">); any offset between a band and its observed value reflects systematic rare-sign dropout under resampling, which is why the bands are read as stability checks rather than confidence intervals.</w:t>
            </w:r>
          </w:p>
          <w:bookmarkEnd w:id="132"/>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bookmarkEnd w:id="133"/>
    <w:bookmarkStart w:id="134" w:name="interpretation-7"/>
    <w:p>
      <w:pPr>
        <w:pStyle w:val="Heading3"/>
      </w:pPr>
      <w:r>
        <w:t xml:space="preserve">Interpretation</w:t>
      </w:r>
    </w:p>
    <w:p>
      <w:pPr>
        <w:pStyle w:val="FirstParagraph"/>
      </w:pPr>
      <w:r>
        <w:rPr>
          <w:bCs/>
          <w:b/>
        </w:rPr>
        <w:t xml:space="preserve">Question: are the Aur-P1 versus Aur-P2 mean-degree and modularity contrasts robust to object sampling within sites?</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6</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persists across the resampled replicates, but absolute values remain sensitive to threshold and small-P2 sample (9 sites) (see</w:t>
      </w:r>
      <w:r>
        <w:t xml:space="preserve"> </w:t>
      </w:r>
      <w:r>
        <w:t xml:space="preserve">Section S1.2.2.4</w:t>
      </w:r>
      <w:r>
        <w:t xml:space="preserve">).</w:t>
      </w:r>
    </w:p>
    <w:p>
      <w:pPr>
        <w:pStyle w:val="BodyText"/>
      </w:pPr>
      <w:r>
        <w:rPr>
          <w:bCs/>
          <w:b/>
        </w:rPr>
        <w:t xml:space="preserve">Implication for the main text.</w:t>
      </w:r>
      <w:r>
        <w:t xml:space="preserve"> </w:t>
      </w:r>
      <w:r>
        <w:t xml:space="preserve">Stability bands qualify but do not overturn the point-estimate contrasts; inference rests on the permutation tests.</w:t>
      </w:r>
    </w:p>
    <w:bookmarkEnd w:id="134"/>
    <w:bookmarkEnd w:id="135"/>
    <w:bookmarkStart w:id="139" w:name="sec-s7-4"/>
    <w:p>
      <w:pPr>
        <w:pStyle w:val="Heading2"/>
      </w:pPr>
      <w:r>
        <w:t xml:space="preserve">S1.7.5 Multiple-testing correction</w:t>
      </w:r>
    </w:p>
    <w:bookmarkStart w:id="137" w:name="rationale-9"/>
    <w:p>
      <w:pPr>
        <w:pStyle w:val="Heading3"/>
      </w:pPr>
      <w:r>
        <w:t xml:space="preserve">Rationale</w:t>
      </w:r>
    </w:p>
    <w:p>
      <w:pPr>
        <w:pStyle w:val="FirstParagraph"/>
      </w:pPr>
      <w:r>
        <w:t xml:space="preserve">The Mantel tests reported in</w:t>
      </w:r>
      <w:r>
        <w:t xml:space="preserve"> </w:t>
      </w:r>
      <w:hyperlink w:anchor="tbl-geodesic-mantel">
        <w:r>
          <w:rPr>
            <w:rStyle w:val="Hyperlink"/>
          </w:rPr>
          <w:t xml:space="preserve">Table S 5</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p>
      <w:pPr>
        <w:pStyle w:val="BodyText"/>
      </w:pPr>
      <w:r>
        <w:rPr>
          <w:bCs/>
          <w:b/>
        </w:rPr>
        <w:t xml:space="preserve">Question: does any Mantel correlation survive Benjamini-Hochberg correction for four tests?</w:t>
      </w:r>
    </w:p>
    <w:tbl>
      <w:tblPr>
        <w:tblStyle w:val="Table"/>
        <w:tblW w:type="pct" w:w="5000"/>
        <w:tblLook w:firstRow="0" w:lastRow="0" w:firstColumn="0" w:lastColumn="0" w:noHBand="0" w:noVBand="0" w:val="0000"/>
        <w:jc w:val="start"/>
        <w:tblLayout w:type="fixed"/>
      </w:tblPr>
      <w:tblGrid>
        <w:gridCol w:w="7920"/>
      </w:tblGrid>
      <w:tr>
        <w:tc>
          <w:tcPr/>
          <w:bookmarkStart w:id="136"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S 24: Mantel test p-values before and after Benjamini–Hochberg correction for multiple testing across 2 phases × 2 distance measures (4 tests total). Results with adjusted p &lt; 0.05 are highlighted.</w:t>
            </w:r>
          </w:p>
          <w:bookmarkEnd w:id="136"/>
        </w:tc>
      </w:tr>
    </w:tbl>
    <w:bookmarkEnd w:id="137"/>
    <w:bookmarkStart w:id="138" w:name="interpretation-8"/>
    <w:p>
      <w:pPr>
        <w:pStyle w:val="Heading3"/>
      </w:pPr>
      <w:r>
        <w:t xml:space="preserve">Interpretation</w:t>
      </w:r>
    </w:p>
    <w:p>
      <w:pPr>
        <w:pStyle w:val="FirstParagraph"/>
      </w:pPr>
      <w:r>
        <w:rPr>
          <w:bCs/>
          <w:b/>
        </w:rPr>
        <w:t xml:space="preserve">Question: does any Mantel correlation survive Benjamini-Hochberg correction for four tests?</w:t>
      </w:r>
      <w:r>
        <w:t xml:space="preserve"> </w:t>
      </w:r>
      <w:r>
        <w:t xml:space="preserve">No. 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p>
      <w:pPr>
        <w:pStyle w:val="BodyText"/>
      </w:pPr>
      <w:r>
        <w:rPr>
          <w:bCs/>
          <w:b/>
        </w:rPr>
        <w:t xml:space="preserve">Implication for the main text.</w:t>
      </w:r>
      <w:r>
        <w:t xml:space="preserve"> </w:t>
      </w:r>
      <w:r>
        <w:t xml:space="preserve">Correction does not change the null reading; no geographic correlation is claimed.</w:t>
      </w:r>
    </w:p>
    <w:bookmarkEnd w:id="138"/>
    <w:bookmarkEnd w:id="139"/>
    <w:bookmarkStart w:id="143" w:name="sec-s7-5"/>
    <w:p>
      <w:pPr>
        <w:pStyle w:val="Heading2"/>
      </w:pPr>
      <w:r>
        <w:t xml:space="preserve">S1.7.6 Size-normalised comparison</w:t>
      </w:r>
    </w:p>
    <w:bookmarkStart w:id="141" w:name="rationale-10"/>
    <w:p>
      <w:pPr>
        <w:pStyle w:val="Heading3"/>
      </w:pPr>
      <w:r>
        <w:t xml:space="preserve">Rationale</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p>
      <w:pPr>
        <w:pStyle w:val="BodyText"/>
      </w:pPr>
      <w:r>
        <w:rPr>
          <w:bCs/>
          <w:b/>
        </w:rPr>
        <w:t xml:space="preserve">Question: do mean-degree and modularity contrasts survive normalisation by size-matched random expectation?</w:t>
      </w:r>
    </w:p>
    <w:tbl>
      <w:tblPr>
        <w:tblStyle w:val="Table"/>
        <w:tblW w:type="pct" w:w="5000"/>
        <w:tblLook w:firstRow="0" w:lastRow="0" w:firstColumn="0" w:lastColumn="0" w:noHBand="0" w:noVBand="0" w:val="0000"/>
        <w:jc w:val="start"/>
        <w:tblLayout w:type="fixed"/>
      </w:tblPr>
      <w:tblGrid>
        <w:gridCol w:w="7920"/>
      </w:tblGrid>
      <w:tr>
        <w:tc>
          <w:tcPr/>
          <w:bookmarkStart w:id="140"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S 25: Network metrics normalised by size-matched Erdos-Renyi expectation. Ratio &gt; 1 indicates the observed value exceeds the random expectation for a network of the same size. ER mean and SD are based on 100 random graphs per phase.</w:t>
            </w:r>
          </w:p>
          <w:bookmarkEnd w:id="140"/>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bookmarkEnd w:id="141"/>
    <w:bookmarkStart w:id="142" w:name="interpretation-9"/>
    <w:p>
      <w:pPr>
        <w:pStyle w:val="Heading3"/>
      </w:pPr>
      <w:r>
        <w:t xml:space="preserve">Interpretation</w:t>
      </w:r>
    </w:p>
    <w:p>
      <w:pPr>
        <w:pStyle w:val="FirstParagraph"/>
      </w:pPr>
      <w:r>
        <w:rPr>
          <w:bCs/>
          <w:b/>
        </w:rPr>
        <w:t xml:space="preserve">Question: do mean-degree and modularity contrasts survive normalisation by size-matched random expectation?</w:t>
      </w:r>
      <w:r>
        <w:t xml:space="preserve"> </w:t>
      </w:r>
      <w:r>
        <w:t xml:space="preserve">Partly. 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7"/>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7"/>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p>
      <w:pPr>
        <w:pStyle w:val="BodyText"/>
      </w:pPr>
      <w:r>
        <w:rPr>
          <w:bCs/>
          <w:b/>
        </w:rPr>
        <w:t xml:space="preserve">Implication for the main text.</w:t>
      </w:r>
      <w:r>
        <w:t xml:space="preserve"> </w:t>
      </w:r>
      <w:r>
        <w:t xml:space="preserve">The modularity contrast survives size normalisation.</w:t>
      </w:r>
    </w:p>
    <w:bookmarkEnd w:id="142"/>
    <w:bookmarkEnd w:id="143"/>
    <w:bookmarkEnd w:id="144"/>
    <w:bookmarkStart w:id="163" w:name="sec-s8"/>
    <w:p>
      <w:pPr>
        <w:pStyle w:val="Heading1"/>
      </w:pPr>
      <w:r>
        <w:t xml:space="preserve">S1.8 Space, Time, and Regional Drivers</w:t>
      </w:r>
    </w:p>
    <w:bookmarkStart w:id="145" w:name="sec-s8-rationale"/>
    <w:p>
      <w:pPr>
        <w:pStyle w:val="Heading2"/>
      </w:pPr>
      <w:r>
        <w:t xml:space="preserve">S1.8.1 Rationale</w:t>
      </w:r>
    </w:p>
    <w:p>
      <w:pPr>
        <w:pStyle w:val="FirstParagraph"/>
      </w:pPr>
      <w:r>
        <w:t xml:space="preserve">Geography, time, and regions test alternative drivers of sign dissimilarity. They do not test threshold or group existence. Three checks follow: multiple regression on distance matrices, time-lag turnover, and objective regional grouping. Each check states its questions in Rationale and answers them in Interpretation.</w:t>
      </w:r>
    </w:p>
    <w:bookmarkEnd w:id="145"/>
    <w:bookmarkStart w:id="148" w:name="sec-s8-1"/>
    <w:p>
      <w:pPr>
        <w:pStyle w:val="Heading2"/>
      </w:pPr>
      <w:r>
        <w:t xml:space="preserve">S1.8.2 Multiple regression on distance matrices</w:t>
      </w:r>
    </w:p>
    <w:bookmarkStart w:id="146" w:name="rationale-11"/>
    <w:p>
      <w:pPr>
        <w:pStyle w:val="Heading3"/>
      </w:pPr>
      <w:r>
        <w:t xml:space="preserve">Rationale</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[16]</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rPr>
          <w:bCs/>
          <w:b/>
        </w:rPr>
        <w:t xml:space="preserve">Question: do geographic distance, temporal distance, and object-count difference jointly explain sign dissimilarity in either phase?</w:t>
      </w:r>
    </w:p>
    <w:bookmarkEnd w:id="146"/>
    <w:bookmarkStart w:id="147" w:name="interpretation-10"/>
    <w:p>
      <w:pPr>
        <w:pStyle w:val="Heading3"/>
      </w:pPr>
      <w:r>
        <w:t xml:space="preserve">Interpretation</w:t>
      </w:r>
    </w:p>
    <w:p>
      <w:pPr>
        <w:pStyle w:val="FirstParagraph"/>
      </w:pPr>
      <w:r>
        <w:rPr>
          <w:bCs/>
          <w:b/>
        </w:rPr>
        <w:t xml:space="preserve">Question: do geographic distance, temporal distance, and object-count difference jointly explain sign dissimilarity in either phase?</w:t>
      </w:r>
      <w:r>
        <w:t xml:space="preserve"> </w:t>
      </w:r>
      <w:r>
        <w:t xml:space="preserve">No. 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p>
      <w:pPr>
        <w:pStyle w:val="BodyText"/>
      </w:pPr>
      <w:r>
        <w:rPr>
          <w:bCs/>
          <w:b/>
        </w:rPr>
        <w:t xml:space="preserve">Implication for the main text.</w:t>
      </w:r>
      <w:r>
        <w:t xml:space="preserve"> </w:t>
      </w:r>
      <w:r>
        <w:t xml:space="preserve">No measured driver explains the dissimilarity pattern; the null Mantel result points to no specific alternative process.</w:t>
      </w:r>
    </w:p>
    <w:bookmarkEnd w:id="147"/>
    <w:bookmarkEnd w:id="148"/>
    <w:bookmarkStart w:id="153" w:name="sec-s8-2"/>
    <w:p>
      <w:pPr>
        <w:pStyle w:val="Heading2"/>
      </w:pPr>
      <w:r>
        <w:t xml:space="preserve">S1.8.3 Time-lag check</w:t>
      </w:r>
    </w:p>
    <w:bookmarkStart w:id="149" w:name="rationale-12"/>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pStyle w:val="BodyText"/>
      </w:pPr>
      <w:r>
        <w:rPr>
          <w:bCs/>
          <w:b/>
        </w:rPr>
        <w:t xml:space="preserve">Question: 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pStyle w:val="BodyText"/>
      </w:pPr>
      <w:r>
        <w:rPr>
          <w:bCs/>
          <w:b/>
        </w:rPr>
        <w:t xml:space="preserve">Question: 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pStyle w:val="BodyText"/>
      </w:pPr>
      <w:r>
        <w:rPr>
          <w:bCs/>
          <w:b/>
        </w:rPr>
        <w:t xml:space="preserve">Question: 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49"/>
    <w:bookmarkStart w:id="151" w:name="analysis-2"/>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50"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S 26: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50"/>
        </w:tc>
      </w:tr>
    </w:tbl>
    <w:bookmarkEnd w:id="151"/>
    <w:bookmarkStart w:id="152" w:name="interpretation-11"/>
    <w:p>
      <w:pPr>
        <w:pStyle w:val="Heading3"/>
      </w:pPr>
      <w:r>
        <w:t xml:space="preserve">Interpretation</w:t>
      </w:r>
    </w:p>
    <w:p>
      <w:pPr>
        <w:pStyle w:val="FirstParagraph"/>
      </w:pPr>
      <w:r>
        <w:rPr>
          <w:bCs/>
          <w:b/>
        </w:rPr>
        <w:t xml:space="preserve">Question: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26</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how should a flat or null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w:t>
      </w:r>
      <w:r>
        <w:t xml:space="preserve"> </w:t>
      </w:r>
      <w:r>
        <w:t xml:space="preserve">Section S1.8.2</w:t>
      </w:r>
      <w:r>
        <w:t xml:space="preserve"> </w:t>
      </w:r>
      <w:r>
        <w:t xml:space="preserve">multiple regression, both of which conclude that temporal distance explains little of the variation in sign composition and cannot establish whether substantial change did or did not occur.</w:t>
      </w:r>
    </w:p>
    <w:p>
      <w:pPr>
        <w:pStyle w:val="BodyText"/>
      </w:pPr>
      <w:r>
        <w:rPr>
          <w:bCs/>
          <w:b/>
        </w:rPr>
        <w:t xml:space="preserve">Implication for the main text.</w:t>
      </w:r>
      <w:r>
        <w:t xml:space="preserve"> </w:t>
      </w:r>
      <w:r>
        <w:t xml:space="preserve">Time does not structure dissimilarity at site level; the flat trend is lack of evidence, not evidence of absence.</w:t>
      </w:r>
    </w:p>
    <w:bookmarkEnd w:id="152"/>
    <w:bookmarkEnd w:id="153"/>
    <w:bookmarkStart w:id="162" w:name="sec-s8-3"/>
    <w:p>
      <w:pPr>
        <w:pStyle w:val="Heading2"/>
      </w:pPr>
      <w:r>
        <w:t xml:space="preserve">S1.8.4 Objective regional grouping</w:t>
      </w:r>
    </w:p>
    <w:bookmarkStart w:id="160" w:name="rationale-13"/>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p>
      <w:pPr>
        <w:pStyle w:val="BodyText"/>
      </w:pPr>
      <w:r>
        <w:rPr>
          <w:bCs/>
          <w:b/>
        </w:rPr>
        <w:t xml:space="preserve">Question: does a geography-first regional partition explain sign-composition variation in either phase?</w:t>
      </w:r>
    </w:p>
    <w:tbl>
      <w:tblPr>
        <w:tblStyle w:val="Table"/>
        <w:tblW w:type="pct" w:w="5000"/>
        <w:tblLook w:firstRow="0" w:lastRow="0" w:firstColumn="0" w:lastColumn="0" w:noHBand="0" w:noVBand="0" w:val="0000"/>
        <w:jc w:val="start"/>
        <w:tblLayout w:type="fixed"/>
      </w:tblPr>
      <w:tblGrid>
        <w:gridCol w:w="7920"/>
      </w:tblGrid>
      <w:tr>
        <w:tc>
          <w:tcPr/>
          <w:bookmarkStart w:id="154" w:name="tbl-region-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S 27: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5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5" w:name="tbl-region-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S 28: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55"/>
        </w:tc>
      </w:tr>
    </w:tbl>
    <w:tbl>
      <w:tblPr>
        <w:tblStyle w:val="Table"/>
        <w:tblW w:type="pct" w:w="5000"/>
        <w:tblLook w:firstRow="0" w:lastRow="0" w:firstColumn="0" w:lastColumn="0" w:noHBand="0" w:noVBand="0" w:val="0000"/>
        <w:jc w:val="start"/>
        <w:tblLayout w:type="fixed"/>
      </w:tblPr>
      <w:tblGrid>
        <w:gridCol w:w="7920"/>
      </w:tblGrid>
      <w:tr>
        <w:tc>
          <w:tcPr/>
          <w:bookmarkStart w:id="159" w:name="fig-region-map"/>
          <w:p>
            <w:pPr>
              <w:pStyle w:val="Compact"/>
              <w:jc w:val="center"/>
            </w:pPr>
            <w:r>
              <w:drawing>
                <wp:inline>
                  <wp:extent cx="5943600" cy="4457699"/>
                  <wp:effectExtent b="0" l="0" r="0" t="0"/>
                  <wp:docPr descr="" title="" id="157" name="Picture"/>
                  <a:graphic>
                    <a:graphicData uri="http://schemas.openxmlformats.org/drawingml/2006/picture">
                      <pic:pic>
                        <pic:nvPicPr>
                          <pic:cNvPr descr="../figures/s513-region-map.png" id="158" name="Picture"/>
                          <pic:cNvPicPr>
                            <a:picLocks noChangeArrowheads="1" noChangeAspect="1"/>
                          </pic:cNvPicPr>
                        </pic:nvPicPr>
                        <pic:blipFill>
                          <a:blip r:embed="rId156"/>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7: Objective geographic regions discovered by PAM on geodesic distances (primary, k=2). Sites coloured by region; Jaccard sign data not used. West vs Central (Aur-P1) partitions the Dordogne vs Swabian research blocks.</w:t>
            </w:r>
          </w:p>
          <w:bookmarkEnd w:id="159"/>
        </w:tc>
      </w:tr>
    </w:tbl>
    <w:bookmarkEnd w:id="160"/>
    <w:bookmarkStart w:id="161" w:name="interpretation-12"/>
    <w:p>
      <w:pPr>
        <w:pStyle w:val="Heading3"/>
      </w:pPr>
      <w:r>
        <w:t xml:space="preserve">Interpretation</w:t>
      </w:r>
    </w:p>
    <w:p>
      <w:pPr>
        <w:pStyle w:val="FirstParagraph"/>
      </w:pPr>
      <w:r>
        <w:rPr>
          <w:bCs/>
          <w:b/>
        </w:rPr>
        <w:t xml:space="preserve">Question: does a geography-first regional partition explain sign-composition variation in either phase?</w:t>
      </w:r>
      <w:r>
        <w:t xml:space="preserve"> </w:t>
      </w:r>
      <w:r>
        <w:t xml:space="preserve">No. PAM on geodesic distances finds</w:t>
      </w:r>
      <w:r>
        <w:t xml:space="preserve"> </w:t>
      </w:r>
      <w:r>
        <w:rPr>
          <w:rStyle w:val="VerbatimChar"/>
        </w:rPr>
        <w:t xml:space="preserve">k=2</w:t>
      </w:r>
      <w:r>
        <w:t xml:space="preserve"> </w:t>
      </w:r>
      <w:r>
        <w:t xml:space="preserve">as the parsimonious objective region — West versus Central — which in practice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w:t>
      </w:r>
      <w:r>
        <w:t xml:space="preserve"> </w:t>
      </w:r>
      <w:r>
        <w:t xml:space="preserve">Section S1.12.4</w:t>
      </w:r>
      <w:r>
        <w:t xml:space="preserve">–</w:t>
      </w:r>
      <w:r>
        <w:t xml:space="preserve">Section S1.12.5</w:t>
      </w:r>
      <w:r>
        <w:t xml:space="preserve"> </w:t>
      </w:r>
      <w:r>
        <w:t xml:space="preserve">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t xml:space="preserve">Section S1.6.2</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t xml:space="preserve">Section S1.10.3</w:t>
      </w:r>
      <w:r>
        <w:t xml:space="preserve"> </w:t>
      </w:r>
      <w:r>
        <w:t xml:space="preserve">terms) uses permutations with caution; per Boemke et al. 2023, the Aur-P1 geography signal coincides with research intensity (German ivory — 225/346 objects — versus French limestone blocs) rather than past cultural groups.</w:t>
      </w:r>
    </w:p>
    <w:p>
      <w:pPr>
        <w:pStyle w:val="BodyText"/>
      </w:pPr>
      <w:r>
        <w:rPr>
          <w:bCs/>
          <w:b/>
        </w:rPr>
        <w:t xml:space="preserve">Implication for the main text.</w:t>
      </w:r>
      <w:r>
        <w:t xml:space="preserve"> </w:t>
      </w:r>
      <w:r>
        <w:t xml:space="preserve">Objective regions do not explain sign composition; the restricted/broad contrast is not a geographic province effect.</w:t>
      </w:r>
    </w:p>
    <w:bookmarkEnd w:id="161"/>
    <w:bookmarkEnd w:id="162"/>
    <w:bookmarkEnd w:id="163"/>
    <w:bookmarkStart w:id="187" w:name="sec-s9"/>
    <w:p>
      <w:pPr>
        <w:pStyle w:val="Heading1"/>
      </w:pPr>
      <w:r>
        <w:t xml:space="preserve">S1.9 Partition Stability and Generative Models</w:t>
      </w:r>
    </w:p>
    <w:bookmarkStart w:id="164" w:name="sec-s9-1"/>
    <w:p>
      <w:pPr>
        <w:pStyle w:val="Heading2"/>
      </w:pPr>
      <w:r>
        <w:t xml:space="preserve">S1.9.1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w:t>
      </w:r>
      <w:r>
        <w:t xml:space="preserve"> </w:t>
      </w:r>
      <w:r>
        <w:t xml:space="preserve">Section S1.5</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[17]</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[18]</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cross-validate the bootstrap and SBM assignments against the main-text restricted/broad groups using the Adjusted Rand Index (ARI)</w:t>
      </w:r>
      <w:r>
        <w:t xml:space="preserve"> </w:t>
      </w:r>
      <w:r>
        <w:t xml:space="preserve">[19]</w:t>
      </w:r>
      <w:r>
        <w:t xml:space="preserve">.</w:t>
      </w:r>
    </w:p>
    <w:bookmarkEnd w:id="164"/>
    <w:bookmarkStart w:id="173" w:name="sec-s9-2"/>
    <w:p>
      <w:pPr>
        <w:pStyle w:val="Heading2"/>
      </w:pPr>
      <w:r>
        <w:t xml:space="preserve">S1.9.2 Bootstrap Consensus Analysis</w:t>
      </w:r>
    </w:p>
    <w:bookmarkStart w:id="171" w:name="rationale-14"/>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p>
      <w:pPr>
        <w:pStyle w:val="BodyText"/>
      </w:pPr>
      <w:r>
        <w:rPr>
          <w:bCs/>
          <w:b/>
        </w:rPr>
        <w:t xml:space="preserve">Question: does within-block co-clustering exceed across-block co-clustering under site resampling, and which sites hold stable assignments?</w:t>
      </w:r>
    </w:p>
    <w:tbl>
      <w:tblPr>
        <w:tblStyle w:val="Table"/>
        <w:tblW w:type="pct" w:w="5000"/>
        <w:tblLook w:firstRow="0" w:lastRow="0" w:firstColumn="0" w:lastColumn="0" w:noHBand="0" w:noVBand="0" w:val="0000"/>
        <w:jc w:val="start"/>
        <w:tblLayout w:type="fixed"/>
      </w:tblPr>
      <w:tblGrid>
        <w:gridCol w:w="7920"/>
      </w:tblGrid>
      <w:tr>
        <w:tc>
          <w:tcPr/>
          <w:bookmarkStart w:id="165"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S 29: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6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6"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S 30: Per-site bootstrap consistency: proportion of 1000 resamples in which each site is assigned to its modal (most frequent) block. Consistency near 1 indicates robust assignment; values near 0.5 indicate sites whose group membership flips across resamples.</w:t>
            </w:r>
          </w:p>
          <w:bookmarkEnd w:id="166"/>
        </w:tc>
      </w:tr>
    </w:tbl>
    <w:tbl>
      <w:tblPr>
        <w:tblStyle w:val="Table"/>
        <w:tblW w:type="pct" w:w="5000"/>
        <w:tblLook w:firstRow="0" w:lastRow="0" w:firstColumn="0" w:lastColumn="0" w:noHBand="0" w:noVBand="0" w:val="0000"/>
        <w:jc w:val="start"/>
        <w:tblLayout w:type="fixed"/>
      </w:tblPr>
      <w:tblGrid>
        <w:gridCol w:w="7920"/>
      </w:tblGrid>
      <w:tr>
        <w:tc>
          <w:tcPr/>
          <w:bookmarkStart w:id="170" w:name="fig-bootstrap-consensus"/>
          <w:p>
            <w:pPr>
              <w:pStyle w:val="Compact"/>
              <w:jc w:val="center"/>
            </w:pPr>
            <w:r>
              <w:drawing>
                <wp:inline>
                  <wp:extent cx="5943600" cy="6604000"/>
                  <wp:effectExtent b="0" l="0" r="0" t="0"/>
                  <wp:docPr descr="" title="" id="168" name="Picture"/>
                  <a:graphic>
                    <a:graphicData uri="http://schemas.openxmlformats.org/drawingml/2006/picture">
                      <pic:pic>
                        <pic:nvPicPr>
                          <pic:cNvPr descr="../figures/bootstrap-consensus-plot.png" id="169" name="Picture"/>
                          <pic:cNvPicPr>
                            <a:picLocks noChangeArrowheads="1" noChangeAspect="1"/>
                          </pic:cNvPicPr>
                        </pic:nvPicPr>
                        <pic:blipFill>
                          <a:blip r:embed="rId167"/>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8: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70"/>
        </w:tc>
      </w:tr>
    </w:tbl>
    <w:bookmarkEnd w:id="171"/>
    <w:bookmarkStart w:id="172" w:name="interpretation-13"/>
    <w:p>
      <w:pPr>
        <w:pStyle w:val="Heading3"/>
      </w:pPr>
      <w:r>
        <w:t xml:space="preserve">Interpretation</w:t>
      </w:r>
    </w:p>
    <w:p>
      <w:pPr>
        <w:pStyle w:val="FirstParagraph"/>
      </w:pPr>
      <w:r>
        <w:rPr>
          <w:bCs/>
          <w:b/>
        </w:rPr>
        <w:t xml:space="preserve">Question: does within-block co-clustering exceed across-block co-clustering under site resampling, and which sites hold stable assignments?</w:t>
      </w:r>
      <w:r>
        <w:t xml:space="preserve"> </w:t>
      </w: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30</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30</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8</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two groups are a robust but not invariant partition, with per-site confidence available in</w:t>
      </w:r>
      <w:r>
        <w:t xml:space="preserve"> </w:t>
      </w:r>
      <w:hyperlink w:anchor="tbl-bootstrap-sites">
        <w:r>
          <w:rPr>
            <w:rStyle w:val="Hyperlink"/>
          </w:rPr>
          <w:t xml:space="preserve">Table S 30</w:t>
        </w:r>
      </w:hyperlink>
      <w:r>
        <w:t xml:space="preserve">.</w:t>
      </w:r>
    </w:p>
    <w:bookmarkEnd w:id="172"/>
    <w:bookmarkEnd w:id="173"/>
    <w:bookmarkStart w:id="182" w:name="sec-s9-3"/>
    <w:p>
      <w:pPr>
        <w:pStyle w:val="Heading2"/>
      </w:pPr>
      <w:r>
        <w:t xml:space="preserve">S1.9.3 Stochastic Block Models</w:t>
      </w:r>
    </w:p>
    <w:bookmarkStart w:id="180" w:name="rationale-1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rPr>
          <w:bCs/>
          <w:b/>
        </w:rPr>
        <w:t xml:space="preserve">Question: how many blocks does a generative model support in each phase, and how do posterior memberships qualify the manual assignments?</w:t>
      </w:r>
    </w:p>
    <w:tbl>
      <w:tblPr>
        <w:tblStyle w:val="Table"/>
        <w:tblW w:type="pct" w:w="5000"/>
        <w:tblLook w:firstRow="0" w:lastRow="0" w:firstColumn="0" w:lastColumn="0" w:noHBand="0" w:noVBand="0" w:val="0000"/>
        <w:jc w:val="start"/>
        <w:tblLayout w:type="fixed"/>
      </w:tblPr>
      <w:tblGrid>
        <w:gridCol w:w="7920"/>
      </w:tblGrid>
      <w:tr>
        <w:tc>
          <w:tcPr/>
          <w:bookmarkStart w:id="174"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31: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74"/>
        </w:tc>
      </w:tr>
    </w:tbl>
    <w:tbl>
      <w:tblPr>
        <w:tblStyle w:val="Table"/>
        <w:tblW w:type="pct" w:w="5000"/>
        <w:tblLook w:firstRow="0" w:lastRow="0" w:firstColumn="0" w:lastColumn="0" w:noHBand="0" w:noVBand="0" w:val="0000"/>
        <w:jc w:val="start"/>
        <w:tblLayout w:type="fixed"/>
      </w:tblPr>
      <w:tblGrid>
        <w:gridCol w:w="7920"/>
      </w:tblGrid>
      <w:tr>
        <w:tc>
          <w:tcPr/>
          <w:bookmarkStart w:id="178" w:name="fig-sbm-icl"/>
          <w:p>
            <w:pPr>
              <w:pStyle w:val="Compact"/>
              <w:jc w:val="center"/>
            </w:pPr>
            <w:r>
              <w:drawing>
                <wp:inline>
                  <wp:extent cx="5943600" cy="2971800"/>
                  <wp:effectExtent b="0" l="0" r="0" t="0"/>
                  <wp:docPr descr="" title="" id="176" name="Picture"/>
                  <a:graphic>
                    <a:graphicData uri="http://schemas.openxmlformats.org/drawingml/2006/picture">
                      <pic:pic>
                        <pic:nvPicPr>
                          <pic:cNvPr descr="S1-supplement-sensitivity_files/figure-docx/fig-sbm-icl-1.png" id="177" name="Picture"/>
                          <pic:cNvPicPr>
                            <a:picLocks noChangeArrowheads="1" noChangeAspect="1"/>
                          </pic:cNvPicPr>
                        </pic:nvPicPr>
                        <pic:blipFill>
                          <a:blip r:embed="rId175"/>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9: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78"/>
        </w:tc>
      </w:tr>
    </w:tbl>
    <w:tbl>
      <w:tblPr>
        <w:tblStyle w:val="Table"/>
        <w:tblW w:type="pct" w:w="5000"/>
        <w:tblLook w:firstRow="0" w:lastRow="0" w:firstColumn="0" w:lastColumn="0" w:noHBand="0" w:noVBand="0" w:val="0000"/>
        <w:jc w:val="start"/>
        <w:tblLayout w:type="fixed"/>
      </w:tblPr>
      <w:tblGrid>
        <w:gridCol w:w="7920"/>
      </w:tblGrid>
      <w:tr>
        <w:tc>
          <w:tcPr/>
          <w:bookmarkStart w:id="179"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32: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79"/>
        </w:tc>
      </w:tr>
    </w:tbl>
    <w:bookmarkEnd w:id="180"/>
    <w:bookmarkStart w:id="181" w:name="interpretation-14"/>
    <w:p>
      <w:pPr>
        <w:pStyle w:val="Heading3"/>
      </w:pPr>
      <w:r>
        <w:t xml:space="preserve">Interpretation</w:t>
      </w:r>
    </w:p>
    <w:p>
      <w:pPr>
        <w:pStyle w:val="FirstParagraph"/>
      </w:pPr>
      <w:r>
        <w:rPr>
          <w:bCs/>
          <w:b/>
        </w:rPr>
        <w:t xml:space="preserve">Question: how many blocks does a generative model support in each phase, and how do posterior memberships qualify the manual assignments?</w:t>
      </w:r>
      <w:r>
        <w:t xml:space="preserve"> </w:t>
      </w:r>
      <w:r>
        <w:t xml:space="preserve">The ICL model-selection results (</w:t>
      </w:r>
      <w:hyperlink w:anchor="tbl-sbm-icl">
        <w:r>
          <w:rPr>
            <w:rStyle w:val="Hyperlink"/>
          </w:rPr>
          <w:t xml:space="preserve">Table S 31</w:t>
        </w:r>
      </w:hyperlink>
      <w:r>
        <w:t xml:space="preserve">;</w:t>
      </w:r>
      <w:r>
        <w:t xml:space="preserve"> </w:t>
      </w:r>
      <w:hyperlink w:anchor="fig-sbm-icl">
        <w:r>
          <w:rPr>
            <w:rStyle w:val="Hyperlink"/>
          </w:rPr>
          <w:t xml:space="preserve">Figure S 9</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31</w:t>
        </w:r>
      </w:hyperlink>
      <w:r>
        <w:t xml:space="preserve">, NA entries; truncated curves in</w:t>
      </w:r>
      <w:r>
        <w:t xml:space="preserve"> </w:t>
      </w:r>
      <w:hyperlink w:anchor="fig-sbm-icl">
        <w:r>
          <w:rPr>
            <w:rStyle w:val="Hyperlink"/>
          </w:rPr>
          <w:t xml:space="preserve">Figure S 9</w:t>
        </w:r>
      </w:hyperlink>
      <w:r>
        <w:t xml:space="preserve">), so the Aur-P2 block inference is indicative rather than conclusive. The Aur-P1 multi-block result is the robust finding: with 20 sites and 75 edges at threshold 0.2, all three emission models support more than one block, whether the data are treated as binary edges (Bernoulli), continuous similarities (Gaussian), or count-based co-occurrence of shared sign types (Poisson).</w:t>
      </w:r>
    </w:p>
    <w:p>
      <w:pPr>
        <w:pStyle w:val="BodyText"/>
      </w:pPr>
      <w:r>
        <w:t xml:space="preserve">The membership table (</w:t>
      </w:r>
      <w:hyperlink w:anchor="tbl-sbm-membership">
        <w:r>
          <w:rPr>
            <w:rStyle w:val="Hyperlink"/>
          </w:rPr>
          <w:t xml:space="preserve">Table S 32</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the largest block in both models contains the same nine broad-range sites, and both models split off Labeko Koba, Les Cottés, and Trou al’Wesse as a small third block — the same small-assemblage sites that Louvain isolates as singletons (</w:t>
      </w:r>
      <w:r>
        <w:t xml:space="preserve">Section S1.11.6</w:t>
      </w:r>
      <w:r>
        <w:t xml:space="preserve">) and the downsampling analysis flags as unstable (</w:t>
      </w:r>
      <w:r>
        <w:t xml:space="preserve">Section S1.12.3</w:t>
      </w:r>
      <w:r>
        <w:t xml:space="preserve">). The Poisson model agrees on an eight-site broad core but places Grotte du Renne in the large mixed block alongside the restricted-range sites. In Aur-P2 the Bernoulli and Poisson posteriors are trivially 1.00 because a single block is selected; only the Gaussian model spreads sites across two blocks, at posteriors of 0.99/0.01. The SBM therefore corroborates the manual restricted/broad split in Aur-P1 up to a stable small-block refinement, while it withholds support in Aur-P2.</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the SBM recovers the restricted/broad axis as its two largest blocks and adds substructure — a small Labeko Koba/Les Cottés/Trou al’Wesse block under Bernoulli and Gaussian, and a further split of the restricted side under Gaussian — mirroring the Louvain finding of additional communities beyond the binary split. In Aur-P2 the SBM does not recover the two-group partition (Bernoulli/Poisson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the finding is not an artefact of the binary or continuous encoding of the adjacency.</w:t>
      </w:r>
    </w:p>
    <w:p>
      <w:pPr>
        <w:pStyle w:val="BodyText"/>
      </w:pPr>
      <w:r>
        <w:t xml:space="preserve">The SBM results must be interpreted alongside the bootstrap consensus (</w:t>
      </w:r>
      <w:r>
        <w:t xml:space="preserve">Section S1.9.2</w:t>
      </w:r>
      <w:r>
        <w:t xml:space="preserve">) and Louvain community detection (</w:t>
      </w:r>
      <w:r>
        <w:t xml:space="preserve">Section S1.6.2</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S1.6.2</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 the bootstrap supports the two-group partition’s internal coherence; Louvain detects multiple communities including substructure within the broader-range sites; the SBM selects multiple blocks in Aur-P1 under all three emission models (K = 3, 4, 3) while selecting a single block in Aur-P2 under Bernoulli and Poisson (Gaussian K = 2 by 0.90 points). This pattern reflects their different objectives: the bootstrap tests stability of an</w:t>
      </w:r>
      <w:r>
        <w:t xml:space="preserve"> </w:t>
      </w:r>
      <w:r>
        <w:rPr>
          <w:iCs/>
          <w:i/>
        </w:rPr>
        <w:t xml:space="preserve">imposed</w:t>
      </w:r>
      <w:r>
        <w:t xml:space="preserve"> </w:t>
      </w:r>
      <w:r>
        <w:t xml:space="preserve">partition; Louvain finds</w:t>
      </w:r>
      <w:r>
        <w:t xml:space="preserve"> </w:t>
      </w:r>
      <w:r>
        <w:rPr>
          <w:iCs/>
          <w:i/>
        </w:rPr>
        <w:t xml:space="preserve">any</w:t>
      </w:r>
      <w:r>
        <w:t xml:space="preserve"> </w:t>
      </w:r>
      <w:r>
        <w:t xml:space="preserve">modular structure in the observed network; the SBM asks whether a</w:t>
      </w:r>
      <w:r>
        <w:t xml:space="preserve"> </w:t>
      </w:r>
      <w:r>
        <w:rPr>
          <w:iCs/>
          <w:i/>
        </w:rPr>
        <w:t xml:space="preserve">generative</w:t>
      </w:r>
      <w:r>
        <w:t xml:space="preserve"> </w:t>
      </w:r>
      <w:r>
        <w:t xml:space="preserve">block model is warranted by the data, and answers yes in the well-sampled Aur-P1 phase under every encoding, while withholding support in the small Aur-P2 sample.</w:t>
      </w:r>
    </w:p>
    <w:p>
      <w:pPr>
        <w:pStyle w:val="BodyText"/>
      </w:pPr>
      <w:r>
        <w:rPr>
          <w:bCs/>
          <w:b/>
        </w:rPr>
        <w:t xml:space="preserve">Implication for the main text.</w:t>
      </w:r>
      <w:r>
        <w:t xml:space="preserve"> </w:t>
      </w:r>
      <w:r>
        <w:t xml:space="preserve">The SBM recovers the two-group structure as its two largest blocks in Aur-P1 under Bernoulli, Gaussian, and Poisson emission models, with a stable small-block refinement (Labeko Koba, Les Cottés, Trou al’Wesse), while in Aur-P2 the Bernoulli and Poisson models select a single block. The restricted/broad dichotomy should therefore be read as the</w:t>
      </w:r>
      <w:r>
        <w:t xml:space="preserve"> </w:t>
      </w:r>
      <w:r>
        <w:rPr>
          <w:iCs/>
          <w:i/>
        </w:rPr>
        <w:t xml:space="preserve">dominant axis of variation</w:t>
      </w:r>
      <w:r>
        <w:t xml:space="preserve"> </w:t>
      </w:r>
      <w:r>
        <w:t xml:space="preserve">(rich vs. poor sign repertoires) with genuine substructure in Aur-P1, rather than an exact two-group partition. The main findings are therefore: (1) the two-group framing is a simplification that captures the primary contrast in sign repertoire size, with the SBM corroborating the split as its two largest Aur-P1 blocks, (2) the generative SBM—unlike the descriptive Louvain and stability-based bootstrap—additionally resolves a small third block in Aur-P1 under Bernoulli and Gaussian models, consistent with Louvain isolating the same sites, (3) the Poisson SBM confirms the Aur-P1 multi-block result for the count-based representation of shared sign types, strengthening the conclusion that the finding is not an artefact of binarisation or the continuous similarity encoding, (4) the Aur-P2 results are qualified by the small sample size (9 sites, sparse edges, failed higher-K fits) that precludes reliable block detection. These results complement the bootstrap analysis: the bootstrap shows the two blocks to be internally coherent and well separated under resampling, while the SBM asks whether an independent generative model reproduces the two-block partition—and answers that it reproduces it as its dominant structure in Aur-P1, with a small-block refinement, while recovering no stable partition in Aur-P2.</w:t>
      </w:r>
    </w:p>
    <w:bookmarkEnd w:id="181"/>
    <w:bookmarkEnd w:id="182"/>
    <w:bookmarkStart w:id="186" w:name="sec-s9-4"/>
    <w:p>
      <w:pPr>
        <w:pStyle w:val="Heading2"/>
      </w:pPr>
      <w:r>
        <w:t xml:space="preserve">S1.9.4 Cross-Validation of Group Assignments (ARI)</w:t>
      </w:r>
    </w:p>
    <w:bookmarkStart w:id="184" w:name="rationale-16"/>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tbl>
      <w:tblPr>
        <w:tblStyle w:val="Table"/>
        <w:tblW w:type="pct" w:w="5000"/>
        <w:tblLook w:firstRow="0" w:lastRow="0" w:firstColumn="0" w:lastColumn="0" w:noHBand="0" w:noVBand="0" w:val="0000"/>
        <w:jc w:val="start"/>
        <w:tblLayout w:type="fixed"/>
      </w:tblPr>
      <w:tblGrid>
        <w:gridCol w:w="7920"/>
      </w:tblGrid>
      <w:tr>
        <w:tc>
          <w:tcPr/>
          <w:bookmarkStart w:id="183" w:name="tbl-ari-bootstrap-sbm"/>
          <w:tbl>
            <w:tblPr>
              <w:tblStyle w:val="Table"/>
              <w:tblW w:type="pct" w:w="5000"/>
              <w:tblLook w:firstRow="1" w:lastRow="0" w:firstColumn="0" w:lastColumn="0" w:noHBand="0" w:noVBand="0" w:val="0020"/>
              <w:jc w:val="start"/>
              <w:tblLayout w:type="fixed"/>
            </w:tblPr>
            <w:tblGrid>
              <w:gridCol w:w="301"/>
              <w:gridCol w:w="1076"/>
              <w:gridCol w:w="1119"/>
              <w:gridCol w:w="1033"/>
              <w:gridCol w:w="1162"/>
              <w:gridCol w:w="1076"/>
              <w:gridCol w:w="1119"/>
              <w:gridCol w:w="1033"/>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 (Bern)</w:t>
                  </w:r>
                </w:p>
              </w:tc>
              <w:tc>
                <w:tcPr/>
                <w:p>
                  <w:pPr>
                    <w:pStyle w:val="Compact"/>
                    <w:jc w:val="center"/>
                    <w:jc w:val="center"/>
                  </w:pPr>
                  <w:r>
                    <w:t xml:space="preserve">ARI boot vs SBM (Bern)</w:t>
                  </w:r>
                </w:p>
              </w:tc>
              <w:tc>
                <w:tcPr/>
                <w:p>
                  <w:pPr>
                    <w:pStyle w:val="Compact"/>
                    <w:jc w:val="center"/>
                    <w:jc w:val="center"/>
                  </w:pPr>
                  <w:r>
                    <w:t xml:space="preserve">ARI manual vs SBM (Gauss)</w:t>
                  </w:r>
                </w:p>
              </w:tc>
              <w:tc>
                <w:tcPr/>
                <w:p>
                  <w:pPr>
                    <w:pStyle w:val="Compact"/>
                    <w:jc w:val="center"/>
                    <w:jc w:val="center"/>
                  </w:pPr>
                  <w:r>
                    <w:t xml:space="preserve">ARI boot vs SBM (Gauss)</w:t>
                  </w:r>
                </w:p>
              </w:tc>
              <w:tc>
                <w:tcPr/>
                <w:p>
                  <w:pPr>
                    <w:pStyle w:val="Compact"/>
                    <w:jc w:val="center"/>
                    <w:jc w:val="center"/>
                  </w:pPr>
                  <w:r>
                    <w:t xml:space="preserve">ARI manual vs SBM (Pois)</w:t>
                  </w:r>
                </w:p>
              </w:tc>
              <w:tc>
                <w:tcPr/>
                <w:p>
                  <w:pPr>
                    <w:pStyle w:val="Compact"/>
                    <w:jc w:val="center"/>
                    <w:jc w:val="center"/>
                  </w:pPr>
                  <w:r>
                    <w:t xml:space="preserve">ARI boot vs SBM (Pois)</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c>
                <w:tcPr/>
                <w:p>
                  <w:pPr>
                    <w:pStyle w:val="Compact"/>
                    <w:jc w:val="center"/>
                    <w:jc w:val="center"/>
                  </w:pPr>
                  <w:r>
                    <w:t xml:space="preserve">0.53</w:t>
                  </w:r>
                </w:p>
              </w:tc>
              <w:tc>
                <w:tcPr/>
                <w:p>
                  <w:pPr>
                    <w:pStyle w:val="Compact"/>
                    <w:jc w:val="center"/>
                    <w:jc w:val="center"/>
                  </w:pPr>
                  <w:r>
                    <w:t xml:space="preserve">0.55</w:t>
                  </w:r>
                </w:p>
              </w:tc>
              <w:tc>
                <w:tcPr/>
                <w:p>
                  <w:pPr>
                    <w:pStyle w:val="Compact"/>
                    <w:jc w:val="center"/>
                    <w:jc w:val="center"/>
                  </w:pPr>
                  <w:r>
                    <w:t xml:space="preserve">0.63</w:t>
                  </w:r>
                </w:p>
              </w:tc>
              <w:tc>
                <w:tcPr/>
                <w:p>
                  <w:pPr>
                    <w:pStyle w:val="Compact"/>
                    <w:jc w:val="center"/>
                    <w:jc w:val="center"/>
                  </w:pPr>
                  <w:r>
                    <w:t xml:space="preserve">0.45</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c>
                <w:tcPr/>
                <w:p>
                  <w:pPr>
                    <w:pStyle w:val="Compact"/>
                    <w:jc w:val="center"/>
                    <w:jc w:val="center"/>
                  </w:pPr>
                  <w:r>
                    <w:t xml:space="preserve">0.22</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33: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 Bernoulli columns are also addressable under their original names.</w:t>
            </w:r>
          </w:p>
          <w:bookmarkEnd w:id="183"/>
        </w:tc>
      </w:tr>
    </w:tbl>
    <w:bookmarkEnd w:id="184"/>
    <w:bookmarkStart w:id="185" w:name="interpretation-15"/>
    <w:p>
      <w:pPr>
        <w:pStyle w:val="Heading3"/>
      </w:pPr>
      <w:r>
        <w:t xml:space="preserve">Interpretation</w:t>
      </w:r>
    </w:p>
    <w:p>
      <w:pPr>
        <w:pStyle w:val="FirstParagraph"/>
      </w:pPr>
      <w:r>
        <w:rPr>
          <w:bCs/>
          <w:b/>
        </w:rPr>
        <w:t xml:space="preserve">Question: how strongly do manual, bootstrap-modal, and SBM-modal partitions agree in each phase?</w:t>
      </w:r>
      <w:r>
        <w:t xml:space="preserve"> </w:t>
      </w: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33</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33</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Bernoulli-SBM columns are defined in Aur-P1 (manual–SBM 0.7, bootstrap–SBM 0.71) and show strong agreement with both the manual split and the bootstrap partition despite the SBM’s third block: the two largest SBM blocks track the manual groups. Agreement remains moderate to strong under the other emission models (Gaussian manual–SBM 0.53, bootstrap–SBM 0.55; Poisson manual–SBM 0.63, bootstrap–SBM 0.45). In Aur-P2 the Bernoulli and Poisson SBM columns are 0 and 0 respectively, because those solutions are trivial single blocks; the Gaussian K = 2 solution (manual–SBM 0.22) is selected by only 0.90 ICL points yet reproduces the bootstrap partition exactly (bootstrap–SBM 1; see</w:t>
      </w:r>
      <w:r>
        <w:t xml:space="preserve"> </w:t>
      </w:r>
      <w:r>
        <w:t xml:space="preserve">Section S1.9.3</w:t>
      </w:r>
      <w:r>
        <w:t xml:space="preserve">). The SBM therefore supports the Aur-P1 partition under every encoding and withholds support in Aur-P2, matching the bootstrap pattern in which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r>
        <w:t xml:space="preserve">Section S1.10</w:t>
      </w:r>
      <w:r>
        <w:t xml:space="preserve">.</w:t>
      </w:r>
    </w:p>
    <w:bookmarkEnd w:id="185"/>
    <w:bookmarkEnd w:id="186"/>
    <w:bookmarkEnd w:id="187"/>
    <w:bookmarkStart w:id="195" w:name="sec-s10"/>
    <w:p>
      <w:pPr>
        <w:pStyle w:val="Heading1"/>
      </w:pPr>
      <w:r>
        <w:t xml:space="preserve">S1.10 Withheld-Data Validation</w:t>
      </w:r>
    </w:p>
    <w:bookmarkStart w:id="189" w:name="sec-s10-rationale"/>
    <w:p>
      <w:pPr>
        <w:pStyle w:val="Heading2"/>
      </w:pPr>
      <w:r>
        <w:t xml:space="preserve">S1.10.1 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08"/>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8"/>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8"/>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[20,21]</w:t>
      </w:r>
      <w:r>
        <w:t xml:space="preserve">. P-values from 100 dependent splits are reported as median p, proportion significant, and Brown’s method for dependent p-values</w:t>
      </w:r>
      <w:r>
        <w:t xml:space="preserve"> </w:t>
      </w:r>
      <w:r>
        <w:t xml:space="preserve">[22,23]</w:t>
      </w:r>
      <w:r>
        <w:t xml:space="preserve">, not Fisher’s method which assumes independence. Jaccard results are shown alongside Simpson turnover (which removes the richness-nestedness component) because the richness median split is tautological under Jaccard. It answers three specific questions:</w:t>
      </w:r>
    </w:p>
    <w:p>
      <w:pPr>
        <w:pStyle w:val="BodyText"/>
      </w:pPr>
      <w:r>
        <w:rPr>
          <w:bCs/>
          <w:b/>
        </w:rPr>
        <w:t xml:space="preserve">Question: is the optimal two-group split stronger than the best split from randomised data?</w:t>
      </w:r>
    </w:p>
    <w:p>
      <w:pPr>
        <w:pStyle w:val="BodyText"/>
      </w:pPr>
      <w:r>
        <w:rPr>
          <w:bCs/>
          <w:b/>
        </w:rPr>
        <w:t xml:space="preserve">Question: can the group assignment be recovered from withheld sites and from disjoint halves of objects?</w:t>
      </w:r>
    </w:p>
    <w:p>
      <w:pPr>
        <w:pStyle w:val="BodyText"/>
      </w:pPr>
      <w:r>
        <w:rPr>
          <w:bCs/>
          <w:b/>
        </w:rPr>
        <w:t xml:space="preserve">Question: does sign composition vary with predictors independent of the distance matrix?</w:t>
      </w:r>
    </w:p>
    <w:tbl>
      <w:tblPr>
        <w:tblStyle w:val="Table"/>
        <w:tblW w:type="pct" w:w="5000"/>
        <w:tblLook w:firstRow="0" w:lastRow="0" w:firstColumn="0" w:lastColumn="0" w:noHBand="0" w:noVBand="0" w:val="0000"/>
        <w:jc w:val="start"/>
        <w:tblLayout w:type="fixed"/>
      </w:tblPr>
      <w:tblGrid>
        <w:gridCol w:w="7920"/>
      </w:tblGrid>
      <w:tr>
        <w:tc>
          <w:tcPr/>
          <w:bookmarkStart w:id="188" w:name="tbl-validation-summary"/>
          <w:tbl>
            <w:tblPr>
              <w:tblStyle w:val="Table"/>
              <w:tblW w:type="pct" w:w="5000"/>
              <w:tblLook w:firstRow="1" w:lastRow="0" w:firstColumn="0" w:lastColumn="0" w:noHBand="0" w:noVBand="0" w:val="0020"/>
              <w:jc w:val="start"/>
              <w:tblLayout w:type="fixed"/>
            </w:tblPr>
            <w:tblGrid>
              <w:gridCol w:w="3285"/>
              <w:gridCol w:w="1769"/>
              <w:gridCol w:w="2864"/>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0.106</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0.984</w:t>
                  </w:r>
                </w:p>
              </w:tc>
            </w:tr>
            <w:tr>
              <w:tc>
                <w:tcPr/>
                <w:p>
                  <w:pPr>
                    <w:pStyle w:val="Compact"/>
                    <w:jc w:val="left"/>
                    <w:jc w:val="center"/>
                  </w:pPr>
                  <w:r>
                    <w:t xml:space="preserve">B-i: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50% sig, med p=0.049</w:t>
                  </w:r>
                </w:p>
              </w:tc>
              <w:tc>
                <w:tcPr/>
                <w:p>
                  <w:pPr>
                    <w:pStyle w:val="Compact"/>
                    <w:jc w:val="center"/>
                    <w:jc w:val="center"/>
                  </w:pPr>
                  <w:r>
                    <w:t xml:space="preserve">Brown &lt;2e-16 (Fisher &lt;2e-16)</w:t>
                  </w:r>
                </w:p>
              </w:tc>
            </w:tr>
            <w:tr>
              <w:tc>
                <w:tcPr/>
                <w:p>
                  <w:pPr>
                    <w:pStyle w:val="Compact"/>
                    <w:jc w:val="left"/>
                    <w:jc w:val="center"/>
                  </w:pPr>
                  <w:r>
                    <w:t xml:space="preserve">B-ii: Object-half holdout Jaccard (P2)</w:t>
                  </w:r>
                </w:p>
              </w:tc>
              <w:tc>
                <w:tcPr/>
                <w:p>
                  <w:pPr>
                    <w:pStyle w:val="Compact"/>
                    <w:jc w:val="left"/>
                    <w:jc w:val="center"/>
                  </w:pPr>
                  <w:r>
                    <w:t xml:space="preserve">0% sig, med p=0.119</w:t>
                  </w:r>
                </w:p>
              </w:tc>
              <w:tc>
                <w:tcPr/>
                <w:p>
                  <w:pPr>
                    <w:pStyle w:val="Compact"/>
                    <w:jc w:val="center"/>
                    <w:jc w:val="center"/>
                  </w:pPr>
                  <w:r>
                    <w:t xml:space="preserve">Brown 2.08e-10 (Fisher 6.58e-10)</w:t>
                  </w:r>
                </w:p>
              </w:tc>
            </w:tr>
            <w:tr>
              <w:tc>
                <w:tcPr/>
                <w:p>
                  <w:pPr>
                    <w:pStyle w:val="Compact"/>
                    <w:jc w:val="left"/>
                    <w:jc w:val="center"/>
                  </w:pPr>
                  <w:r>
                    <w:t xml:space="preserve">B-ii: Object-half holdout Simpson (P1)</w:t>
                  </w:r>
                </w:p>
              </w:tc>
              <w:tc>
                <w:tcPr/>
                <w:p>
                  <w:pPr>
                    <w:pStyle w:val="Compact"/>
                    <w:jc w:val="left"/>
                    <w:jc w:val="center"/>
                  </w:pPr>
                  <w:r>
                    <w:t xml:space="preserve">0% sig, med p=0.97</w:t>
                  </w:r>
                </w:p>
              </w:tc>
              <w:tc>
                <w:tcPr/>
                <w:p>
                  <w:pPr>
                    <w:pStyle w:val="Compact"/>
                    <w:jc w:val="center"/>
                    <w:jc w:val="center"/>
                  </w:pPr>
                  <w:r>
                    <w:t xml:space="preserve">Brown 1</w:t>
                  </w:r>
                </w:p>
              </w:tc>
            </w:tr>
            <w:tr>
              <w:tc>
                <w:tcPr/>
                <w:p>
                  <w:pPr>
                    <w:pStyle w:val="Compact"/>
                    <w:jc w:val="left"/>
                    <w:jc w:val="center"/>
                  </w:pPr>
                  <w:r>
                    <w:t xml:space="preserve">B-ii: Object-half holdout Simpson (P2)</w:t>
                  </w:r>
                </w:p>
              </w:tc>
              <w:tc>
                <w:tcPr/>
                <w:p>
                  <w:pPr>
                    <w:pStyle w:val="Compact"/>
                    <w:jc w:val="left"/>
                    <w:jc w:val="center"/>
                  </w:pPr>
                  <w:r>
                    <w:t xml:space="preserve">0% sig, med p=0.9</w:t>
                  </w:r>
                </w:p>
              </w:tc>
              <w:tc>
                <w:tcPr/>
                <w:p>
                  <w:pPr>
                    <w:pStyle w:val="Compact"/>
                    <w:jc w:val="center"/>
                    <w:jc w:val="center"/>
                  </w:pPr>
                  <w:r>
                    <w:t xml:space="preserve">Brown 1</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S 34: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median p, proportion significant, and Brown’s method for dependent p-values with Fisher p for reference; Jaccard and Simpson turnover versions are shown because the richness median split is tautological under Jaccard. Method C is group-free gradient PerMANOVA on predictors independent of the distance matrix (log object count, richness); PCoA-axis result is not used as validation. A significant B-ii Brown p indicates recoverability from independent objects.</w:t>
            </w:r>
          </w:p>
          <w:bookmarkEnd w:id="188"/>
        </w:tc>
      </w:tr>
    </w:tbl>
    <w:bookmarkEnd w:id="189"/>
    <w:bookmarkStart w:id="190" w:name="sec-s10-interpretation"/>
    <w:p>
      <w:pPr>
        <w:pStyle w:val="Heading2"/>
      </w:pPr>
      <w:r>
        <w:t xml:space="preserve">S1.10.2 Interpretation</w:t>
      </w:r>
    </w:p>
    <w:p>
      <w:pPr>
        <w:pStyle w:val="FirstParagraph"/>
      </w:pPr>
      <w:r>
        <w:t xml:space="preserve">The methods below answer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is the optimal two-group split stronger than the best split from randomised data?</w:t>
      </w:r>
      <w:r>
        <w:t xml:space="preserve"> </w:t>
      </w:r>
      <w:r>
        <w:t xml:space="preserve">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5.25, permutation p = 0.106; Aur-P2 observed optimal pseudo-F = 2.2, permutation p = 0.984).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which independently show the contrast is recoverable from withheld data.</w:t>
      </w:r>
    </w:p>
    <w:p>
      <w:pPr>
        <w:pStyle w:val="BodyText"/>
      </w:pPr>
      <w:r>
        <w:rPr>
          <w:bCs/>
          <w:b/>
        </w:rPr>
        <w:t xml:space="preserve">Question: can the group assignment be recovered from withheld sites and from disjoint halves of objects?</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0.049 with 50% of 100 splits significant; Brown p = &lt;2e-16 (Fisher p = &lt;2e-16). Aur-P2 median p = 0.119 with 0% significant; Brown p = 2.08e-10 (Fisher p = 6.58e-10). Brown is an empirical approximation</w:t>
      </w:r>
      <w:r>
        <w:t xml:space="preserve"> </w:t>
      </w:r>
      <w:r>
        <w:t xml:space="preserve">[22,23 via Kost &amp; McDermott]</w:t>
      </w:r>
      <w:r>
        <w:t xml:space="preserve">; for Aur-P2 (5 usable sites) Brown (2.08e-10) is slightly anti-conservative vs. Fisher (6.58e-10), so median p and proportion are primary and Brown/Fisher are order-of-magnitude.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 with 0% significant; Brown p = 1. Aur-P2 median p = 0.9 with 0% significant; Brown p = 1.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does sign composition vary with predictors independent of the distance matrix?</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Implication for the main text.</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190"/>
    <w:bookmarkStart w:id="194" w:name="sec-s10-1"/>
    <w:p>
      <w:pPr>
        <w:pStyle w:val="Heading2"/>
      </w:pPr>
      <w:r>
        <w:t xml:space="preserve">S1.10.3 Richness-preserving nulls and Simpson turnover</w:t>
      </w:r>
    </w:p>
    <w:bookmarkStart w:id="192" w:name="rationale-17"/>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191" w:name="tbl-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S 35: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191"/>
        </w:tc>
      </w:tr>
    </w:tbl>
    <w:bookmarkEnd w:id="192"/>
    <w:bookmarkStart w:id="193" w:name="interpretation-16"/>
    <w:p>
      <w:pPr>
        <w:pStyle w:val="Heading3"/>
      </w:pPr>
      <w:r>
        <w:t xml:space="preserve">Interpretation</w:t>
      </w:r>
    </w:p>
    <w:p>
      <w:pPr>
        <w:pStyle w:val="FirstParagraph"/>
      </w:pPr>
      <w:r>
        <w:rPr>
          <w:bCs/>
          <w:b/>
        </w:rPr>
        <w:t xml:space="preserve">Question: is the restricted/broad pattern stronger than richness structure alone, and does any group separation survive once the nestedness component is removed?</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S1.12.4</w:t>
      </w:r>
      <w:r>
        <w:t xml:space="preserve"> </w:t>
      </w:r>
      <w:r>
        <w:t xml:space="preserve">and the free-slope</w:t>
      </w:r>
      <w:r>
        <w:t xml:space="preserve"> </w:t>
      </w:r>
      <w:r>
        <w:t xml:space="preserve">Section S1.12.5</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193"/>
    <w:bookmarkEnd w:id="194"/>
    <w:bookmarkEnd w:id="195"/>
    <w:bookmarkStart w:id="217" w:name="sec-s11"/>
    <w:p>
      <w:pPr>
        <w:pStyle w:val="Heading1"/>
      </w:pPr>
      <w:r>
        <w:t xml:space="preserve">S1.11 Community Description</w:t>
      </w:r>
    </w:p>
    <w:bookmarkStart w:id="196" w:name="sec-s11-rationale"/>
    <w:p>
      <w:pPr>
        <w:pStyle w:val="Heading2"/>
      </w:pPr>
      <w:r>
        <w:t xml:space="preserve">S1.11.1 Rationale</w:t>
      </w:r>
    </w:p>
    <w:p>
      <w:pPr>
        <w:pStyle w:val="FirstParagraph"/>
      </w:pPr>
      <w:r>
        <w:t xml:space="preserve">The PerMANOVA results in</w:t>
      </w:r>
      <w:r>
        <w:t xml:space="preserve"> </w:t>
      </w:r>
      <w:r>
        <w:t xml:space="preserve">Section S1.6.6</w:t>
      </w:r>
      <w:r>
        <w:t xml:space="preserve"> </w:t>
      </w:r>
      <w:r>
        <w:t xml:space="preserve">and bootstrap consensus in</w:t>
      </w:r>
      <w:r>
        <w:t xml:space="preserve"> </w:t>
      </w:r>
      <w:r>
        <w:t xml:space="preserve">Section S1.9.2</w:t>
      </w:r>
      <w:r>
        <w:t xml:space="preserve"> </w:t>
      </w:r>
      <w:r>
        <w:t xml:space="preserve">show that the algorithmically detected communities are statistically significant and internally coherent. This section provides a detailed characterization of those communities: their site membership, geographic distribution, and sign-type composition. It answers four specific questions:</w:t>
      </w:r>
    </w:p>
    <w:p>
      <w:pPr>
        <w:pStyle w:val="BodyText"/>
      </w:pPr>
      <w:r>
        <w:rPr>
          <w:bCs/>
          <w:b/>
        </w:rPr>
        <w:t xml:space="preserve">Question: which sites fall in the same community under each algorithm at threshold 0.2?</w:t>
      </w:r>
    </w:p>
    <w:p>
      <w:pPr>
        <w:pStyle w:val="BodyText"/>
      </w:pPr>
      <w:r>
        <w:rPr>
          <w:bCs/>
          <w:b/>
        </w:rPr>
        <w:t xml:space="preserve">Question: which sign types distinguish communities from one another?</w:t>
      </w:r>
    </w:p>
    <w:p>
      <w:pPr>
        <w:pStyle w:val="BodyText"/>
      </w:pPr>
      <w:r>
        <w:rPr>
          <w:bCs/>
          <w:b/>
        </w:rPr>
        <w:t xml:space="preserve">Question: do communities map onto coherent geographic regions?</w:t>
      </w:r>
    </w:p>
    <w:p>
      <w:pPr>
        <w:pStyle w:val="BodyText"/>
      </w:pPr>
      <w:r>
        <w:rPr>
          <w:bCs/>
          <w:b/>
        </w:rPr>
        <w:t xml:space="preserve">Question: how consistently do the four algorithms assign the same sites together?</w:t>
      </w:r>
    </w:p>
    <w:bookmarkEnd w:id="196"/>
    <w:bookmarkStart w:id="203" w:name="sec-s11-1"/>
    <w:p>
      <w:pPr>
        <w:pStyle w:val="Heading2"/>
      </w:pPr>
      <w:r>
        <w:t xml:space="preserve">S1.11.2 Community membership</w:t>
      </w:r>
    </w:p>
    <w:bookmarkStart w:id="202" w:name="method-5"/>
    <w:p>
      <w:pPr>
        <w:pStyle w:val="Heading3"/>
      </w:pPr>
      <w:r>
        <w:t xml:space="preserve">Method</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We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197" w:name="tbl-community-membership"/>
          <w:tbl>
            <w:tblPr>
              <w:tblStyle w:val="Table"/>
              <w:tblW w:type="pct" w:w="5000"/>
              <w:tblLook w:firstRow="1" w:lastRow="0" w:firstColumn="0" w:lastColumn="0" w:noHBand="0" w:noVBand="0" w:val="0020"/>
              <w:jc w:val="start"/>
              <w:tblLayout w:type="fixed"/>
            </w:tblPr>
            <w:tblGrid>
              <w:gridCol w:w="710"/>
              <w:gridCol w:w="2741"/>
              <w:gridCol w:w="812"/>
              <w:gridCol w:w="913"/>
              <w:gridCol w:w="913"/>
              <w:gridCol w:w="812"/>
              <w:gridCol w:w="10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Manual</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bl>
          <w:p>
            <w:pPr>
              <w:jc w:val="center"/>
            </w:pPr>
            <w:pPr>
              <w:jc w:val="start"/>
              <w:spacing w:before="200"/>
              <w:pStyle w:val="ImageCaption"/>
            </w:pPr>
            <w:r>
              <w:t xml:space="preserve">Table S 36: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197"/>
        </w:tc>
      </w:tr>
    </w:tbl>
    <w:tbl>
      <w:tblPr>
        <w:tblStyle w:val="Table"/>
        <w:tblW w:type="pct" w:w="5000"/>
        <w:tblLook w:firstRow="0" w:lastRow="0" w:firstColumn="0" w:lastColumn="0" w:noHBand="0" w:noVBand="0" w:val="0000"/>
        <w:jc w:val="start"/>
        <w:tblLayout w:type="fixed"/>
      </w:tblPr>
      <w:tblGrid>
        <w:gridCol w:w="7920"/>
      </w:tblGrid>
      <w:tr>
        <w:tc>
          <w:tcPr/>
          <w:bookmarkStart w:id="201" w:name="fig-comembership-heatmap"/>
          <w:p>
            <w:pPr>
              <w:pStyle w:val="Compact"/>
              <w:jc w:val="center"/>
            </w:pPr>
            <w:r>
              <w:drawing>
                <wp:inline>
                  <wp:extent cx="5943600" cy="5943600"/>
                  <wp:effectExtent b="0" l="0" r="0" t="0"/>
                  <wp:docPr descr="" title="" id="199" name="Picture"/>
                  <a:graphic>
                    <a:graphicData uri="http://schemas.openxmlformats.org/drawingml/2006/picture">
                      <pic:pic>
                        <pic:nvPicPr>
                          <pic:cNvPr descr="../figures/comembership-heatmap.png" id="200" name="Picture"/>
                          <pic:cNvPicPr>
                            <a:picLocks noChangeArrowheads="1" noChangeAspect="1"/>
                          </pic:cNvPicPr>
                        </pic:nvPicPr>
                        <pic:blipFill>
                          <a:blip r:embed="rId19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10: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201"/>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8</w:t>
        </w:r>
      </w:hyperlink>
      <w:r>
        <w:t xml:space="preserve"> </w:t>
      </w:r>
      <w:r>
        <w:t xml:space="preserve">quantify which of these co-memberships survive resampling.</w:t>
      </w:r>
    </w:p>
    <w:bookmarkEnd w:id="202"/>
    <w:bookmarkEnd w:id="203"/>
    <w:bookmarkStart w:id="206" w:name="sec-s11-2"/>
    <w:p>
      <w:pPr>
        <w:pStyle w:val="Heading2"/>
      </w:pPr>
      <w:r>
        <w:t xml:space="preserve">S1.11.3 Sign-type profiles</w:t>
      </w:r>
    </w:p>
    <w:bookmarkStart w:id="205" w:name="method-6"/>
    <w:p>
      <w:pPr>
        <w:pStyle w:val="Heading3"/>
      </w:pPr>
      <w:r>
        <w:t xml:space="preserve">Method</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04"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37: Sign-type composition of Louvain communities at threshold 0.2. Values show the proportion of sites within each community that have at least one object bearing the sign type. Only sign types present in ≥10% of sites in at least one community are shown.</w:t>
            </w:r>
          </w:p>
          <w:bookmarkEnd w:id="204"/>
        </w:tc>
      </w:tr>
    </w:tbl>
    <w:bookmarkEnd w:id="205"/>
    <w:bookmarkEnd w:id="206"/>
    <w:bookmarkStart w:id="212" w:name="sec-s11-3"/>
    <w:p>
      <w:pPr>
        <w:pStyle w:val="Heading2"/>
      </w:pPr>
      <w:r>
        <w:t xml:space="preserve">S1.11.4 Geographic distribution</w:t>
      </w:r>
    </w:p>
    <w:bookmarkStart w:id="211" w:name="method-7"/>
    <w:p>
      <w:pPr>
        <w:pStyle w:val="Heading3"/>
      </w:pPr>
      <w:r>
        <w:t xml:space="preserve">Method</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10" w:name="fig-community-maps"/>
          <w:p>
            <w:pPr>
              <w:pStyle w:val="Compact"/>
              <w:jc w:val="center"/>
            </w:pPr>
            <w:r>
              <w:drawing>
                <wp:inline>
                  <wp:extent cx="5943600" cy="4622800"/>
                  <wp:effectExtent b="0" l="0" r="0" t="0"/>
                  <wp:docPr descr="" title="" id="208" name="Picture"/>
                  <a:graphic>
                    <a:graphicData uri="http://schemas.openxmlformats.org/drawingml/2006/picture">
                      <pic:pic>
                        <pic:nvPicPr>
                          <pic:cNvPr descr="../figures/community-maps.png" id="209" name="Picture"/>
                          <pic:cNvPicPr>
                            <a:picLocks noChangeArrowheads="1" noChangeAspect="1"/>
                          </pic:cNvPicPr>
                        </pic:nvPicPr>
                        <pic:blipFill>
                          <a:blip r:embed="rId207"/>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11: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210"/>
        </w:tc>
      </w:tr>
    </w:tbl>
    <w:bookmarkEnd w:id="211"/>
    <w:bookmarkEnd w:id="212"/>
    <w:bookmarkStart w:id="215" w:name="sec-s11-4"/>
    <w:p>
      <w:pPr>
        <w:pStyle w:val="Heading2"/>
      </w:pPr>
      <w:r>
        <w:t xml:space="preserve">S1.11.5 Cross-algorithm comparison</w:t>
      </w:r>
    </w:p>
    <w:bookmarkStart w:id="214" w:name="method-8"/>
    <w:p>
      <w:pPr>
        <w:pStyle w:val="Heading3"/>
      </w:pPr>
      <w:r>
        <w:t xml:space="preserve">Method</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13"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bl>
          <w:p>
            <w:pPr>
              <w:jc w:val="center"/>
            </w:pPr>
            <w:pPr>
              <w:jc w:val="start"/>
              <w:spacing w:before="200"/>
              <w:pStyle w:val="ImageCaption"/>
            </w:pPr>
            <w:r>
              <w:t xml:space="preserve">Table S 38: Cross-algorithm agreement in community assignment at threshold 0.2. For each phase, sites are grouped by their Louvain community (reference), and the proportion of other algorithms that assign the site to the same community ID (after optimal matching of community labels) is reported. Values close to 1.0 indicate strong cross-algorithm agreement.</w:t>
            </w:r>
          </w:p>
          <w:bookmarkEnd w:id="213"/>
        </w:tc>
      </w:tr>
    </w:tbl>
    <w:bookmarkEnd w:id="214"/>
    <w:bookmarkEnd w:id="215"/>
    <w:bookmarkStart w:id="216" w:name="sec-s11-5"/>
    <w:p>
      <w:pPr>
        <w:pStyle w:val="Heading2"/>
      </w:pPr>
      <w:r>
        <w:t xml:space="preserve">S1.11.6 Interpretation</w:t>
      </w:r>
    </w:p>
    <w:p>
      <w:pPr>
        <w:pStyle w:val="FirstParagraph"/>
      </w:pPr>
      <w:r>
        <w:rPr>
          <w:bCs/>
          <w:b/>
        </w:rPr>
        <w:t xml:space="preserve">Question: which sites fall in the same community under each algorithm at threshold 0.2?</w:t>
      </w:r>
      <w:r>
        <w:t xml:space="preserve"> </w:t>
      </w: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36</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w:t>
      </w:r>
      <w:r>
        <w:t xml:space="preserve"> </w:t>
      </w:r>
      <w:r>
        <w:rPr>
          <w:bCs/>
          <w:b/>
        </w:rPr>
        <w:t xml:space="preserve">Community structure in Aur-P2.</w:t>
      </w:r>
      <w:r>
        <w:t xml:space="preserve"> </w:t>
      </w:r>
      <w:r>
        <w:t xml:space="preserve">Aur-P2 resolves into 3 Louvain communities (</w:t>
      </w:r>
      <w:hyperlink w:anchor="tbl-community-membership">
        <w:r>
          <w:rPr>
            <w:rStyle w:val="Hyperlink"/>
          </w:rPr>
          <w:t xml:space="preserve">Table S 36</w:t>
        </w:r>
      </w:hyperlink>
      <w:r>
        <w:t xml:space="preserve">). With only 9 sites total, the communities are small (1–3 sites each), and the PerMANOVA significance (</w:t>
      </w:r>
      <w:r>
        <w:t xml:space="preserve">Section S1.6.6</w:t>
      </w:r>
      <w:r>
        <w:t xml:space="preserve">) likely reflects strong pairwise similarities among a few sites rather than robust multi-site clusters.</w:t>
      </w:r>
    </w:p>
    <w:p>
      <w:pPr>
        <w:pStyle w:val="BodyText"/>
      </w:pPr>
      <w:r>
        <w:rPr>
          <w:bCs/>
          <w:b/>
        </w:rPr>
        <w:t xml:space="preserve">Question: which sign types distinguish communities from one another?</w:t>
      </w:r>
      <w:r>
        <w:t xml:space="preserve"> </w:t>
      </w:r>
      <w:hyperlink w:anchor="tbl-community-composition">
        <w:r>
          <w:rPr>
            <w:rStyle w:val="Hyperlink"/>
          </w:rPr>
          <w:t xml:space="preserve">Table S 37</w:t>
        </w:r>
      </w:hyperlink>
      <w:r>
        <w:t xml:space="preserve"> </w:t>
      </w:r>
      <w:r>
        <w:t xml:space="preserve">reveals that communities differ primarily in the frequency of</w:t>
      </w:r>
      <w:r>
        <w:t xml:space="preserve"> </w:t>
      </w:r>
      <w:r>
        <w:rPr>
          <w:rStyle w:val="VerbatimChar"/>
        </w:rPr>
        <w:t xml:space="preserve">obline</w:t>
      </w:r>
      <w:r>
        <w:t xml:space="preserve">,</w:t>
      </w:r>
      <w:r>
        <w:t xml:space="preserve"> </w:t>
      </w:r>
      <w:r>
        <w:rPr>
          <w:rStyle w:val="VerbatimChar"/>
        </w:rPr>
        <w:t xml:space="preserve">dashline</w:t>
      </w:r>
      <w:r>
        <w:t xml:space="preserve">, and</w:t>
      </w:r>
      <w:r>
        <w:t xml:space="preserve"> </w:t>
      </w:r>
      <w:r>
        <w:rPr>
          <w:rStyle w:val="VerbatimChar"/>
        </w:rPr>
        <w:t xml:space="preserve">zigzag</w:t>
      </w:r>
      <w:r>
        <w:t xml:space="preserve"> </w:t>
      </w:r>
      <w:r>
        <w:t xml:space="preserve">signs, which are the most widespread sign types. No single sign type is exclusive to a community, supporting the interpretation that communities reflect graded differences in sign repertoire composition rather than discrete</w:t>
      </w:r>
      <w:r>
        <w:t xml:space="preserve"> </w:t>
      </w:r>
      <w:r>
        <w:t xml:space="preserve">“</w:t>
      </w:r>
      <w:r>
        <w:t xml:space="preserve">cultural provinces.</w:t>
      </w:r>
      <w:r>
        <w:t xml:space="preserve">”</w:t>
      </w:r>
    </w:p>
    <w:p>
      <w:pPr>
        <w:pStyle w:val="BodyText"/>
      </w:pPr>
      <w:r>
        <w:rPr>
          <w:bCs/>
          <w:b/>
        </w:rPr>
        <w:t xml:space="preserve">Question: do communities map onto coherent geographic regions?</w:t>
      </w:r>
      <w:r>
        <w:t xml:space="preserve"> </w:t>
      </w:r>
      <w:r>
        <w:t xml:space="preserve">Partly. The geographic map (</w:t>
      </w:r>
      <w:hyperlink w:anchor="fig-community-maps">
        <w:r>
          <w:rPr>
            <w:rStyle w:val="Hyperlink"/>
          </w:rPr>
          <w:t xml:space="preserve">Figure S 11</w:t>
        </w:r>
      </w:hyperlink>
      <w:r>
        <w:t xml:space="preserve">, Aur-P1 facet) shows that Community 2 spans the broadest geographic range, while the smaller communities are more spatially clustered. The geographic map (</w:t>
      </w:r>
      <w:hyperlink w:anchor="fig-community-maps">
        <w:r>
          <w:rPr>
            <w:rStyle w:val="Hyperlink"/>
          </w:rPr>
          <w:t xml:space="preserve">Figure S 11</w:t>
        </w:r>
      </w:hyperlink>
      <w:r>
        <w:t xml:space="preserve">, Aur-P2 facet) shows limited spatial coherence, consistent with the non-significant null-benchmarked modularity (</w:t>
      </w:r>
      <w:r>
        <w:t xml:space="preserve">Section S1.7.2</w:t>
      </w:r>
      <w:r>
        <w:t xml:space="preserve">).</w:t>
      </w:r>
    </w:p>
    <w:p>
      <w:pPr>
        <w:pStyle w:val="BodyText"/>
      </w:pPr>
      <w:r>
        <w:rPr>
          <w:bCs/>
          <w:b/>
        </w:rPr>
        <w:t xml:space="preserve">Question: how consistently do the four algorithms assign the same sites together?</w:t>
      </w:r>
      <w:r>
        <w:t xml:space="preserve"> </w:t>
      </w:r>
      <w:hyperlink w:anchor="tbl-cross-algorithm-agreement">
        <w:r>
          <w:rPr>
            <w:rStyle w:val="Hyperlink"/>
          </w:rPr>
          <w:t xml:space="preserve">Table S 38</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Implication for the main text.</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216"/>
    <w:bookmarkEnd w:id="217"/>
    <w:bookmarkStart w:id="267" w:name="sec-s12"/>
    <w:p>
      <w:pPr>
        <w:pStyle w:val="Heading1"/>
      </w:pPr>
      <w:r>
        <w:t xml:space="preserve">S1.12 Object Types and Sampling Intensity</w:t>
      </w:r>
    </w:p>
    <w:bookmarkStart w:id="218" w:name="sec-s12-rationale"/>
    <w:p>
      <w:pPr>
        <w:pStyle w:val="Heading2"/>
      </w:pPr>
      <w:r>
        <w:t xml:space="preserve">S1.12.1 Rationale</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S1.10.3</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six specific questions:</w:t>
      </w:r>
    </w:p>
    <w:p>
      <w:pPr>
        <w:pStyle w:val="BodyText"/>
      </w:pPr>
      <w:r>
        <w:rPr>
          <w:bCs/>
          <w:b/>
        </w:rPr>
        <w:t xml:space="preserve">Question: when objects are resampled to a common count and the network and Louvain partition are re-derived (</w:t>
      </w:r>
      <w:r>
        <w:rPr>
          <w:bCs/>
          <w:b/>
        </w:rPr>
        <w:t xml:space="preserve">Section S1.12.3</w:t>
      </w:r>
      <w:r>
        <w:rPr>
          <w:bCs/>
          <w:b/>
        </w:rPr>
        <w:t xml:space="preserve">), how often does each site keep its original R/B assignment, and how stable is the community structure?</w:t>
      </w:r>
    </w:p>
    <w:p>
      <w:pPr>
        <w:pStyle w:val="BodyText"/>
      </w:pPr>
      <w:r>
        <w:rPr>
          <w:bCs/>
          <w:b/>
        </w:rPr>
        <w:t xml:space="preserve">Question: at equal sample coverage rather than equal object count (</w:t>
      </w:r>
      <w:r>
        <w:rPr>
          <w:bCs/>
          <w:b/>
        </w:rPr>
        <w:t xml:space="preserve">Section S1.12.4</w:t>
      </w:r>
      <w:r>
        <w:rPr>
          <w:bCs/>
          <w:b/>
        </w:rPr>
        <w:t xml:space="preserve">), do restricted and broad sites still differ in sign-type richness?</w:t>
      </w:r>
    </w:p>
    <w:p>
      <w:pPr>
        <w:pStyle w:val="BodyText"/>
      </w:pPr>
      <w:r>
        <w:rPr>
          <w:bCs/>
          <w:b/>
        </w:rPr>
        <w:t xml:space="preserve">Question: does the group effect on sign-type richness survive after statistically accounting for object count, with the richness-effort exponent estimated rather than fixed (</w:t>
      </w:r>
      <w:r>
        <w:rPr>
          <w:bCs/>
          <w:b/>
        </w:rPr>
        <w:t xml:space="preserve">Section S1.12.5</w:t>
      </w:r>
      <w:r>
        <w:rPr>
          <w:bCs/>
          <w:b/>
        </w:rPr>
        <w:t xml:space="preserve">)?</w:t>
      </w:r>
    </w:p>
    <w:p>
      <w:pPr>
        <w:pStyle w:val="BodyText"/>
      </w:pPr>
      <w:r>
        <w:rPr>
          <w:bCs/>
          <w:b/>
        </w:rPr>
        <w:t xml:space="preserve">Question: at equal effort with</w:t>
      </w:r>
      <w:r>
        <w:rPr>
          <w:bCs/>
          <w:b/>
        </w:rPr>
        <w:t xml:space="preserve"> </w:t>
      </w:r>
      <w:r>
        <w:rPr>
          <w:rStyle w:val="VerbatimChar"/>
          <w:bCs/>
          <w:b/>
        </w:rPr>
        <w:t xml:space="preserve">iNEXT</w:t>
      </w:r>
      <w:r>
        <w:rPr>
          <w:bCs/>
          <w:b/>
        </w:rPr>
        <w:t xml:space="preserve"> </w:t>
      </w:r>
      <w:r>
        <w:rPr>
          <w:bCs/>
          <w:b/>
        </w:rPr>
        <w:t xml:space="preserve">(</w:t>
      </w:r>
      <w:r>
        <w:rPr>
          <w:bCs/>
          <w:b/>
        </w:rPr>
        <w:t xml:space="preserve">Section S1.12.6</w:t>
      </w:r>
      <w:r>
        <w:rPr>
          <w:bCs/>
          <w:b/>
        </w:rPr>
        <w:t xml:space="preserve">), does the Aur-P1 versus Aur-P2 sign-type pool remain larger, or is it not distinguishable from sampling variation at 63 objects, including when restricted to object types present in both phases?</w:t>
      </w:r>
    </w:p>
    <w:p>
      <w:pPr>
        <w:pStyle w:val="BodyText"/>
      </w:pPr>
      <w:r>
        <w:rPr>
          <w:bCs/>
          <w:b/>
        </w:rPr>
        <w:t xml:space="preserve">Question: taken together (</w:t>
      </w:r>
      <w:r>
        <w:rPr>
          <w:bCs/>
          <w:b/>
        </w:rPr>
        <w:t xml:space="preserve">Section S1.12.8</w:t>
      </w:r>
      <w:r>
        <w:rPr>
          <w:bCs/>
          <w:b/>
        </w:rPr>
        <w:t xml:space="preserve">), is the R/B division independent of sampling intensity, and if not, what limitation must be stated?</w:t>
      </w:r>
    </w:p>
    <w:p>
      <w:pPr>
        <w:pStyle w:val="BodyText"/>
      </w:pPr>
      <w:r>
        <w:rPr>
          <w:bCs/>
          <w:b/>
        </w:rPr>
        <w:t xml:space="preserve">Question: does the restricted/broad pattern survive richness-preserving nulls, and does the manual-group PerMANOVA hold on Simpson turnover dissimilarity (</w:t>
      </w:r>
      <w:r>
        <w:rPr>
          <w:bCs/>
          <w:b/>
        </w:rPr>
        <w:t xml:space="preserve">Section S1.10.3</w:t>
      </w:r>
      <w:r>
        <w:rPr>
          <w:bCs/>
          <w:b/>
        </w:rPr>
        <w:t xml:space="preserve">)?</w:t>
      </w:r>
    </w:p>
    <w:bookmarkEnd w:id="218"/>
    <w:bookmarkStart w:id="226" w:name="sec-s12-1"/>
    <w:p>
      <w:pPr>
        <w:pStyle w:val="Heading2"/>
      </w:pPr>
      <w:r>
        <w:t xml:space="preserve">S1.12.2 Object-count distribution and feasible common counts</w:t>
      </w:r>
    </w:p>
    <w:bookmarkStart w:id="224" w:name="rationale-18"/>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p>
      <w:pPr>
        <w:pStyle w:val="BodyText"/>
      </w:pPr>
      <w:r>
        <w:rPr>
          <w:bCs/>
          <w:b/>
        </w:rPr>
        <w:t xml:space="preserve">Question: how many sites can be retained at each common object count?</w:t>
      </w:r>
    </w:p>
    <w:tbl>
      <w:tblPr>
        <w:tblStyle w:val="Table"/>
        <w:tblW w:type="pct" w:w="5000"/>
        <w:tblLook w:firstRow="0" w:lastRow="0" w:firstColumn="0" w:lastColumn="0" w:noHBand="0" w:noVBand="0" w:val="0000"/>
        <w:jc w:val="start"/>
        <w:tblLayout w:type="fixed"/>
      </w:tblPr>
      <w:tblGrid>
        <w:gridCol w:w="7920"/>
      </w:tblGrid>
      <w:tr>
        <w:tc>
          <w:tcPr/>
          <w:bookmarkStart w:id="219" w:name="tbl-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S 39: Per-site object counts by phase and manual restricted(1)/broad(2) group.</w:t>
            </w:r>
          </w:p>
          <w:bookmarkEnd w:id="219"/>
        </w:tc>
      </w:tr>
    </w:tbl>
    <w:tbl>
      <w:tblPr>
        <w:tblStyle w:val="Table"/>
        <w:tblW w:type="pct" w:w="5000"/>
        <w:tblLook w:firstRow="0" w:lastRow="0" w:firstColumn="0" w:lastColumn="0" w:noHBand="0" w:noVBand="0" w:val="0000"/>
        <w:jc w:val="start"/>
        <w:tblLayout w:type="fixed"/>
      </w:tblPr>
      <w:tblGrid>
        <w:gridCol w:w="7920"/>
      </w:tblGrid>
      <w:tr>
        <w:tc>
          <w:tcPr/>
          <w:bookmarkStart w:id="223" w:name="fig-objhist"/>
          <w:p>
            <w:pPr>
              <w:pStyle w:val="Compact"/>
              <w:jc w:val="center"/>
            </w:pPr>
            <w:r>
              <w:drawing>
                <wp:inline>
                  <wp:extent cx="5943600" cy="2971800"/>
                  <wp:effectExtent b="0" l="0" r="0" t="0"/>
                  <wp:docPr descr="" title="" id="221" name="Picture"/>
                  <a:graphic>
                    <a:graphicData uri="http://schemas.openxmlformats.org/drawingml/2006/picture">
                      <pic:pic>
                        <pic:nvPicPr>
                          <pic:cNvPr descr="S1-supplement-sensitivity_files/figure-docx/fig-objhist-1.png" id="222" name="Picture"/>
                          <pic:cNvPicPr>
                            <a:picLocks noChangeArrowheads="1" noChangeAspect="1"/>
                          </pic:cNvPicPr>
                        </pic:nvPicPr>
                        <pic:blipFill>
                          <a:blip r:embed="rId220"/>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12: Distribution of object counts per site by phase. Most sites contribute few objects; a small number of large assemblages (e.g. Vogelherd) dominate the upper tail.</w:t>
            </w:r>
          </w:p>
          <w:bookmarkEnd w:id="223"/>
        </w:tc>
      </w:tr>
    </w:tbl>
    <w:bookmarkEnd w:id="224"/>
    <w:bookmarkStart w:id="225" w:name="interpretation-17"/>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25"/>
    <w:bookmarkEnd w:id="226"/>
    <w:bookmarkStart w:id="235" w:name="sec-s12-2"/>
    <w:p>
      <w:pPr>
        <w:pStyle w:val="Heading2"/>
      </w:pPr>
      <w:r>
        <w:t xml:space="preserve">S1.12.3 Object-level downsampling sensitivity</w:t>
      </w:r>
    </w:p>
    <w:bookmarkStart w:id="233" w:name="rationale-19"/>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S1.6.2</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does each site keep its group under object-level downsampling,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27" w:name="tbl-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S 40: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2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28" w:name="tbl-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S 41: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28"/>
        </w:tc>
      </w:tr>
    </w:tbl>
    <w:tbl>
      <w:tblPr>
        <w:tblStyle w:val="Table"/>
        <w:tblW w:type="pct" w:w="5000"/>
        <w:tblLook w:firstRow="0" w:lastRow="0" w:firstColumn="0" w:lastColumn="0" w:noHBand="0" w:noVBand="0" w:val="0000"/>
        <w:jc w:val="start"/>
        <w:tblLayout w:type="fixed"/>
      </w:tblPr>
      <w:tblGrid>
        <w:gridCol w:w="7920"/>
      </w:tblGrid>
      <w:tr>
        <w:tc>
          <w:tcPr/>
          <w:bookmarkStart w:id="232" w:name="fig-retention"/>
          <w:p>
            <w:pPr>
              <w:pStyle w:val="Compact"/>
              <w:jc w:val="center"/>
            </w:pPr>
            <w:r>
              <w:drawing>
                <wp:inline>
                  <wp:extent cx="5943600" cy="5943600"/>
                  <wp:effectExtent b="0" l="0" r="0" t="0"/>
                  <wp:docPr descr="" title="" id="230" name="Picture"/>
                  <a:graphic>
                    <a:graphicData uri="http://schemas.openxmlformats.org/drawingml/2006/picture">
                      <pic:pic>
                        <pic:nvPicPr>
                          <pic:cNvPr descr="S1-supplement-sensitivity_files/figure-docx/fig-retention-1.png" id="231" name="Picture"/>
                          <pic:cNvPicPr>
                            <a:picLocks noChangeArrowheads="1" noChangeAspect="1"/>
                          </pic:cNvPicPr>
                        </pic:nvPicPr>
                        <pic:blipFill>
                          <a:blip r:embed="rId229"/>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13: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232"/>
        </w:tc>
      </w:tr>
    </w:tbl>
    <w:bookmarkEnd w:id="233"/>
    <w:bookmarkStart w:id="234" w:name="interpretation-18"/>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34"/>
    <w:bookmarkEnd w:id="235"/>
    <w:bookmarkStart w:id="243" w:name="sec-s12-3"/>
    <w:p>
      <w:pPr>
        <w:pStyle w:val="Heading2"/>
      </w:pPr>
      <w:r>
        <w:t xml:space="preserve">S1.12.4 Coverage-based rarefaction</w:t>
      </w:r>
    </w:p>
    <w:bookmarkStart w:id="241" w:name="rationale-20"/>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[24,25]</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[26]</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36" w:name="tbl-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S 42: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36"/>
        </w:tc>
      </w:tr>
    </w:tbl>
    <w:tbl>
      <w:tblPr>
        <w:tblStyle w:val="Table"/>
        <w:tblW w:type="pct" w:w="5000"/>
        <w:tblLook w:firstRow="0" w:lastRow="0" w:firstColumn="0" w:lastColumn="0" w:noHBand="0" w:noVBand="0" w:val="0000"/>
        <w:jc w:val="start"/>
        <w:tblLayout w:type="fixed"/>
      </w:tblPr>
      <w:tblGrid>
        <w:gridCol w:w="7920"/>
      </w:tblGrid>
      <w:tr>
        <w:tc>
          <w:tcPr/>
          <w:bookmarkStart w:id="240" w:name="fig-rarefaction"/>
          <w:p>
            <w:pPr>
              <w:pStyle w:val="Compact"/>
              <w:jc w:val="center"/>
            </w:pPr>
            <w:r>
              <w:drawing>
                <wp:inline>
                  <wp:extent cx="5943600" cy="3396342"/>
                  <wp:effectExtent b="0" l="0" r="0" t="0"/>
                  <wp:docPr descr="" title="" id="238" name="Picture"/>
                  <a:graphic>
                    <a:graphicData uri="http://schemas.openxmlformats.org/drawingml/2006/picture">
                      <pic:pic>
                        <pic:nvPicPr>
                          <pic:cNvPr descr="S1-supplement-sensitivity_files/figure-docx/fig-rarefaction-1.png" id="239" name="Picture"/>
                          <pic:cNvPicPr>
                            <a:picLocks noChangeArrowheads="1" noChangeAspect="1"/>
                          </pic:cNvPicPr>
                        </pic:nvPicPr>
                        <pic:blipFill>
                          <a:blip r:embed="rId237"/>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14: Sign-type richness estimated at target coverage = 0.9 with 95% confidence intervals, by manual group, for sites that reach that coverage. Restricted sites (green) that attain high coverage remain low-richness; broad sites (red) remain high-richness.</w:t>
            </w:r>
          </w:p>
          <w:bookmarkEnd w:id="240"/>
        </w:tc>
      </w:tr>
    </w:tbl>
    <w:bookmarkEnd w:id="241"/>
    <w:bookmarkStart w:id="242" w:name="interpretation-19"/>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S1.12.3</w:t>
      </w:r>
      <w:r>
        <w:t xml:space="preserve">, approached from the richness axis.</w:t>
      </w:r>
    </w:p>
    <w:bookmarkEnd w:id="242"/>
    <w:bookmarkEnd w:id="243"/>
    <w:bookmarkStart w:id="247" w:name="sec-s12-4"/>
    <w:p>
      <w:pPr>
        <w:pStyle w:val="Heading2"/>
      </w:pPr>
      <w:r>
        <w:t xml:space="preserve">S1.12.5 Negative-binomial regression with object-count covariate</w:t>
      </w:r>
    </w:p>
    <w:bookmarkStart w:id="245" w:name="rationale-21"/>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[25]</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[27]</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does the group effect on sign-type richness survive after accounting for sampling effort?</w:t>
      </w:r>
    </w:p>
    <w:tbl>
      <w:tblPr>
        <w:tblStyle w:val="Table"/>
        <w:tblW w:type="pct" w:w="5000"/>
        <w:tblLook w:firstRow="0" w:lastRow="0" w:firstColumn="0" w:lastColumn="0" w:noHBand="0" w:noVBand="0" w:val="0000"/>
        <w:jc w:val="start"/>
        <w:tblLayout w:type="fixed"/>
      </w:tblPr>
      <w:tblGrid>
        <w:gridCol w:w="7920"/>
      </w:tblGrid>
      <w:tr>
        <w:tc>
          <w:tcPr/>
          <w:bookmarkStart w:id="244" w:name="tbl-mixed-nb"/>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S 43: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44"/>
        </w:tc>
      </w:tr>
    </w:tbl>
    <w:bookmarkEnd w:id="245"/>
    <w:bookmarkStart w:id="246" w:name="interpretation-20"/>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S1.12.4</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46"/>
    <w:bookmarkEnd w:id="247"/>
    <w:bookmarkStart w:id="255" w:name="sec-s12-5"/>
    <w:p>
      <w:pPr>
        <w:pStyle w:val="Heading2"/>
      </w:pPr>
      <w:r>
        <w:t xml:space="preserve">S1.12.6 Equal-effort pool comparison (iNEXT)</w:t>
      </w:r>
    </w:p>
    <w:bookmarkStart w:id="253" w:name="rationale-22"/>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[24,26]</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does the raw 26 vs 15 pool contraction survive equal effort?</w:t>
      </w:r>
    </w:p>
    <w:tbl>
      <w:tblPr>
        <w:tblStyle w:val="Table"/>
        <w:tblW w:type="pct" w:w="5000"/>
        <w:tblLook w:firstRow="0" w:lastRow="0" w:firstColumn="0" w:lastColumn="0" w:noHBand="0" w:noVBand="0" w:val="0000"/>
        <w:jc w:val="start"/>
        <w:tblLayout w:type="fixed"/>
      </w:tblPr>
      <w:tblGrid>
        <w:gridCol w:w="7920"/>
      </w:tblGrid>
      <w:tr>
        <w:tc>
          <w:tcPr/>
          <w:bookmarkStart w:id="248" w:name="tbl-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S 44: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48"/>
        </w:tc>
      </w:tr>
    </w:tbl>
    <w:tbl>
      <w:tblPr>
        <w:tblStyle w:val="Table"/>
        <w:tblW w:type="pct" w:w="5000"/>
        <w:tblLook w:firstRow="0" w:lastRow="0" w:firstColumn="0" w:lastColumn="0" w:noHBand="0" w:noVBand="0" w:val="0000"/>
        <w:jc w:val="start"/>
        <w:tblLayout w:type="fixed"/>
      </w:tblPr>
      <w:tblGrid>
        <w:gridCol w:w="7920"/>
      </w:tblGrid>
      <w:tr>
        <w:tc>
          <w:tcPr/>
          <w:bookmarkStart w:id="252" w:name="fig-pool-inext"/>
          <w:p>
            <w:pPr>
              <w:pStyle w:val="Compact"/>
              <w:jc w:val="center"/>
            </w:pPr>
            <w:r>
              <w:drawing>
                <wp:inline>
                  <wp:extent cx="5943600" cy="3566160"/>
                  <wp:effectExtent b="0" l="0" r="0" t="0"/>
                  <wp:docPr descr="" title="" id="250" name="Picture"/>
                  <a:graphic>
                    <a:graphicData uri="http://schemas.openxmlformats.org/drawingml/2006/picture">
                      <pic:pic>
                        <pic:nvPicPr>
                          <pic:cNvPr descr="S1-supplement-sensitivity_files/figure-docx/fig-pool-inext-1.png" id="251" name="Picture"/>
                          <pic:cNvPicPr>
                            <a:picLocks noChangeArrowheads="1" noChangeAspect="1"/>
                          </pic:cNvPicPr>
                        </pic:nvPicPr>
                        <pic:blipFill>
                          <a:blip r:embed="rId249"/>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15: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52"/>
        </w:tc>
      </w:tr>
    </w:tbl>
    <w:bookmarkEnd w:id="253"/>
    <w:bookmarkStart w:id="254" w:name="interpretation-21"/>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w:t>
      </w:r>
    </w:p>
    <w:bookmarkEnd w:id="254"/>
    <w:bookmarkEnd w:id="255"/>
    <w:bookmarkStart w:id="265" w:name="sec-s12-6"/>
    <w:p>
      <w:pPr>
        <w:pStyle w:val="Heading2"/>
      </w:pPr>
      <w:r>
        <w:t xml:space="preserve">S1.12.7 Figurine Exclusion</w:t>
      </w:r>
    </w:p>
    <w:bookmarkStart w:id="263" w:name="rationale-23"/>
    <w:p>
      <w:pPr>
        <w:pStyle w:val="Heading3"/>
      </w:pPr>
      <w:r>
        <w:t xml:space="preserve">Rationale</w:t>
      </w:r>
    </w:p>
    <w:p>
      <w:pPr>
        <w:pStyle w:val="FirstParagraph"/>
      </w:pPr>
      <w:r>
        <w:t xml:space="preserve">[28]</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 It answers two specific questions:</w:t>
      </w:r>
    </w:p>
    <w:p>
      <w:pPr>
        <w:pStyle w:val="BodyText"/>
      </w:pPr>
      <w:r>
        <w:rPr>
          <w:bCs/>
          <w:b/>
        </w:rPr>
        <w:t xml:space="preserve">Question: does the Aur-P1 greater than Aur-P2 ordering survive when all figurines are excluded?</w:t>
      </w:r>
    </w:p>
    <w:p>
      <w:pPr>
        <w:pStyle w:val="BodyText"/>
      </w:pPr>
      <w:r>
        <w:rPr>
          <w:bCs/>
          <w:b/>
        </w:rPr>
        <w:t xml:space="preserve">Question: does the Aur-P1 greater than Aur-P2 ordering survive when only Vogelherd figurines are excluded?</w:t>
      </w:r>
    </w:p>
    <w:p>
      <w:pPr>
        <w:pStyle w:val="BodyText"/>
      </w:pPr>
      <w:r>
        <w:rPr>
          <w:bCs/>
          <w:b/>
        </w:rP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56"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S 45: Distribution of figurine objects across phases and sites. Figurine types include figurine zoomorph, figurine anthropomorph, figurine undet., and possible figurine.</w:t>
            </w:r>
          </w:p>
          <w:bookmarkEnd w:id="256"/>
        </w:tc>
      </w:tr>
    </w:tbl>
    <w:p>
      <w:pPr>
        <w:pStyle w:val="BodyText"/>
      </w:pPr>
      <w:hyperlink w:anchor="tbl-figurine-count">
        <w:r>
          <w:rPr>
            <w:rStyle w:val="Hyperlink"/>
          </w:rPr>
          <w:t xml:space="preserve">Table S 45</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p>
      <w:pPr>
        <w:pStyle w:val="BodyText"/>
      </w:pPr>
      <w:r>
        <w:rPr>
          <w:bCs/>
          <w:b/>
        </w:rPr>
        <w:t xml:space="preserve">Analysis 1: exclude all figurines.</w:t>
      </w:r>
    </w:p>
    <w:p>
      <w:pPr>
        <w:pStyle w:val="BodyText"/>
      </w:pPr>
      <w:r>
        <w:rPr>
          <w:bCs/>
          <w:b/>
        </w:rPr>
        <w:t xml:space="preserve">Method.</w:t>
      </w:r>
      <w:r>
        <w:t xml:space="preserve"> </w:t>
      </w: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57"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S 46: Network statistics before and after excluding all figurine objects (figurine zoomorph, figurine anthropomorph, figurine undet., and possible figurine). Threshold = 0.2, Jaccard similarity.</w:t>
            </w:r>
          </w:p>
          <w:bookmarkEnd w:id="25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58"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S 47: Number of sites per phase before and after figurine exclusion. Sites are lost when all objects at that site are figurines.</w:t>
            </w:r>
          </w:p>
          <w:bookmarkEnd w:id="258"/>
        </w:tc>
      </w:tr>
    </w:tbl>
    <w:p>
      <w:pPr>
        <w:pStyle w:val="BodyText"/>
      </w:pPr>
      <w:r>
        <w:rPr>
          <w:bCs/>
          <w:b/>
        </w:rPr>
        <w:t xml:space="preserve">Result under all-figurine exclusion.</w:t>
      </w:r>
      <w:r>
        <w:t xml:space="preserve"> </w:t>
      </w: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p>
      <w:pPr>
        <w:pStyle w:val="BodyText"/>
      </w:pPr>
      <w:r>
        <w:rPr>
          <w:bCs/>
          <w:b/>
        </w:rPr>
        <w:t xml:space="preserve">Analysis 2: exclude Vogelherd figurines only.</w:t>
      </w:r>
    </w:p>
    <w:p>
      <w:pPr>
        <w:pStyle w:val="BodyText"/>
      </w:pPr>
      <w:r>
        <w:rPr>
          <w:bCs/>
          <w:b/>
        </w:rPr>
        <w:t xml:space="preserve">Method.</w:t>
      </w:r>
      <w:r>
        <w:t xml:space="preserve"> </w:t>
      </w: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59"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S 48: Network statistics before and after excluding figurines from Vogelherd only. All other figurines (Hohle Fels, Geissenklösterle, Hohlenstein-Stadel, La Ferrassie) are retained. Threshold = 0.2, Jaccard similarity.</w:t>
            </w:r>
          </w:p>
          <w:bookmarkEnd w:id="25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60"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S 49: Vogelherd object counts before and after removing figurines. Non-figurine objects at Vogelherd (tools, plaquettes, etc.) are retained.</w:t>
            </w:r>
          </w:p>
          <w:bookmarkEnd w:id="260"/>
        </w:tc>
      </w:tr>
    </w:tbl>
    <w:p>
      <w:pPr>
        <w:pStyle w:val="BodyText"/>
      </w:pPr>
      <w:r>
        <w:rPr>
          <w:bCs/>
          <w:b/>
        </w:rPr>
        <w:t xml:space="preserve">Result under Vogelherd-only exclusion.</w:t>
      </w:r>
      <w:r>
        <w:t xml:space="preserve"> </w:t>
      </w: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p>
      <w:pPr>
        <w:pStyle w:val="BodyText"/>
      </w:pPr>
      <w:r>
        <w:rPr>
          <w:bCs/>
          <w:b/>
        </w:rP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61"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S 50: Side-by-side comparison of network statistics across all conditions: baseline (all objects), exclude all figurines, and exclude Vogelherd figurines only. The rightmost columns show the percentage change in mean degree from baseline.</w:t>
            </w:r>
          </w:p>
          <w:bookmarkEnd w:id="261"/>
        </w:tc>
      </w:tr>
    </w:tbl>
    <w:p>
      <w:pPr>
        <w:pStyle w:val="BodyText"/>
      </w:pPr>
      <w:r>
        <w:rPr>
          <w:bCs/>
          <w:b/>
        </w:rPr>
        <w:t xml:space="preserve">Joint comparison detail.</w:t>
      </w:r>
      <w:r>
        <w:t xml:space="preserve"> </w:t>
      </w:r>
      <w:r>
        <w:t xml:space="preserve">The joint comparison in</w:t>
      </w:r>
      <w:r>
        <w:t xml:space="preserve"> </w:t>
      </w:r>
      <w:hyperlink w:anchor="tbl-objtype-joint">
        <w:r>
          <w:rPr>
            <w:rStyle w:val="Hyperlink"/>
          </w:rPr>
          <w:t xml:space="preserve">Table S 50</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62" w:name="tbl-meandegree-summary"/>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S 51: Mean degree by figurine-exclusion condition, with percentage change from baseline. Reproduced directly from the joint comparison in</w:t>
            </w:r>
            <w:r>
              <w:t xml:space="preserve"> </w:t>
            </w:r>
            <w:hyperlink w:anchor="tbl-objtype-joint">
              <w:r>
                <w:rPr>
                  <w:rStyle w:val="Hyperlink"/>
                </w:rPr>
                <w:t xml:space="preserve">Table S 50</w:t>
              </w:r>
            </w:hyperlink>
            <w:r>
              <w:t xml:space="preserve">.</w:t>
            </w:r>
          </w:p>
          <w:bookmarkEnd w:id="262"/>
        </w:tc>
      </w:tr>
    </w:tbl>
    <w:bookmarkEnd w:id="263"/>
    <w:bookmarkStart w:id="264" w:name="interpretation-22"/>
    <w:p>
      <w:pPr>
        <w:pStyle w:val="Heading3"/>
      </w:pPr>
      <w:r>
        <w:t xml:space="preserve">Interpretation</w:t>
      </w:r>
    </w:p>
    <w:p>
      <w:pPr>
        <w:pStyle w:val="FirstParagraph"/>
      </w:pPr>
      <w:r>
        <w:rPr>
          <w:bCs/>
          <w:b/>
        </w:rPr>
        <w:t xml:space="preserve">Question: does the Aur-P1 greater than Aur-P2 ordering survive when all figurines are excluded?</w:t>
      </w:r>
      <w:r>
        <w:t xml:space="preserve"> </w:t>
      </w:r>
      <w:r>
        <w:t xml:space="preserve">Yes. 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 The main-text connectivity contrast Aur-P1 &gt; Aur-P2 (7.5 &gt; 4.22) is unchanged when all figurines are excluded (7.4 &gt; 4.22), preserving the key finding that the early phase is the more connected.</w:t>
      </w:r>
    </w:p>
    <w:p>
      <w:pPr>
        <w:pStyle w:val="BodyText"/>
      </w:pPr>
      <w:r>
        <w:rPr>
          <w:bCs/>
          <w:b/>
        </w:rPr>
        <w:t xml:space="preserve">Question: does the Aur-P1 greater than Aur-P2 ordering survive when only Vogelherd figurines are excluded?</w:t>
      </w:r>
      <w:r>
        <w:t xml:space="preserve"> </w:t>
      </w:r>
      <w:r>
        <w:t xml:space="preserve">Yes. Removing Vogelherd figurines alone (-1.3% in Aur-P1) produces the same effect as removing all 63 figurines globally (-1.3%). The main-text contrast Aur-P1 &gt; Aur-P2 is unchanged when only Vogelherd figurines are excluded (7.4 &gt; 4.22). Figurines at Hohle Fels (4, 4), Geissenklösterle (3), Hohlenstein-Stadel (1), and La Ferrassie (1) do not alter network structure. This indicates that although Vogelherd’s figurine assemblage is unusually rich, 50 of 63 figurines, and contributes disproportionately to sign-type counts, its 123 remaining non-figurine objects still carry a sufficiently diverse sign repertoire to maintain network connectivity.</w:t>
      </w:r>
    </w:p>
    <w:p>
      <w:pPr>
        <w:pStyle w:val="BodyText"/>
      </w:pPr>
      <w:r>
        <w:rPr>
          <w:bCs/>
          <w:b/>
        </w:rPr>
        <w:t xml:space="preserve">Implication for the main text.</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consistent with</w:t>
      </w:r>
      <w:r>
        <w:t xml:space="preserve"> </w:t>
      </w:r>
      <w:r>
        <w:t xml:space="preserve">[28]</w:t>
      </w:r>
      <w:r>
        <w:t xml:space="preserve"> </w:t>
      </w:r>
      <w:r>
        <w:t xml:space="preserve">argument that figurines carry high-information sign sequences, but the communities themselves are defined by shared sign types across all object types.</w:t>
      </w:r>
    </w:p>
    <w:bookmarkEnd w:id="264"/>
    <w:bookmarkEnd w:id="265"/>
    <w:bookmarkStart w:id="266" w:name="sec-s12-7"/>
    <w:p>
      <w:pPr>
        <w:pStyle w:val="Heading2"/>
      </w:pPr>
      <w:r>
        <w:t xml:space="preserve">S1.12.8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S1.12.3</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S1.12.4</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S1.12.5</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S1.12.6</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S1.10.3</w:t>
      </w:r>
      <w:r>
        <w:t xml:space="preserve">). Figurine exclusion (</w:t>
      </w:r>
      <w:r>
        <w:t xml:space="preserve">Section S1.12.7</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66"/>
    <w:bookmarkEnd w:id="267"/>
    <w:bookmarkStart w:id="276" w:name="sec-s-power"/>
    <w:p>
      <w:pPr>
        <w:pStyle w:val="Heading1"/>
      </w:pPr>
      <w:r>
        <w:t xml:space="preserve">S1.13 Design Sensitivity: Minimum Detectable Effects</w:t>
      </w:r>
    </w:p>
    <w:bookmarkStart w:id="268" w:name="sec-s-power-rationale"/>
    <w:p>
      <w:pPr>
        <w:pStyle w:val="Heading2"/>
      </w:pPr>
      <w:r>
        <w:t xml:space="preserve">S1.13.1 Rationale</w:t>
      </w:r>
    </w:p>
    <w:p>
      <w:pPr>
        <w:pStyle w:val="FirstParagraph"/>
      </w:pPr>
      <w:r>
        <w:t xml:space="preserve">The main text reports null results for three headline tests: the per-phase Mantel isolation-by-distance tests, the restricted/broad PerMANOVA tests, and the Aur-P1 versus Aur-P2 network phase contrast.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[29]</w:t>
      </w:r>
      <w:r>
        <w:t xml:space="preserve">. Conventions for medium effects are rho = 0.3 and R</w:t>
      </w:r>
      <w:r>
        <w:rPr>
          <w:vertAlign w:val="superscript"/>
        </w:rPr>
        <w:t xml:space="preserve">2</w:t>
      </w:r>
      <w:r>
        <w:t xml:space="preserve"> </w:t>
      </w:r>
      <w:r>
        <w:t xml:space="preserve">= 0.13</w:t>
      </w:r>
      <w:r>
        <w:t xml:space="preserve"> </w:t>
      </w:r>
      <w:r>
        <w:t xml:space="preserve">[30]</w:t>
      </w:r>
      <w:r>
        <w:t xml:space="preserve">. Mantel p-values are approximate under spatial dependence</w:t>
      </w:r>
      <w:r>
        <w:t xml:space="preserve"> </w:t>
      </w:r>
      <w:r>
        <w:t xml:space="preserve">[31,32]</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[33]</w:t>
      </w:r>
      <w:r>
        <w:t xml:space="preserve">. It answers three specific questions:</w:t>
      </w:r>
    </w:p>
    <w:p>
      <w:pPr>
        <w:pStyle w:val="BodyText"/>
      </w:pPr>
      <w:r>
        <w:rPr>
          <w:bCs/>
          <w:b/>
        </w:rPr>
        <w:t xml:space="preserve">Question: what Mantel correlation can each phase detect at 80% power?</w:t>
      </w:r>
    </w:p>
    <w:p>
      <w:pPr>
        <w:pStyle w:val="BodyText"/>
      </w:pPr>
      <w:r>
        <w:rPr>
          <w:bCs/>
          <w:b/>
        </w:rPr>
        <w:t xml:space="preserve">Question: what PerMANOVA R-squared can each phase detect at 80% power?</w:t>
      </w:r>
    </w:p>
    <w:p>
      <w:pPr>
        <w:pStyle w:val="BodyText"/>
      </w:pPr>
      <w:r>
        <w:rPr>
          <w:bCs/>
          <w:b/>
        </w:rPr>
        <w:t xml:space="preserve">Question: what network density difference can the phase contrast detect at 80% power?</w:t>
      </w:r>
    </w:p>
    <w:bookmarkEnd w:id="268"/>
    <w:bookmarkStart w:id="274" w:name="analysis-3"/>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69" w:name="tbl-power-mde"/>
          <w:tbl>
            <w:tblPr>
              <w:tblStyle w:val="Table"/>
              <w:tblW w:type="pct" w:w="5000"/>
              <w:tblLook w:firstRow="1" w:lastRow="0" w:firstColumn="0" w:lastColumn="0" w:noHBand="0" w:noVBand="0" w:val="0020"/>
              <w:jc w:val="start"/>
              <w:tblLayout w:type="fixed"/>
            </w:tblPr>
            <w:tblGrid>
              <w:gridCol w:w="1996"/>
              <w:gridCol w:w="1397"/>
              <w:gridCol w:w="1863"/>
              <w:gridCol w:w="1131"/>
              <w:gridCol w:w="1530"/>
            </w:tblGrid>
            <w:tr>
              <w:trPr>
                <w:tblHeader w:val="true"/>
              </w:trPr>
              <w:tc>
                <w:tcPr/>
                <w:p>
                  <w:pPr>
                    <w:pStyle w:val="Compact"/>
                    <w:jc w:val="left"/>
                    <w:jc w:val="center"/>
                  </w:pPr>
                  <w:r>
                    <w:t xml:space="preserve">Test</w:t>
                  </w:r>
                </w:p>
              </w:tc>
              <w:tc>
                <w:tcPr/>
                <w:p>
                  <w:pPr>
                    <w:pStyle w:val="Compact"/>
                    <w:jc w:val="left"/>
                    <w:jc w:val="center"/>
                  </w:pPr>
                  <w:r>
                    <w:t xml:space="preserve">N</w:t>
                  </w:r>
                </w:p>
              </w:tc>
              <w:tc>
                <w:tcPr/>
                <w:p>
                  <w:pPr>
                    <w:pStyle w:val="Compact"/>
                    <w:jc w:val="left"/>
                    <w:jc w:val="center"/>
                  </w:pPr>
                  <w:r>
                    <w:t xml:space="preserve">Effect metric</w:t>
                  </w:r>
                </w:p>
              </w:tc>
              <w:tc>
                <w:tcPr/>
                <w:p>
                  <w:pPr>
                    <w:pStyle w:val="Compact"/>
                    <w:jc w:val="left"/>
                    <w:jc w:val="center"/>
                  </w:pPr>
                  <w:r>
                    <w:t xml:space="preserve">MDE at 80% power</w:t>
                  </w:r>
                </w:p>
              </w:tc>
              <w:tc>
                <w:tcPr/>
                <w:p>
                  <w:pPr>
                    <w:pStyle w:val="Compact"/>
                    <w:jc w:val="left"/>
                    <w:jc w:val="center"/>
                  </w:pPr>
                  <w:r>
                    <w:t xml:space="preserve">Power at medium effect</w:t>
                  </w:r>
                </w:p>
              </w:tc>
            </w:tr>
            <w:tr>
              <w:tc>
                <w:tcPr/>
                <w:p>
                  <w:pPr>
                    <w:pStyle w:val="Compact"/>
                    <w:jc w:val="left"/>
                    <w:jc w:val="center"/>
                  </w:pPr>
                  <w:r>
                    <w:t xml:space="preserve">Mantel Aur-P1</w:t>
                  </w:r>
                </w:p>
              </w:tc>
              <w:tc>
                <w:tcPr/>
                <w:p>
                  <w:pPr>
                    <w:pStyle w:val="Compact"/>
                    <w:jc w:val="left"/>
                    <w:jc w:val="center"/>
                  </w:pPr>
                  <w:r>
                    <w:t xml:space="preserve">20 sites (190 pairs)</w:t>
                  </w:r>
                </w:p>
              </w:tc>
              <w:tc>
                <w:tcPr/>
                <w:p>
                  <w:pPr>
                    <w:pStyle w:val="Compact"/>
                    <w:jc w:val="left"/>
                    <w:jc w:val="center"/>
                  </w:pPr>
                  <w:r>
                    <w:t xml:space="preserve">Mantel rho</w:t>
                  </w:r>
                </w:p>
              </w:tc>
              <w:tc>
                <w:tcPr/>
                <w:p>
                  <w:pPr>
                    <w:pStyle w:val="Compact"/>
                    <w:jc w:val="left"/>
                    <w:jc w:val="center"/>
                  </w:pPr>
                  <w:r>
                    <w:t xml:space="preserve">0.34</w:t>
                  </w:r>
                </w:p>
              </w:tc>
              <w:tc>
                <w:tcPr/>
                <w:p>
                  <w:pPr>
                    <w:pStyle w:val="Compact"/>
                    <w:jc w:val="left"/>
                    <w:jc w:val="center"/>
                  </w:pPr>
                  <w:r>
                    <w:t xml:space="preserve">0.76</w:t>
                  </w:r>
                </w:p>
              </w:tc>
            </w:tr>
            <w:tr>
              <w:tc>
                <w:tcPr/>
                <w:p>
                  <w:pPr>
                    <w:pStyle w:val="Compact"/>
                    <w:jc w:val="left"/>
                    <w:jc w:val="center"/>
                  </w:pPr>
                  <w:r>
                    <w:t xml:space="preserve">Mantel Aur-P2</w:t>
                  </w:r>
                </w:p>
              </w:tc>
              <w:tc>
                <w:tcPr/>
                <w:p>
                  <w:pPr>
                    <w:pStyle w:val="Compact"/>
                    <w:jc w:val="left"/>
                    <w:jc w:val="center"/>
                  </w:pPr>
                  <w:r>
                    <w:t xml:space="preserve">9 sites (36 pairs)</w:t>
                  </w:r>
                </w:p>
              </w:tc>
              <w:tc>
                <w:tcPr/>
                <w:p>
                  <w:pPr>
                    <w:pStyle w:val="Compact"/>
                    <w:jc w:val="left"/>
                    <w:jc w:val="center"/>
                  </w:pPr>
                  <w:r>
                    <w:t xml:space="preserve">Mantel rho</w:t>
                  </w:r>
                </w:p>
              </w:tc>
              <w:tc>
                <w:tcPr/>
                <w:p>
                  <w:pPr>
                    <w:pStyle w:val="Compact"/>
                    <w:jc w:val="left"/>
                    <w:jc w:val="center"/>
                  </w:pPr>
                  <w:r>
                    <w:t xml:space="preserve">0.50</w:t>
                  </w:r>
                </w:p>
              </w:tc>
              <w:tc>
                <w:tcPr/>
                <w:p>
                  <w:pPr>
                    <w:pStyle w:val="Compact"/>
                    <w:jc w:val="left"/>
                    <w:jc w:val="center"/>
                  </w:pPr>
                  <w:r>
                    <w:t xml:space="preserve">0.39</w:t>
                  </w:r>
                </w:p>
              </w:tc>
            </w:tr>
            <w:tr>
              <w:tc>
                <w:tcPr/>
                <w:p>
                  <w:pPr>
                    <w:pStyle w:val="Compact"/>
                    <w:jc w:val="left"/>
                    <w:jc w:val="center"/>
                  </w:pPr>
                  <w:r>
                    <w:t xml:space="preserve">PerMANOVA Aur-P1 (9 vs 11)</w:t>
                  </w:r>
                </w:p>
              </w:tc>
              <w:tc>
                <w:tcPr/>
                <w:p>
                  <w:pPr>
                    <w:pStyle w:val="Compact"/>
                    <w:jc w:val="left"/>
                    <w:jc w:val="center"/>
                  </w:pPr>
                  <w:r>
                    <w:t xml:space="preserve">9 vs 11 sites</w:t>
                  </w:r>
                </w:p>
              </w:tc>
              <w:tc>
                <w:tcPr/>
                <w:p>
                  <w:pPr>
                    <w:pStyle w:val="Compact"/>
                    <w:jc w:val="left"/>
                    <w:jc w:val="center"/>
                  </w:pPr>
                  <w:r>
                    <w:t xml:space="preserve">PerMANOVA R² (total)</w:t>
                  </w:r>
                </w:p>
              </w:tc>
              <w:tc>
                <w:tcPr/>
                <w:p>
                  <w:pPr>
                    <w:pStyle w:val="Compact"/>
                    <w:jc w:val="left"/>
                    <w:jc w:val="center"/>
                  </w:pPr>
                  <w:r>
                    <w:t xml:space="preserve">0.10</w:t>
                  </w:r>
                </w:p>
              </w:tc>
              <w:tc>
                <w:tcPr/>
                <w:p>
                  <w:pPr>
                    <w:pStyle w:val="Compact"/>
                    <w:jc w:val="left"/>
                    <w:jc w:val="center"/>
                  </w:pPr>
                  <w:r>
                    <w:t xml:space="preserve">0.98</w:t>
                  </w:r>
                </w:p>
              </w:tc>
            </w:tr>
            <w:tr>
              <w:tc>
                <w:tcPr/>
                <w:p>
                  <w:pPr>
                    <w:pStyle w:val="Compact"/>
                    <w:jc w:val="left"/>
                    <w:jc w:val="center"/>
                  </w:pPr>
                  <w:r>
                    <w:t xml:space="preserve">PerMANOVA Aur-P2 (6 vs 3)</w:t>
                  </w:r>
                </w:p>
              </w:tc>
              <w:tc>
                <w:tcPr/>
                <w:p>
                  <w:pPr>
                    <w:pStyle w:val="Compact"/>
                    <w:jc w:val="left"/>
                    <w:jc w:val="center"/>
                  </w:pPr>
                  <w:r>
                    <w:t xml:space="preserve">6 vs 3 sites</w:t>
                  </w:r>
                </w:p>
              </w:tc>
              <w:tc>
                <w:tcPr/>
                <w:p>
                  <w:pPr>
                    <w:pStyle w:val="Compact"/>
                    <w:jc w:val="left"/>
                    <w:jc w:val="center"/>
                  </w:pPr>
                  <w:r>
                    <w:t xml:space="preserve">PerMANOVA R² (total)</w:t>
                  </w:r>
                </w:p>
              </w:tc>
              <w:tc>
                <w:tcPr/>
                <w:p>
                  <w:pPr>
                    <w:pStyle w:val="Compact"/>
                    <w:jc w:val="left"/>
                    <w:jc w:val="center"/>
                  </w:pPr>
                  <w:r>
                    <w:t xml:space="preserve">0.26</w:t>
                  </w:r>
                </w:p>
              </w:tc>
              <w:tc>
                <w:tcPr/>
                <w:p>
                  <w:pPr>
                    <w:pStyle w:val="Compact"/>
                    <w:jc w:val="left"/>
                    <w:jc w:val="center"/>
                  </w:pPr>
                  <w:r>
                    <w:t xml:space="preserve">0.04</w:t>
                  </w:r>
                </w:p>
              </w:tc>
            </w:tr>
            <w:tr>
              <w:tc>
                <w:tcPr/>
                <w:p>
                  <w:pPr>
                    <w:pStyle w:val="Compact"/>
                    <w:jc w:val="left"/>
                    <w:jc w:val="center"/>
                  </w:pPr>
                  <w:r>
                    <w:t xml:space="preserve">Network density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0.28</w:t>
                  </w:r>
                </w:p>
              </w:tc>
              <w:tc>
                <w:tcPr/>
                <w:p>
                  <w:pPr>
                    <w:pStyle w:val="Compact"/>
                    <w:jc w:val="left"/>
                    <w:jc w:val="center"/>
                  </w:pPr>
                  <w:r>
                    <w:t xml:space="preserve">0.10</w:t>
                  </w:r>
                </w:p>
              </w:tc>
            </w:tr>
            <w:tr>
              <w:tc>
                <w:tcPr/>
                <w:p>
                  <w:pPr>
                    <w:pStyle w:val="Compact"/>
                    <w:jc w:val="left"/>
                    <w:jc w:val="center"/>
                  </w:pPr>
                  <w:r>
                    <w:t xml:space="preserve">Network modularity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0.12</w:t>
                  </w:r>
                </w:p>
              </w:tc>
            </w:tr>
            <w:tr>
              <w:tc>
                <w:tcPr/>
                <w:p>
                  <w:pPr>
                    <w:pStyle w:val="Compact"/>
                    <w:jc w:val="left"/>
                    <w:jc w:val="center"/>
                  </w:pPr>
                  <w:r>
                    <w:t xml:space="preserve">Network betweenness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0.01</w:t>
                  </w:r>
                </w:p>
              </w:tc>
            </w:tr>
            <w:tr>
              <w:tc>
                <w:tcPr/>
                <w:p>
                  <w:pPr>
                    <w:pStyle w:val="Compact"/>
                    <w:jc w:val="left"/>
                    <w:jc w:val="center"/>
                  </w:pPr>
                  <w:r>
                    <w:t xml:space="preserve">Network components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0.10</w:t>
                  </w:r>
                </w:p>
              </w:tc>
            </w:tr>
          </w:tbl>
          <w:p>
            <w:pPr>
              <w:jc w:val="center"/>
            </w:pPr>
            <w:pPr>
              <w:jc w:val="start"/>
              <w:spacing w:before="200"/>
              <w:pStyle w:val="ImageCaption"/>
            </w:pPr>
            <w:r>
              <w:t xml:space="preserve">Table S 52: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69"/>
        </w:tc>
      </w:tr>
    </w:tbl>
    <w:tbl>
      <w:tblPr>
        <w:tblStyle w:val="Table"/>
        <w:tblW w:type="pct" w:w="5000"/>
        <w:tblLook w:firstRow="0" w:lastRow="0" w:firstColumn="0" w:lastColumn="0" w:noHBand="0" w:noVBand="0" w:val="0000"/>
        <w:jc w:val="start"/>
        <w:tblLayout w:type="fixed"/>
      </w:tblPr>
      <w:tblGrid>
        <w:gridCol w:w="7920"/>
      </w:tblGrid>
      <w:tr>
        <w:tc>
          <w:tcPr/>
          <w:bookmarkStart w:id="273" w:name="fig-power-curves"/>
          <w:p>
            <w:pPr>
              <w:pStyle w:val="Compact"/>
              <w:jc w:val="center"/>
            </w:pPr>
            <w:r>
              <w:drawing>
                <wp:inline>
                  <wp:extent cx="5943600" cy="4622800"/>
                  <wp:effectExtent b="0" l="0" r="0" t="0"/>
                  <wp:docPr descr="" title="" id="271" name="Picture"/>
                  <a:graphic>
                    <a:graphicData uri="http://schemas.openxmlformats.org/drawingml/2006/picture">
                      <pic:pic>
                        <pic:nvPicPr>
                          <pic:cNvPr descr="S1-supplement-sensitivity_files/figure-docx/fig-power-curves-1.png" id="272" name="Picture"/>
                          <pic:cNvPicPr>
                            <a:picLocks noChangeArrowheads="1" noChangeAspect="1"/>
                          </pic:cNvPicPr>
                        </pic:nvPicPr>
                        <pic:blipFill>
                          <a:blip r:embed="rId270"/>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16: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S 52</w:t>
              </w:r>
            </w:hyperlink>
            <w:r>
              <w:t xml:space="preserve">. Curves are simulation estimates (Mantel and PerMANOVA: B = 300 with 99 permutations; network: B = 200 with 99 permutations).</w:t>
            </w:r>
          </w:p>
          <w:bookmarkEnd w:id="273"/>
        </w:tc>
      </w:tr>
    </w:tbl>
    <w:bookmarkEnd w:id="274"/>
    <w:bookmarkStart w:id="275" w:name="sec-s-power-interpretation"/>
    <w:p>
      <w:pPr>
        <w:pStyle w:val="Heading2"/>
      </w:pPr>
      <w:r>
        <w:t xml:space="preserve">S1.13.2 Interpretation</w:t>
      </w:r>
    </w:p>
    <w:p>
      <w:pPr>
        <w:pStyle w:val="FirstParagraph"/>
      </w:pPr>
      <w:r>
        <w:rPr>
          <w:bCs/>
          <w:b/>
        </w:rPr>
        <w:t xml:space="preserve">Question: what Mantel correlation can each phase detect at 80% power?</w:t>
      </w:r>
      <w:r>
        <w:t xml:space="preserve"> </w:t>
      </w: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rPr>
          <w:bCs/>
          <w:b/>
        </w:rPr>
        <w:t xml:space="preserve">Question: what PerMANOVA R-squared can each phase detect at 80% power?</w:t>
      </w:r>
      <w:r>
        <w:t xml:space="preserve"> </w:t>
      </w: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0.98 in Aur-P1 and 0.04 in Aur-P2. The Aur-P2 test with 6 versus 3 sites has the larger MDE and stays indicative. Group separations below these R² values cannot be distinguished from sampling variation by this test.</w:t>
      </w:r>
    </w:p>
    <w:p>
      <w:pPr>
        <w:pStyle w:val="BodyText"/>
      </w:pPr>
      <w:r>
        <w:rPr>
          <w:bCs/>
          <w:b/>
        </w:rPr>
        <w:t xml:space="preserve">Question: what network density difference can the phase contrast detect at 80% power?</w:t>
      </w:r>
      <w:r>
        <w:t xml:space="preserve"> </w:t>
      </w: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p>
      <w:pPr>
        <w:pStyle w:val="BodyText"/>
      </w:pPr>
      <w:r>
        <w:rPr>
          <w:bCs/>
          <w:b/>
        </w:rPr>
        <w:t xml:space="preserve">Implication for the main text.</w:t>
      </w:r>
      <w:r>
        <w:t xml:space="preserve"> </w:t>
      </w:r>
      <w:r>
        <w:t xml:space="preserve">Null results reflect limited power at 20 versus 9 sites; only effects above the MDEs in</w:t>
      </w:r>
      <w:r>
        <w:t xml:space="preserve"> </w:t>
      </w:r>
      <w:hyperlink w:anchor="tbl-power-mde">
        <w:r>
          <w:rPr>
            <w:rStyle w:val="Hyperlink"/>
          </w:rPr>
          <w:t xml:space="preserve">Table S 52</w:t>
        </w:r>
      </w:hyperlink>
      <w:r>
        <w:t xml:space="preserve"> </w:t>
      </w:r>
      <w:r>
        <w:t xml:space="preserve">can be excluded.</w:t>
      </w:r>
    </w:p>
    <w:bookmarkEnd w:id="275"/>
    <w:bookmarkEnd w:id="276"/>
    <w:bookmarkStart w:id="344"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Sorensen-Dice,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date variants,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w:t>
      </w:r>
      <w:r>
        <w:t xml:space="preserve"> </w:t>
      </w:r>
      <w:r>
        <w:t xml:space="preserve">show that the restricted versus broad axis is coherent under resampling, most clearly in Aur-P1. Generative modelling in</w:t>
      </w:r>
      <w:r>
        <w:t xml:space="preserve"> </w:t>
      </w:r>
      <w:r>
        <w:t xml:space="preserve">Section S1.9</w:t>
      </w:r>
      <w:r>
        <w:t xml:space="preserve"> </w:t>
      </w:r>
      <w:r>
        <w:t xml:space="preserve">recovers multi-block structure in Aur-P1 under Bernoulli, Gaussian, and Poisson specifications (K = 3, 4, and 3), with the two largest blocks tracking the manual restricted/broad split and a stable Labeko Koba/Les Cottés/Trou al’Wesse third block, but recovers no stable multi-block structure in Aur-P2 (Bernoulli/Poisson K = 1; Gaussian K = 2 by 0.90 points). Withheld-data validation in</w:t>
      </w:r>
      <w:r>
        <w:t xml:space="preserve"> </w:t>
      </w:r>
      <w:r>
        <w:t xml:space="preserve">Section S1.10</w:t>
      </w:r>
      <w:r>
        <w:t xml:space="preserve"> </w:t>
      </w:r>
      <w:r>
        <w:t xml:space="preserve">does not find separation beyond richness structure under the fixed-fixed null, and Simpson turnover shows no separation in either phase. The supported claim is a dominant richness axis that is recoverable from disjoint objects in well sampled sites, with an SBM- and Louvain-supported small-block refinement (Labeko Koba, Les Cottés, Trou al’Wesse) in Aur-P1, rather than discrete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bookmarkStart w:id="343" w:name="references-cited"/>
    <w:p>
      <w:pPr>
        <w:pStyle w:val="Heading2"/>
      </w:pPr>
      <w:r>
        <w:t xml:space="preserve">References cited</w:t>
      </w:r>
    </w:p>
    <w:bookmarkStart w:id="342" w:name="refs"/>
    <w:bookmarkStart w:id="278"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277">
        <w:r>
          <w:rPr>
            <w:rStyle w:val="Hyperlink"/>
          </w:rPr>
          <w:t xml:space="preserve">https://doi.org/10.18637/jss.v022.i07</w:t>
        </w:r>
      </w:hyperlink>
      <w:r>
        <w:t xml:space="preserve">.</w:t>
      </w:r>
    </w:p>
    <w:bookmarkEnd w:id="278"/>
    <w:bookmarkStart w:id="280"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279">
        <w:r>
          <w:rPr>
            <w:rStyle w:val="Hyperlink"/>
          </w:rPr>
          <w:t xml:space="preserve">https://doi.org/10.1890/0012-9615(1999)069[0001:DBRDAO]2.0.CO;2</w:t>
        </w:r>
      </w:hyperlink>
      <w:r>
        <w:t xml:space="preserve">.</w:t>
      </w:r>
    </w:p>
    <w:bookmarkEnd w:id="280"/>
    <w:bookmarkStart w:id="282"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281">
        <w:r>
          <w:rPr>
            <w:rStyle w:val="Hyperlink"/>
          </w:rPr>
          <w:t xml:space="preserve">https://doi.org/10.1016/j.quascirev.2021.106995</w:t>
        </w:r>
      </w:hyperlink>
      <w:r>
        <w:t xml:space="preserve">.</w:t>
      </w:r>
    </w:p>
    <w:bookmarkEnd w:id="282"/>
    <w:bookmarkStart w:id="284"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283">
        <w:r>
          <w:rPr>
            <w:rStyle w:val="Hyperlink"/>
          </w:rPr>
          <w:t xml:space="preserve">https://doi.org/10.1007/s41982-017-0004-4</w:t>
        </w:r>
      </w:hyperlink>
      <w:r>
        <w:t xml:space="preserve">.</w:t>
      </w:r>
    </w:p>
    <w:bookmarkEnd w:id="284"/>
    <w:bookmarkStart w:id="286"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85">
        <w:r>
          <w:rPr>
            <w:rStyle w:val="Hyperlink"/>
          </w:rPr>
          <w:t xml:space="preserve">https://doi.org/10.30861/9781841718309</w:t>
        </w:r>
      </w:hyperlink>
      <w:r>
        <w:t xml:space="preserve">.</w:t>
      </w:r>
    </w:p>
    <w:bookmarkEnd w:id="286"/>
    <w:bookmarkStart w:id="288"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87">
        <w:r>
          <w:rPr>
            <w:rStyle w:val="Hyperlink"/>
          </w:rPr>
          <w:t xml:space="preserve">https://doi.org/10.1016/j.jhevol.2011.06.005</w:t>
        </w:r>
      </w:hyperlink>
      <w:r>
        <w:t xml:space="preserve">.</w:t>
      </w:r>
    </w:p>
    <w:bookmarkEnd w:id="288"/>
    <w:bookmarkStart w:id="290"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289">
        <w:r>
          <w:rPr>
            <w:rStyle w:val="Hyperlink"/>
          </w:rPr>
          <w:t xml:space="preserve">https://doi.org/10.1002/jqs.3236</w:t>
        </w:r>
      </w:hyperlink>
      <w:r>
        <w:t xml:space="preserve">.</w:t>
      </w:r>
    </w:p>
    <w:bookmarkEnd w:id="290"/>
    <w:bookmarkStart w:id="291"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291"/>
    <w:bookmarkStart w:id="293"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292">
        <w:r>
          <w:rPr>
            <w:rStyle w:val="Hyperlink"/>
          </w:rPr>
          <w:t xml:space="preserve">https://doi.org/10.1007/978-3-211-49294-9_4</w:t>
        </w:r>
      </w:hyperlink>
      <w:r>
        <w:t xml:space="preserve">.</w:t>
      </w:r>
    </w:p>
    <w:bookmarkEnd w:id="293"/>
    <w:bookmarkStart w:id="295"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294">
        <w:r>
          <w:rPr>
            <w:rStyle w:val="Hyperlink"/>
          </w:rPr>
          <w:t xml:space="preserve">https://doi.org/10.1038/nature03585</w:t>
        </w:r>
      </w:hyperlink>
      <w:r>
        <w:t xml:space="preserve">.</w:t>
      </w:r>
    </w:p>
    <w:bookmarkEnd w:id="295"/>
    <w:bookmarkStart w:id="297"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296">
        <w:r>
          <w:rPr>
            <w:rStyle w:val="Hyperlink"/>
          </w:rPr>
          <w:t xml:space="preserve">https://doi.org/10.1007/s41982-025-00246-x</w:t>
        </w:r>
      </w:hyperlink>
      <w:r>
        <w:t xml:space="preserve">.</w:t>
      </w:r>
    </w:p>
    <w:bookmarkEnd w:id="297"/>
    <w:bookmarkStart w:id="299" w:name="ref-Blondel_2008"/>
    <w:p>
      <w:pPr>
        <w:pStyle w:val="Bibliography"/>
      </w:pPr>
      <w:r>
        <w:t xml:space="preserve">[12]</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298">
        <w:r>
          <w:rPr>
            <w:rStyle w:val="Hyperlink"/>
          </w:rPr>
          <w:t xml:space="preserve">https://doi.org/10.1088/1742-5468/2008/10/P10008</w:t>
        </w:r>
      </w:hyperlink>
      <w:r>
        <w:t xml:space="preserve">.</w:t>
      </w:r>
    </w:p>
    <w:bookmarkEnd w:id="299"/>
    <w:bookmarkStart w:id="301" w:name="ref-newman2004finding"/>
    <w:p>
      <w:pPr>
        <w:pStyle w:val="Bibliography"/>
      </w:pPr>
      <w:r>
        <w:t xml:space="preserve">[13]</w:t>
      </w:r>
      <w:r>
        <w:t xml:space="preserve"> </w:t>
      </w:r>
      <w:r>
        <w:t xml:space="preserve">	</w:t>
      </w:r>
      <w:r>
        <w:t xml:space="preserve">Newman ME, Girvan M. Finding and evaluating community structure in networks. Physical Review E 2004;69:026113.</w:t>
      </w:r>
      <w:r>
        <w:t xml:space="preserve"> </w:t>
      </w:r>
      <w:hyperlink r:id="rId300">
        <w:r>
          <w:rPr>
            <w:rStyle w:val="Hyperlink"/>
          </w:rPr>
          <w:t xml:space="preserve">https://doi.org/10.1103/PhysRevE.69.026113</w:t>
        </w:r>
      </w:hyperlink>
      <w:r>
        <w:t xml:space="preserve">.</w:t>
      </w:r>
    </w:p>
    <w:bookmarkEnd w:id="301"/>
    <w:bookmarkStart w:id="303"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302">
        <w:r>
          <w:rPr>
            <w:rStyle w:val="Hyperlink"/>
          </w:rPr>
          <w:t xml:space="preserve">https://doi.org/10.1016/j.socnet.2020.11.005</w:t>
        </w:r>
      </w:hyperlink>
      <w:r>
        <w:t xml:space="preserve">.</w:t>
      </w:r>
    </w:p>
    <w:bookmarkEnd w:id="303"/>
    <w:bookmarkStart w:id="305"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304">
        <w:r>
          <w:rPr>
            <w:rStyle w:val="Hyperlink"/>
          </w:rPr>
          <w:t xml:space="preserve">https://doi.org/10.1198/108571102320</w:t>
        </w:r>
      </w:hyperlink>
      <w:r>
        <w:t xml:space="preserve">.</w:t>
      </w:r>
    </w:p>
    <w:bookmarkEnd w:id="305"/>
    <w:bookmarkStart w:id="307" w:name="ref-Lichstein_2007"/>
    <w:p>
      <w:pPr>
        <w:pStyle w:val="Bibliography"/>
      </w:pPr>
      <w:r>
        <w:t xml:space="preserve">[16]</w:t>
      </w:r>
      <w:r>
        <w:t xml:space="preserve"> </w:t>
      </w:r>
      <w:r>
        <w:t xml:space="preserve">	</w:t>
      </w:r>
      <w:r>
        <w:t xml:space="preserve">Lichstein JW. Multiple regression on distance matrices: A multivariate spatial analysis tool. Plant Ecology 2007;188:117–31.</w:t>
      </w:r>
      <w:r>
        <w:t xml:space="preserve"> </w:t>
      </w:r>
      <w:hyperlink r:id="rId306">
        <w:r>
          <w:rPr>
            <w:rStyle w:val="Hyperlink"/>
          </w:rPr>
          <w:t xml:space="preserve">https://doi.org/10.1007/s11258-006-9126-3</w:t>
        </w:r>
      </w:hyperlink>
      <w:r>
        <w:t xml:space="preserve">.</w:t>
      </w:r>
    </w:p>
    <w:bookmarkEnd w:id="307"/>
    <w:bookmarkStart w:id="309" w:name="ref-Monti_2003"/>
    <w:p>
      <w:pPr>
        <w:pStyle w:val="Bibliography"/>
      </w:pPr>
      <w:r>
        <w:t xml:space="preserve">[17]</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08">
        <w:r>
          <w:rPr>
            <w:rStyle w:val="Hyperlink"/>
          </w:rPr>
          <w:t xml:space="preserve">https://doi.org/10.1023/A:1023949509487</w:t>
        </w:r>
      </w:hyperlink>
      <w:r>
        <w:t xml:space="preserve">.</w:t>
      </w:r>
    </w:p>
    <w:bookmarkEnd w:id="309"/>
    <w:bookmarkStart w:id="311" w:name="ref-Leger_2016"/>
    <w:p>
      <w:pPr>
        <w:pStyle w:val="Bibliography"/>
      </w:pPr>
      <w:r>
        <w:t xml:space="preserve">[18]</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10">
        <w:r>
          <w:rPr>
            <w:rStyle w:val="Hyperlink"/>
          </w:rPr>
          <w:t xml:space="preserve">https://doi.org/10.48550/arXiv.1602.07587</w:t>
        </w:r>
      </w:hyperlink>
      <w:r>
        <w:t xml:space="preserve">.</w:t>
      </w:r>
    </w:p>
    <w:bookmarkEnd w:id="311"/>
    <w:bookmarkStart w:id="313" w:name="ref-Hubert_Arabie_1985"/>
    <w:p>
      <w:pPr>
        <w:pStyle w:val="Bibliography"/>
      </w:pPr>
      <w:r>
        <w:t xml:space="preserve">[19]</w:t>
      </w:r>
      <w:r>
        <w:t xml:space="preserve"> </w:t>
      </w:r>
      <w:r>
        <w:t xml:space="preserve">	</w:t>
      </w:r>
      <w:r>
        <w:t xml:space="preserve">Hubert L, Arabie P. Comparing partitions. Journal of Classification 1985;2:193–218.</w:t>
      </w:r>
      <w:r>
        <w:t xml:space="preserve"> </w:t>
      </w:r>
      <w:hyperlink r:id="rId312">
        <w:r>
          <w:rPr>
            <w:rStyle w:val="Hyperlink"/>
          </w:rPr>
          <w:t xml:space="preserve">https://doi.org/10.1007/BF01908075</w:t>
        </w:r>
      </w:hyperlink>
      <w:r>
        <w:t xml:space="preserve">.</w:t>
      </w:r>
    </w:p>
    <w:bookmarkEnd w:id="313"/>
    <w:bookmarkStart w:id="315" w:name="ref-Gao_Bien_Witten_2022"/>
    <w:p>
      <w:pPr>
        <w:pStyle w:val="Bibliography"/>
      </w:pPr>
      <w:r>
        <w:t xml:space="preserve">[20]</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314">
        <w:r>
          <w:rPr>
            <w:rStyle w:val="Hyperlink"/>
          </w:rPr>
          <w:t xml:space="preserve">https://doi.org/10.1080/01621459.2022.2116331</w:t>
        </w:r>
      </w:hyperlink>
      <w:r>
        <w:t xml:space="preserve">.</w:t>
      </w:r>
    </w:p>
    <w:bookmarkEnd w:id="315"/>
    <w:bookmarkStart w:id="317" w:name="ref-Neufeld_2024"/>
    <w:p>
      <w:pPr>
        <w:pStyle w:val="Bibliography"/>
      </w:pPr>
      <w:r>
        <w:t xml:space="preserve">[21]</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16">
        <w:r>
          <w:rPr>
            <w:rStyle w:val="Hyperlink"/>
          </w:rPr>
          <w:t xml:space="preserve">https://doi.org/10.1093/biostatistics/kxac047</w:t>
        </w:r>
      </w:hyperlink>
      <w:r>
        <w:t xml:space="preserve">.</w:t>
      </w:r>
    </w:p>
    <w:bookmarkEnd w:id="317"/>
    <w:bookmarkStart w:id="319" w:name="ref-Brown_1975"/>
    <w:p>
      <w:pPr>
        <w:pStyle w:val="Bibliography"/>
      </w:pPr>
      <w:r>
        <w:t xml:space="preserve">[22]</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318">
        <w:r>
          <w:rPr>
            <w:rStyle w:val="Hyperlink"/>
          </w:rPr>
          <w:t xml:space="preserve">https://doi.org/10.2307/2529826</w:t>
        </w:r>
      </w:hyperlink>
      <w:r>
        <w:t xml:space="preserve">.</w:t>
      </w:r>
    </w:p>
    <w:bookmarkEnd w:id="319"/>
    <w:bookmarkStart w:id="321" w:name="ref-Poole_2016"/>
    <w:p>
      <w:pPr>
        <w:pStyle w:val="Bibliography"/>
      </w:pPr>
      <w:r>
        <w:t xml:space="preserve">[23]</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320">
        <w:r>
          <w:rPr>
            <w:rStyle w:val="Hyperlink"/>
          </w:rPr>
          <w:t xml:space="preserve">https://doi.org/10.1093/bioinformatics/btw438</w:t>
        </w:r>
      </w:hyperlink>
      <w:r>
        <w:t xml:space="preserve">.</w:t>
      </w:r>
    </w:p>
    <w:bookmarkEnd w:id="321"/>
    <w:bookmarkStart w:id="323" w:name="ref-Chao_Jost_2012"/>
    <w:p>
      <w:pPr>
        <w:pStyle w:val="Bibliography"/>
      </w:pPr>
      <w:r>
        <w:t xml:space="preserve">[24]</w:t>
      </w:r>
      <w:r>
        <w:t xml:space="preserve"> </w:t>
      </w:r>
      <w:r>
        <w:t xml:space="preserve">	</w:t>
      </w:r>
      <w:r>
        <w:t xml:space="preserve">Chao A, Jost L. Coverage-based rarefaction and extrapolation: Standardizing samples by completeness rather than size. Ecology 2012;93:2533–47.</w:t>
      </w:r>
      <w:r>
        <w:t xml:space="preserve"> </w:t>
      </w:r>
      <w:hyperlink r:id="rId322">
        <w:r>
          <w:rPr>
            <w:rStyle w:val="Hyperlink"/>
          </w:rPr>
          <w:t xml:space="preserve">https://doi.org/10.1890/11-1952.1</w:t>
        </w:r>
      </w:hyperlink>
      <w:r>
        <w:t xml:space="preserve">.</w:t>
      </w:r>
    </w:p>
    <w:bookmarkEnd w:id="323"/>
    <w:bookmarkStart w:id="325" w:name="ref-Gotelli_Colwell_2001"/>
    <w:p>
      <w:pPr>
        <w:pStyle w:val="Bibliography"/>
      </w:pPr>
      <w:r>
        <w:t xml:space="preserve">[25]</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24">
        <w:r>
          <w:rPr>
            <w:rStyle w:val="Hyperlink"/>
          </w:rPr>
          <w:t xml:space="preserve">https://doi.org/10.1046/j.1461-0248.2001.00230.x</w:t>
        </w:r>
      </w:hyperlink>
      <w:r>
        <w:t xml:space="preserve">.</w:t>
      </w:r>
    </w:p>
    <w:bookmarkEnd w:id="325"/>
    <w:bookmarkStart w:id="327" w:name="ref-Hsieh_Ma_Chao_2016"/>
    <w:p>
      <w:pPr>
        <w:pStyle w:val="Bibliography"/>
      </w:pPr>
      <w:r>
        <w:t xml:space="preserve">[26]</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26">
        <w:r>
          <w:rPr>
            <w:rStyle w:val="Hyperlink"/>
          </w:rPr>
          <w:t xml:space="preserve">https://doi.org/10.1111/2041-210X.12613</w:t>
        </w:r>
      </w:hyperlink>
      <w:r>
        <w:t xml:space="preserve">.</w:t>
      </w:r>
    </w:p>
    <w:bookmarkEnd w:id="327"/>
    <w:bookmarkStart w:id="329" w:name="ref-Venables_Ripley_2002"/>
    <w:p>
      <w:pPr>
        <w:pStyle w:val="Bibliography"/>
      </w:pPr>
      <w:r>
        <w:t xml:space="preserve">[27]</w:t>
      </w:r>
      <w:r>
        <w:t xml:space="preserve"> </w:t>
      </w:r>
      <w:r>
        <w:t xml:space="preserve">	</w:t>
      </w:r>
      <w:r>
        <w:t xml:space="preserve">Venables WN, Ripley BD. Modern applied statistics with s. Fourth. Springer; 2002.</w:t>
      </w:r>
      <w:r>
        <w:t xml:space="preserve"> </w:t>
      </w:r>
      <w:hyperlink r:id="rId328">
        <w:r>
          <w:rPr>
            <w:rStyle w:val="Hyperlink"/>
          </w:rPr>
          <w:t xml:space="preserve">https://doi.org/10.1007/978-0-387-21706-2</w:t>
        </w:r>
      </w:hyperlink>
      <w:r>
        <w:t xml:space="preserve">.</w:t>
      </w:r>
    </w:p>
    <w:bookmarkEnd w:id="329"/>
    <w:bookmarkStart w:id="331" w:name="ref-Bentz_Dutkiewicz_2026"/>
    <w:p>
      <w:pPr>
        <w:pStyle w:val="Bibliography"/>
      </w:pPr>
      <w:r>
        <w:t xml:space="preserve">[28]</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30">
        <w:r>
          <w:rPr>
            <w:rStyle w:val="Hyperlink"/>
          </w:rPr>
          <w:t xml:space="preserve">https://doi.org/10.1073/pnas.2520385123</w:t>
        </w:r>
      </w:hyperlink>
      <w:r>
        <w:t xml:space="preserve">.</w:t>
      </w:r>
    </w:p>
    <w:bookmarkEnd w:id="331"/>
    <w:bookmarkStart w:id="333" w:name="ref-Hoenig_Heisey_2001"/>
    <w:p>
      <w:pPr>
        <w:pStyle w:val="Bibliography"/>
      </w:pPr>
      <w:r>
        <w:t xml:space="preserve">[29]</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The American Statistician 2001;55:19–24.</w:t>
      </w:r>
      <w:r>
        <w:t xml:space="preserve"> </w:t>
      </w:r>
      <w:hyperlink r:id="rId332">
        <w:r>
          <w:rPr>
            <w:rStyle w:val="Hyperlink"/>
          </w:rPr>
          <w:t xml:space="preserve">https://doi.org/10.1198/000313001300339897</w:t>
        </w:r>
      </w:hyperlink>
      <w:r>
        <w:t xml:space="preserve">.</w:t>
      </w:r>
    </w:p>
    <w:bookmarkEnd w:id="333"/>
    <w:bookmarkStart w:id="335" w:name="ref-Cohen_1992"/>
    <w:p>
      <w:pPr>
        <w:pStyle w:val="Bibliography"/>
      </w:pPr>
      <w:r>
        <w:t xml:space="preserve">[30]</w:t>
      </w:r>
      <w:r>
        <w:t xml:space="preserve"> </w:t>
      </w:r>
      <w:r>
        <w:t xml:space="preserve">	</w:t>
      </w:r>
      <w:r>
        <w:t xml:space="preserve">Cohen J. A power primer. Psychological Bulletin 1992;112:155–9.</w:t>
      </w:r>
      <w:r>
        <w:t xml:space="preserve"> </w:t>
      </w:r>
      <w:hyperlink r:id="rId334">
        <w:r>
          <w:rPr>
            <w:rStyle w:val="Hyperlink"/>
          </w:rPr>
          <w:t xml:space="preserve">https://doi.org/10.1037/0033-2909.112.1.155</w:t>
        </w:r>
      </w:hyperlink>
      <w:r>
        <w:t xml:space="preserve">.</w:t>
      </w:r>
    </w:p>
    <w:bookmarkEnd w:id="335"/>
    <w:bookmarkStart w:id="337" w:name="ref-Legendre_2015"/>
    <w:p>
      <w:pPr>
        <w:pStyle w:val="Bibliography"/>
      </w:pPr>
      <w:r>
        <w:t xml:space="preserve">[31]</w:t>
      </w:r>
      <w:r>
        <w:t xml:space="preserve"> </w:t>
      </w:r>
      <w:r>
        <w:t xml:space="preserve">	</w:t>
      </w:r>
      <w:r>
        <w:t xml:space="preserve">Legendre P, Fortin M-J, Borcard D. Should the mantel test be used in spatial analysis? Methods in Ecology and Evolution 2015;6:1239–47.</w:t>
      </w:r>
      <w:r>
        <w:t xml:space="preserve"> </w:t>
      </w:r>
      <w:hyperlink r:id="rId336">
        <w:r>
          <w:rPr>
            <w:rStyle w:val="Hyperlink"/>
          </w:rPr>
          <w:t xml:space="preserve">https://doi.org/10.1111/2041-210X.12425</w:t>
        </w:r>
      </w:hyperlink>
      <w:r>
        <w:t xml:space="preserve">.</w:t>
      </w:r>
    </w:p>
    <w:bookmarkEnd w:id="337"/>
    <w:bookmarkStart w:id="339" w:name="ref-Guillot_Rousset_2013"/>
    <w:p>
      <w:pPr>
        <w:pStyle w:val="Bibliography"/>
      </w:pPr>
      <w:r>
        <w:t xml:space="preserve">[32]</w:t>
      </w:r>
      <w:r>
        <w:t xml:space="preserve"> </w:t>
      </w:r>
      <w:r>
        <w:t xml:space="preserve">	</w:t>
      </w:r>
      <w:r>
        <w:t xml:space="preserve">Guillot G, Rousset F. Dismantling the mantel tests. Methods in Ecology and Evolution 2013;4:336–44.</w:t>
      </w:r>
      <w:r>
        <w:t xml:space="preserve"> </w:t>
      </w:r>
      <w:hyperlink r:id="rId338">
        <w:r>
          <w:rPr>
            <w:rStyle w:val="Hyperlink"/>
          </w:rPr>
          <w:t xml:space="preserve">https://doi.org/10.1111/2041-210X.12018</w:t>
        </w:r>
      </w:hyperlink>
      <w:r>
        <w:t xml:space="preserve">.</w:t>
      </w:r>
    </w:p>
    <w:bookmarkEnd w:id="339"/>
    <w:bookmarkStart w:id="341" w:name="ref-Anderson_Walsh_2013"/>
    <w:p>
      <w:pPr>
        <w:pStyle w:val="Bibliography"/>
      </w:pPr>
      <w:r>
        <w:t xml:space="preserve">[33]</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Ecological Monographs 2013;83:557–74.</w:t>
      </w:r>
      <w:r>
        <w:t xml:space="preserve"> </w:t>
      </w:r>
      <w:hyperlink r:id="rId340">
        <w:r>
          <w:rPr>
            <w:rStyle w:val="Hyperlink"/>
          </w:rPr>
          <w:t xml:space="preserve">https://doi.org/10.1890/12-2010.1</w:t>
        </w:r>
      </w:hyperlink>
      <w:r>
        <w:t xml:space="preserve">.</w:t>
      </w:r>
    </w:p>
    <w:bookmarkEnd w:id="341"/>
    <w:bookmarkEnd w:id="342"/>
    <w:bookmarkEnd w:id="343"/>
    <w:bookmarkEnd w:id="344"/>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7" Target="media/rId167.png" /><Relationship Type="http://schemas.openxmlformats.org/officeDocument/2006/relationships/image" Id="rId198" Target="media/rId198.png" /><Relationship Type="http://schemas.openxmlformats.org/officeDocument/2006/relationships/image" Id="rId207" Target="media/rId207.png" /><Relationship Type="http://schemas.openxmlformats.org/officeDocument/2006/relationships/image" Id="rId50" Target="media/rId50.png" /><Relationship Type="http://schemas.openxmlformats.org/officeDocument/2006/relationships/image" Id="rId156" Target="media/rId156.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129" Target="media/rId129.png" /><Relationship Type="http://schemas.openxmlformats.org/officeDocument/2006/relationships/image" Id="rId64" Target="media/rId64.png" /><Relationship Type="http://schemas.openxmlformats.org/officeDocument/2006/relationships/image" Id="rId220" Target="media/rId220.png" /><Relationship Type="http://schemas.openxmlformats.org/officeDocument/2006/relationships/image" Id="rId249" Target="media/rId249.png" /><Relationship Type="http://schemas.openxmlformats.org/officeDocument/2006/relationships/image" Id="rId270" Target="media/rId270.png" /><Relationship Type="http://schemas.openxmlformats.org/officeDocument/2006/relationships/image" Id="rId237" Target="media/rId237.png" /><Relationship Type="http://schemas.openxmlformats.org/officeDocument/2006/relationships/image" Id="rId229" Target="media/rId229.png" /><Relationship Type="http://schemas.openxmlformats.org/officeDocument/2006/relationships/image" Id="rId175" Target="media/rId175.png" /><Relationship Type="http://schemas.openxmlformats.org/officeDocument/2006/relationships/image" Id="rId36" Target="media/rId36.png" /><Relationship Type="http://schemas.openxmlformats.org/officeDocument/2006/relationships/hyperlink" Id="rId289" Target="https://doi.org/10.1002/jqs.3236" TargetMode="External" /><Relationship Type="http://schemas.openxmlformats.org/officeDocument/2006/relationships/hyperlink" Id="rId328" Target="https://doi.org/10.1007/978-0-387-21706-2" TargetMode="External" /><Relationship Type="http://schemas.openxmlformats.org/officeDocument/2006/relationships/hyperlink" Id="rId292" Target="https://doi.org/10.1007/978-3-211-49294-9_4" TargetMode="External" /><Relationship Type="http://schemas.openxmlformats.org/officeDocument/2006/relationships/hyperlink" Id="rId312" Target="https://doi.org/10.1007/BF01908075" TargetMode="External" /><Relationship Type="http://schemas.openxmlformats.org/officeDocument/2006/relationships/hyperlink" Id="rId306" Target="https://doi.org/10.1007/s11258-006-9126-3" TargetMode="External" /><Relationship Type="http://schemas.openxmlformats.org/officeDocument/2006/relationships/hyperlink" Id="rId283" Target="https://doi.org/10.1007/s41982-017-0004-4" TargetMode="External" /><Relationship Type="http://schemas.openxmlformats.org/officeDocument/2006/relationships/hyperlink" Id="rId296" Target="https://doi.org/10.1007/s41982-025-00246-x" TargetMode="External" /><Relationship Type="http://schemas.openxmlformats.org/officeDocument/2006/relationships/hyperlink" Id="rId287" Target="https://doi.org/10.1016/j.jhevol.2011.06.005" TargetMode="External" /><Relationship Type="http://schemas.openxmlformats.org/officeDocument/2006/relationships/hyperlink" Id="rId281" Target="https://doi.org/10.1016/j.quascirev.2021.106995" TargetMode="External" /><Relationship Type="http://schemas.openxmlformats.org/officeDocument/2006/relationships/hyperlink" Id="rId302" Target="https://doi.org/10.1016/j.socnet.2020.11.005" TargetMode="External" /><Relationship Type="http://schemas.openxmlformats.org/officeDocument/2006/relationships/hyperlink" Id="rId308" Target="https://doi.org/10.1023/A:1023949509487" TargetMode="External" /><Relationship Type="http://schemas.openxmlformats.org/officeDocument/2006/relationships/hyperlink" Id="rId334" Target="https://doi.org/10.1037/0033-2909.112.1.155" TargetMode="External" /><Relationship Type="http://schemas.openxmlformats.org/officeDocument/2006/relationships/hyperlink" Id="rId294" Target="https://doi.org/10.1038/nature03585" TargetMode="External" /><Relationship Type="http://schemas.openxmlformats.org/officeDocument/2006/relationships/hyperlink" Id="rId324" Target="https://doi.org/10.1046/j.1461-0248.2001.00230.x" TargetMode="External" /><Relationship Type="http://schemas.openxmlformats.org/officeDocument/2006/relationships/hyperlink" Id="rId330" Target="https://doi.org/10.1073/pnas.2520385123" TargetMode="External" /><Relationship Type="http://schemas.openxmlformats.org/officeDocument/2006/relationships/hyperlink" Id="rId314" Target="https://doi.org/10.1080/01621459.2022.2116331" TargetMode="External" /><Relationship Type="http://schemas.openxmlformats.org/officeDocument/2006/relationships/hyperlink" Id="rId298" Target="https://doi.org/10.1088/1742-5468/2008/10/P10008" TargetMode="External" /><Relationship Type="http://schemas.openxmlformats.org/officeDocument/2006/relationships/hyperlink" Id="rId320" Target="https://doi.org/10.1093/bioinformatics/btw438" TargetMode="External" /><Relationship Type="http://schemas.openxmlformats.org/officeDocument/2006/relationships/hyperlink" Id="rId316" Target="https://doi.org/10.1093/biostatistics/kxac047" TargetMode="External" /><Relationship Type="http://schemas.openxmlformats.org/officeDocument/2006/relationships/hyperlink" Id="rId300" Target="https://doi.org/10.1103/PhysRevE.69.026113" TargetMode="External" /><Relationship Type="http://schemas.openxmlformats.org/officeDocument/2006/relationships/hyperlink" Id="rId338" Target="https://doi.org/10.1111/2041-210X.12018" TargetMode="External" /><Relationship Type="http://schemas.openxmlformats.org/officeDocument/2006/relationships/hyperlink" Id="rId336" Target="https://doi.org/10.1111/2041-210X.12425" TargetMode="External" /><Relationship Type="http://schemas.openxmlformats.org/officeDocument/2006/relationships/hyperlink" Id="rId326" Target="https://doi.org/10.1111/2041-210X.12613" TargetMode="External" /><Relationship Type="http://schemas.openxmlformats.org/officeDocument/2006/relationships/hyperlink" Id="rId332" Target="https://doi.org/10.1198/000313001300339897" TargetMode="External" /><Relationship Type="http://schemas.openxmlformats.org/officeDocument/2006/relationships/hyperlink" Id="rId304" Target="https://doi.org/10.1198/108571102320" TargetMode="External" /><Relationship Type="http://schemas.openxmlformats.org/officeDocument/2006/relationships/hyperlink" Id="rId277" Target="https://doi.org/10.18637/jss.v022.i07" TargetMode="External" /><Relationship Type="http://schemas.openxmlformats.org/officeDocument/2006/relationships/hyperlink" Id="rId279" Target="https://doi.org/10.1890/0012-9615(1999)069[0001:DBRDAO]2.0.CO;2" TargetMode="External" /><Relationship Type="http://schemas.openxmlformats.org/officeDocument/2006/relationships/hyperlink" Id="rId322" Target="https://doi.org/10.1890/11-1952.1" TargetMode="External" /><Relationship Type="http://schemas.openxmlformats.org/officeDocument/2006/relationships/hyperlink" Id="rId340" Target="https://doi.org/10.1890/12-2010.1" TargetMode="External" /><Relationship Type="http://schemas.openxmlformats.org/officeDocument/2006/relationships/hyperlink" Id="rId318" Target="https://doi.org/10.2307/2529826" TargetMode="External" /><Relationship Type="http://schemas.openxmlformats.org/officeDocument/2006/relationships/hyperlink" Id="rId285" Target="https://doi.org/10.30861/9781841718309" TargetMode="External" /><Relationship Type="http://schemas.openxmlformats.org/officeDocument/2006/relationships/hyperlink" Id="rId310"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289" Target="https://doi.org/10.1002/jqs.3236" TargetMode="External" /><Relationship Type="http://schemas.openxmlformats.org/officeDocument/2006/relationships/hyperlink" Id="rId328" Target="https://doi.org/10.1007/978-0-387-21706-2" TargetMode="External" /><Relationship Type="http://schemas.openxmlformats.org/officeDocument/2006/relationships/hyperlink" Id="rId292" Target="https://doi.org/10.1007/978-3-211-49294-9_4" TargetMode="External" /><Relationship Type="http://schemas.openxmlformats.org/officeDocument/2006/relationships/hyperlink" Id="rId312" Target="https://doi.org/10.1007/BF01908075" TargetMode="External" /><Relationship Type="http://schemas.openxmlformats.org/officeDocument/2006/relationships/hyperlink" Id="rId306" Target="https://doi.org/10.1007/s11258-006-9126-3" TargetMode="External" /><Relationship Type="http://schemas.openxmlformats.org/officeDocument/2006/relationships/hyperlink" Id="rId283" Target="https://doi.org/10.1007/s41982-017-0004-4" TargetMode="External" /><Relationship Type="http://schemas.openxmlformats.org/officeDocument/2006/relationships/hyperlink" Id="rId296" Target="https://doi.org/10.1007/s41982-025-00246-x" TargetMode="External" /><Relationship Type="http://schemas.openxmlformats.org/officeDocument/2006/relationships/hyperlink" Id="rId287" Target="https://doi.org/10.1016/j.jhevol.2011.06.005" TargetMode="External" /><Relationship Type="http://schemas.openxmlformats.org/officeDocument/2006/relationships/hyperlink" Id="rId281" Target="https://doi.org/10.1016/j.quascirev.2021.106995" TargetMode="External" /><Relationship Type="http://schemas.openxmlformats.org/officeDocument/2006/relationships/hyperlink" Id="rId302" Target="https://doi.org/10.1016/j.socnet.2020.11.005" TargetMode="External" /><Relationship Type="http://schemas.openxmlformats.org/officeDocument/2006/relationships/hyperlink" Id="rId308" Target="https://doi.org/10.1023/A:1023949509487" TargetMode="External" /><Relationship Type="http://schemas.openxmlformats.org/officeDocument/2006/relationships/hyperlink" Id="rId334" Target="https://doi.org/10.1037/0033-2909.112.1.155" TargetMode="External" /><Relationship Type="http://schemas.openxmlformats.org/officeDocument/2006/relationships/hyperlink" Id="rId294" Target="https://doi.org/10.1038/nature03585" TargetMode="External" /><Relationship Type="http://schemas.openxmlformats.org/officeDocument/2006/relationships/hyperlink" Id="rId324" Target="https://doi.org/10.1046/j.1461-0248.2001.00230.x" TargetMode="External" /><Relationship Type="http://schemas.openxmlformats.org/officeDocument/2006/relationships/hyperlink" Id="rId330" Target="https://doi.org/10.1073/pnas.2520385123" TargetMode="External" /><Relationship Type="http://schemas.openxmlformats.org/officeDocument/2006/relationships/hyperlink" Id="rId314" Target="https://doi.org/10.1080/01621459.2022.2116331" TargetMode="External" /><Relationship Type="http://schemas.openxmlformats.org/officeDocument/2006/relationships/hyperlink" Id="rId298" Target="https://doi.org/10.1088/1742-5468/2008/10/P10008" TargetMode="External" /><Relationship Type="http://schemas.openxmlformats.org/officeDocument/2006/relationships/hyperlink" Id="rId320" Target="https://doi.org/10.1093/bioinformatics/btw438" TargetMode="External" /><Relationship Type="http://schemas.openxmlformats.org/officeDocument/2006/relationships/hyperlink" Id="rId316" Target="https://doi.org/10.1093/biostatistics/kxac047" TargetMode="External" /><Relationship Type="http://schemas.openxmlformats.org/officeDocument/2006/relationships/hyperlink" Id="rId300" Target="https://doi.org/10.1103/PhysRevE.69.026113" TargetMode="External" /><Relationship Type="http://schemas.openxmlformats.org/officeDocument/2006/relationships/hyperlink" Id="rId338" Target="https://doi.org/10.1111/2041-210X.12018" TargetMode="External" /><Relationship Type="http://schemas.openxmlformats.org/officeDocument/2006/relationships/hyperlink" Id="rId336" Target="https://doi.org/10.1111/2041-210X.12425" TargetMode="External" /><Relationship Type="http://schemas.openxmlformats.org/officeDocument/2006/relationships/hyperlink" Id="rId326" Target="https://doi.org/10.1111/2041-210X.12613" TargetMode="External" /><Relationship Type="http://schemas.openxmlformats.org/officeDocument/2006/relationships/hyperlink" Id="rId332" Target="https://doi.org/10.1198/000313001300339897" TargetMode="External" /><Relationship Type="http://schemas.openxmlformats.org/officeDocument/2006/relationships/hyperlink" Id="rId304" Target="https://doi.org/10.1198/108571102320" TargetMode="External" /><Relationship Type="http://schemas.openxmlformats.org/officeDocument/2006/relationships/hyperlink" Id="rId277" Target="https://doi.org/10.18637/jss.v022.i07" TargetMode="External" /><Relationship Type="http://schemas.openxmlformats.org/officeDocument/2006/relationships/hyperlink" Id="rId279" Target="https://doi.org/10.1890/0012-9615(1999)069[0001:DBRDAO]2.0.CO;2" TargetMode="External" /><Relationship Type="http://schemas.openxmlformats.org/officeDocument/2006/relationships/hyperlink" Id="rId322" Target="https://doi.org/10.1890/11-1952.1" TargetMode="External" /><Relationship Type="http://schemas.openxmlformats.org/officeDocument/2006/relationships/hyperlink" Id="rId340" Target="https://doi.org/10.1890/12-2010.1" TargetMode="External" /><Relationship Type="http://schemas.openxmlformats.org/officeDocument/2006/relationships/hyperlink" Id="rId318" Target="https://doi.org/10.2307/2529826" TargetMode="External" /><Relationship Type="http://schemas.openxmlformats.org/officeDocument/2006/relationships/hyperlink" Id="rId285" Target="https://doi.org/10.30861/9781841718309" TargetMode="External" /><Relationship Type="http://schemas.openxmlformats.org/officeDocument/2006/relationships/hyperlink" Id="rId310"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2026-09-06T20:09:14Z</dcterms:created>
  <dcterms:modified xsi:type="dcterms:W3CDTF">2026-09-06T20:09:14Z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September 6,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as proxies for cultural connectivity during the Western Eurasian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