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recovers the restricted/broad split as its two largest blocks in Aur-P1, while selecting a single block in Aur-P2; but the richness gap between the groups is not distinguishable from a group difference once the saturating richness–effort relationship is modelled. Despite differences in network size between phases, permutation tests show no evidence for meaningful differences in overall connectivity, community structure, or centrality patterns.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We find no convincing evidence in the SignBase sample for discrete geographically structured groups of Aurignacian geometric signs analogous to those claimed for personal ornaments.</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0.082), supporting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so it qualifies rather than overturns the Mantel null: at most a faint geographic gradient is distinguishable,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 same procedure as S1 S5.11).</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hypothesis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The stochastic block model analysis, which tests whether the proposed groups emerge as latent network communities without being supplied to the model in advance, partly supports the two-group hypothesis in Aur-P1: all three emission models (Bernoulli K = 3, Gaussian K = 4, Poisson K = 3) recover the restricted/broad split as their two largest blocks; Bernoulli and Gaussian additionally isolate Labeko Koba, Les Cottés, and Trou al’Wesse as a small third block, while under Poisson the same two broad sites pair off and Grotte du Renne joins the large mixed block (S1</w:t>
      </w:r>
      <w:r>
        <w:t xml:space="preserve"> </w:t>
      </w:r>
      <w:r>
        <w:t xml:space="preserve">“</w:t>
      </w:r>
      <w:r>
        <w:t xml:space="preserve">Sensitivity Analyses</w:t>
      </w:r>
      <w:r>
        <w:t xml:space="preserve">”</w:t>
      </w:r>
      <w:r>
        <w:t xml:space="preserve">). In Aur-P2 the Bernoulli and Poisson models select a single block and only the Gaussian model selects two, by 0.90 ICL points. We therefore retain the restricted/broad division as a dominant axis of sign type composition variation (rich vs. poor sign repertoires) with a stable small-block refinement in Aur-P1, rather than an exact two-group partition, and treat the Aur-P2 grouping as provisional.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The Aur-P1–Aur-P2 contrast is therefore primarily one of network scale rather than a statistically distinguishable community structure. Object-within-site bootstrap stability bands likewise overlap between phases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unsually large sign assemblage; (3) excluding figurines concentrated at Vogelherd (S1</w:t>
      </w:r>
      <w:r>
        <w:t xml:space="preserve"> </w:t>
      </w:r>
      <w:r>
        <w:t xml:space="preserve">“</w:t>
      </w:r>
      <w:r>
        <w:t xml:space="preserve">Sensitivity Analyses</w:t>
      </w:r>
      <w:r>
        <w:t xml:space="preserve">”</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w:t>
      </w:r>
      <w:r>
        <w:t xml:space="preserve"> </w:t>
      </w:r>
      <w:r>
        <w:t xml:space="preserve">“</w:t>
      </w:r>
      <w:r>
        <w:t xml:space="preserve">Sensitivity Analyses</w:t>
      </w:r>
      <w:r>
        <w:t xml:space="preserve">”</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Betadisper did not detect a significant difference in within-group dispersion in either phase; this does not establish equal dispersions, so the PerMANOVA results should be interpreted cautiously. Complementary analyses provide mixed evidence (see our S1</w:t>
      </w:r>
      <w:r>
        <w:t xml:space="preserve"> </w:t>
      </w:r>
      <w:r>
        <w:t xml:space="preserve">“</w:t>
      </w:r>
      <w:r>
        <w:t xml:space="preserve">Sensitivity Analyses</w:t>
      </w:r>
      <w:r>
        <w:t xml:space="preserve">”</w:t>
      </w:r>
      <w:r>
        <w:t xml:space="preserve">). Object-half holdout shows that a richness-based contrast can be recovered from disjoint objects, but the contrast is weaker when Jaccard’s nestedness component is removed using Simpson turnover. Leave-one-out classification indicates that the labels vary smoothly across the Jaccard composition space rather than independently confirming a discrete partition, and the fixed-fixed Curveball test does not show that the optimised split exceeds richness-preserving expectations.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a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Among the subset of sites that attain comparable coverage, broad-range sites remain richer, and a negative-binomial model with an estimated exponent finds that the richness–effort exponent is consistent with a residual group difference at equal object count. Note, this estimate is imprecise because the sample is small and group membership is strongly collinear with object count, and a negative-binomial model with an fixed exponent shows no effect (S1). At the phase level, the Jaccard separation is not greater than expected under a fixed-margin null preserving site richness and sign-type frequencies, and no separation remains on Simpson turnover, which removes the nestedness component of Jaccard (S1 S10.1).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(Partioning Around Medoids on geodesic distances, k=2 to 5, with Jaccard dissimilarity and PerMANOVA) found no significant differences across geographic groups (S1).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having protocuneiform-like information density, suggesting notational function, or</w:t>
      </w:r>
      <w:r>
        <w:t xml:space="preserve"> </w:t>
      </w:r>
      <w:r>
        <w:t xml:space="preserve">[107]</w:t>
      </w:r>
      <w:r>
        <w:t xml:space="preserve">’s claim that some sign recording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visually evident in seriation and supported by bootstrap co-clustering (Aur-P1: within-block 0.75/0.97 vs. across-block 0.2; Aur-P2: 0.49/0.92 vs. 0.4). A negative-binomial regression with the exponent estimated at 0.38 95% CI 0.23–0.53, shows broad-range sites with higher richness at equal object count (rate ratio 2.31, p = 0.003; see S1). With the exponent fixed at 1, the difference is not statistically significant (rate ratio 0.72, p = 0.292), but 1 lies outside the estimated interval and the free-slope estimate remains imprecise because group tracks object count. Stochastic block models recover the two-group partition as their two largest blocks in Aur-P1 under all three emission models (Bernoulli K = 3, Gaussian K = 4, Poisson K = 3; S1 §S9.3), with Labeko Koba, Les Cottés, and Trou al’Wesse forming a stable third block under Bernoulli and Gaussian models (under Poisson the same two broad sites pair off while Grotte du Renne joins the large mixed block), while in Aur-P2 the Bernoulli and Poisson models select a single block. Cross-validation (leave-one-out, object-half holdout, gradient PerMANOVA) recovers the axis, yet the maximally-selected split test under a fixed-fixed (Curveball) null is not significant in either phase (Aur-P1 p = 0.106; Aur-P2 p = 0.984).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fucntions (notation, calendrical recording, information storage) remains speculative and untested</w:t>
      </w:r>
      <w:r>
        <w:t xml:space="preserve"> </w:t>
      </w:r>
      <w:r>
        <w:t xml:space="preserve">[106–111]</w:t>
      </w:r>
      <w:r>
        <w:t xml:space="preserve">.</w:t>
      </w:r>
    </w:p>
    <w:p>
      <w:pPr>
        <w:pStyle w:val="BodyText"/>
      </w:pPr>
      <w:r>
        <w:t xml:space="preserve">Our study has four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 Date parsing itself removes assemblages whose reported dates lack uncertainties, including a large assemblage that would otherwise fall late, so the small Aur-P2 sample partly reflects dating-quality filtering rather than only archaeology (S1). Alternative calibrations move a few boundary sites between phases without changing the phase ordering (S1).</w:t>
      </w:r>
    </w:p>
    <w:p>
      <w:pPr>
        <w:pStyle w:val="BodyText"/>
      </w:pPr>
      <w:r>
        <w:t xml:space="preserve">Fourth, the restricted/broad gradient may not be independent from sampling intensity. Object-level resampling shows that only the best-sampled sites retain stable group assignments when compared at a common object count. A negative-binomial regression with an estimated richness–effort exponent finds the group contrast persists at equal object count (rate ratio 2.31, p = 0.003; S1 S9.4); the offset specification that found no effect fixed the exponent at 1, which the data reject. The richness gap can reflect either richer repertoires or more objects; the data cannot separate the two for sites with few objects. For sites represented by only a few objects the restricted/broad membership remains provisional. The division should accordingly be read as a descriptive axis of variation whose separation from sampling effort is not demonstrated for small-object sites.</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2026-09-06T19:59:46Z</dcterms:created>
  <dcterms:modified xsi:type="dcterms:W3CDTF">2026-09-06T19:59:46Z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