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2.png" ContentType="image/png"/>
  <Override PartName="/word/media/rId297.png" ContentType="image/png"/>
  <Override PartName="/word/media/rId304.png" ContentType="image/png"/>
  <Override PartName="/word/media/rId131.png" ContentType="image/png"/>
  <Override PartName="/word/media/rId44.png" ContentType="image/png"/>
  <Override PartName="/word/media/rId30.png" ContentType="image/png"/>
  <Override PartName="/word/media/rId55.png" ContentType="image/png"/>
  <Override PartName="/word/media/rId314.png" ContentType="image/png"/>
  <Override PartName="/word/media/rId343.png" ContentType="image/png"/>
  <Override PartName="/word/media/rId331.png" ContentType="image/png"/>
  <Override PartName="/word/media/rId323.png" ContentType="image/png"/>
  <Override PartName="/word/media/rId37.png" ContentType="image/png"/>
  <Override PartName="/word/media/rId149.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152.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224.png" ContentType="image/png"/>
  <Override PartName="/word/media/rId227.png" ContentType="image/png"/>
  <Override PartName="/word/media/rId230.png" ContentType="image/png"/>
  <Override PartName="/word/media/rId233.png" ContentType="image/png"/>
  <Override PartName="/word/media/rId155.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60.png" ContentType="image/png"/>
  <Override PartName="/word/media/rId263.png" ContentType="image/png"/>
  <Override PartName="/word/media/rId158.png" ContentType="image/png"/>
  <Override PartName="/word/media/rId266.png" ContentType="image/png"/>
  <Override PartName="/word/media/rId269.png" ContentType="image/png"/>
  <Override PartName="/word/media/rId272.png" ContentType="image/png"/>
  <Override PartName="/word/media/rId275.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6" w:name="sec-s1"/>
    <w:p>
      <w:pPr>
        <w:pStyle w:val="Heading1"/>
      </w:pPr>
      <w:r>
        <w:t xml:space="preserve">S1.1 Sample Foundation and Site Retention</w:t>
      </w:r>
    </w:p>
    <w:bookmarkStart w:id="21" w:name="rationale"/>
    <w:p>
      <w:pPr>
        <w:pStyle w:val="Heading2"/>
      </w:pPr>
      <w:r>
        <w:t xml:space="preserve">Rationale</w:t>
      </w:r>
    </w:p>
    <w:p>
      <w:pPr>
        <w:pStyle w:val="FirstParagraph"/>
      </w:pPr>
      <w:r>
        <w:t xml:space="preserve">This section expands on the site rejection details notes in the main text.</w:t>
      </w:r>
    </w:p>
    <w:bookmarkEnd w:id="21"/>
    <w:bookmarkStart w:id="23" w:name="sec-S1-1-counts"/>
    <w:p>
      <w:pPr>
        <w:pStyle w:val="Heading2"/>
      </w:pPr>
      <w:r>
        <w:t xml:space="preserve">S1.1.1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bookmarkEnd w:id="23"/>
    <w:bookmarkStart w:id="24" w:name="sec-S1-1-interpretation"/>
    <w:p>
      <w:pPr>
        <w:pStyle w:val="Heading2"/>
      </w:pPr>
      <w:r>
        <w:t xml:space="preserve">S1.1.2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Sections</w:t>
      </w:r>
      <w:r>
        <w:t xml:space="preserve"> </w:t>
      </w:r>
      <w:r>
        <w:t xml:space="preserve">S1.2</w:t>
      </w:r>
      <w:r>
        <w:t xml:space="preserve">–</w:t>
      </w:r>
      <w:r>
        <w:t xml:space="preserve">S1.12</w:t>
      </w:r>
      <w:r>
        <w:t xml:space="preserve"> </w:t>
      </w:r>
      <w:r>
        <w:t xml:space="preserve">below are therefore conditional on the retained sample of 409 objects at 28 sites. The phase table in Supplement 2 lists the retained sites with their technological or date-based assignment;</w:t>
      </w:r>
      <w:r>
        <w:t xml:space="preserve"> </w:t>
      </w:r>
      <w:hyperlink w:anchor="tbl-dropped-sites">
        <w:r>
          <w:rPr>
            <w:rStyle w:val="Hyperlink"/>
          </w:rPr>
          <w:t xml:space="preserve">Table S 1</w:t>
        </w:r>
      </w:hyperlink>
      <w:r>
        <w:t xml:space="preserve"> </w:t>
      </w:r>
      <w:r>
        <w:t xml:space="preserve">provides the site-by-site loss table that the main text references.</w:t>
      </w:r>
    </w:p>
    <w:bookmarkEnd w:id="24"/>
    <w:bookmarkStart w:id="25" w:name="sec-S1-1-analysis-ready-phase"/>
    <w:p>
      <w:pPr>
        <w:pStyle w:val="Heading2"/>
      </w:pPr>
      <w:r>
        <w:t xml:space="preserve">S1.1.3 Analysis-ready phase data</w:t>
      </w:r>
    </w:p>
    <w:bookmarkEnd w:id="25"/>
    <w:bookmarkEnd w:id="26"/>
    <w:bookmarkStart w:id="42" w:name="sec-s2"/>
    <w:p>
      <w:pPr>
        <w:pStyle w:val="Heading1"/>
      </w:pPr>
      <w:r>
        <w:t xml:space="preserve">S1.2 Network Threshold</w:t>
      </w:r>
    </w:p>
    <w:bookmarkStart w:id="27" w:name="rationale-1"/>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7"/>
    <w:bookmarkStart w:id="29" w:name="sec-S1-2-network-statistics-across"/>
    <w:p>
      <w:pPr>
        <w:pStyle w:val="Heading2"/>
      </w:pPr>
      <w:r>
        <w:t xml:space="preserve">S1.2.1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sec-S1-2-network-visualisations-across"/>
    <w:p>
      <w:pPr>
        <w:pStyle w:val="Heading2"/>
      </w:pPr>
      <w:r>
        <w:t xml:space="preserve">S1.2.2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ec-S1-2-interpretation"/>
    <w:p>
      <w:pPr>
        <w:pStyle w:val="Heading2"/>
      </w:pPr>
      <w:r>
        <w:t xml:space="preserve">S1.2.3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S 2</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Start w:id="36" w:name="sec-s2-4"/>
    <w:p>
      <w:pPr>
        <w:pStyle w:val="Heading2"/>
      </w:pPr>
      <w:r>
        <w:t xml:space="preserve">S1.2.4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36"/>
    <w:bookmarkStart w:id="41" w:name="sec-s2-5"/>
    <w:p>
      <w:pPr>
        <w:pStyle w:val="Heading2"/>
      </w:pPr>
      <w:r>
        <w:t xml:space="preserve">S1.2.5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40" w:name="fig-threshold-sweep"/>
          <w:p>
            <w:pPr>
              <w:pStyle w:val="Compact"/>
              <w:jc w:val="center"/>
            </w:pPr>
            <w:r>
              <w:drawing>
                <wp:inline>
                  <wp:extent cx="5943600" cy="2971800"/>
                  <wp:effectExtent b="0" l="0" r="0" t="0"/>
                  <wp:docPr descr="" title="" id="38" name="Picture"/>
                  <a:graphic>
                    <a:graphicData uri="http://schemas.openxmlformats.org/drawingml/2006/picture">
                      <pic:pic>
                        <pic:nvPicPr>
                          <pic:cNvPr descr="S1-supplement-sensitivity_files/figure-docx/fig-threshold-sweep-1.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40"/>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41"/>
    <w:bookmarkEnd w:id="42"/>
    <w:bookmarkStart w:id="50" w:name="sec-s3"/>
    <w:p>
      <w:pPr>
        <w:pStyle w:val="Heading1"/>
      </w:pPr>
      <w:r>
        <w:t xml:space="preserve">S1.3 Similarity Metric Choice (Jaccard vs. Sørensen-Dice vs. Simpson)</w:t>
      </w:r>
    </w:p>
    <w:bookmarkStart w:id="48"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43"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3: Network statistics for each Aurignacian phase across three similarity metrics (Jaccard, Sørensen-Dice, Simpson) at threshold = 0.2.</w:t>
            </w:r>
          </w:p>
          <w:bookmarkEnd w:id="43"/>
        </w:tc>
      </w:tr>
    </w:tbl>
    <w:tbl>
      <w:tblPr>
        <w:tblStyle w:val="Table"/>
        <w:tblW w:type="pct" w:w="5000"/>
        <w:tblLook w:firstRow="0" w:lastRow="0" w:firstColumn="0" w:lastColumn="0" w:noHBand="0" w:noVBand="0" w:val="0000"/>
        <w:jc w:val="start"/>
        <w:tblLayout w:type="fixed"/>
      </w:tblPr>
      <w:tblGrid>
        <w:gridCol w:w="7920"/>
      </w:tblGrid>
      <w:tr>
        <w:tc>
          <w:tcPr/>
          <w:bookmarkStart w:id="47" w:name="fig-metric-networks"/>
          <w:p>
            <w:pPr>
              <w:pStyle w:val="Compact"/>
              <w:jc w:val="center"/>
            </w:pPr>
            <w:r>
              <w:drawing>
                <wp:inline>
                  <wp:extent cx="5943600" cy="5403272"/>
                  <wp:effectExtent b="0" l="0" r="0" t="0"/>
                  <wp:docPr descr="" title="" id="45" name="Picture"/>
                  <a:graphic>
                    <a:graphicData uri="http://schemas.openxmlformats.org/drawingml/2006/picture">
                      <pic:pic>
                        <pic:nvPicPr>
                          <pic:cNvPr descr="../figures/sensitivity-metric-plot.png" id="46" name="Picture"/>
                          <pic:cNvPicPr>
                            <a:picLocks noChangeArrowheads="1" noChangeAspect="1"/>
                          </pic:cNvPicPr>
                        </pic:nvPicPr>
                        <pic:blipFill>
                          <a:blip r:embed="rId4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7"/>
        </w:tc>
      </w:tr>
    </w:tbl>
    <w:bookmarkEnd w:id="48"/>
    <w:bookmarkStart w:id="49" w:name="sec-S1-3-interpretation"/>
    <w:p>
      <w:pPr>
        <w:pStyle w:val="Heading2"/>
      </w:pPr>
      <w:r>
        <w:t xml:space="preserve">S1.3.2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9"/>
    <w:bookmarkEnd w:id="50"/>
    <w:bookmarkStart w:id="62" w:name="sec-s4"/>
    <w:p>
      <w:pPr>
        <w:pStyle w:val="Heading1"/>
      </w:pPr>
      <w:r>
        <w:t xml:space="preserve">S1.4 Geographic Distance Verification (Mantel Tests)</w:t>
      </w:r>
    </w:p>
    <w:bookmarkStart w:id="52" w:name="sec-S1-4-rationale"/>
    <w:p>
      <w:pPr>
        <w:pStyle w:val="Heading2"/>
      </w:pPr>
      <w:r>
        <w:t xml:space="preserve">S1.4.1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1"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4: Comparison of Mantel test results (Mantel R and p-value) evaluating sign assemblage dissimilarity vs. spatial distance using flat coordinate Euclidean distance vs. true Geodesic distance (in kilometers).</w:t>
            </w:r>
          </w:p>
          <w:bookmarkEnd w:id="51"/>
        </w:tc>
      </w:tr>
    </w:tbl>
    <w:bookmarkEnd w:id="52"/>
    <w:bookmarkStart w:id="53" w:name="sec-S1-4-interpretation"/>
    <w:p>
      <w:pPr>
        <w:pStyle w:val="Heading2"/>
      </w:pPr>
      <w:r>
        <w:t xml:space="preserve">S1.4.2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53"/>
    <w:bookmarkStart w:id="61" w:name="sec-s4-3"/>
    <w:p>
      <w:pPr>
        <w:pStyle w:val="Heading2"/>
      </w:pPr>
      <w:r>
        <w:t xml:space="preserve">S1.4.3 Mantel Correlogram</w:t>
      </w:r>
    </w:p>
    <w:bookmarkStart w:id="54" w:name="rationale-2"/>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2"/>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2"/>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54"/>
    <w:bookmarkStart w:id="5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58" w:name="fig-mantel-correlogram"/>
          <w:p>
            <w:pPr>
              <w:pStyle w:val="Compact"/>
              <w:jc w:val="center"/>
            </w:pPr>
            <w:r>
              <w:drawing>
                <wp:inline>
                  <wp:extent cx="5943600" cy="3714750"/>
                  <wp:effectExtent b="0" l="0" r="0" t="0"/>
                  <wp:docPr descr="" title="" id="56" name="Picture"/>
                  <a:graphic>
                    <a:graphicData uri="http://schemas.openxmlformats.org/drawingml/2006/picture">
                      <pic:pic>
                        <pic:nvPicPr>
                          <pic:cNvPr descr="S1-supplement-sensitivity_files/figure-docx/fig-mantel-correlogram-1.png" id="57" name="Picture"/>
                          <pic:cNvPicPr>
                            <a:picLocks noChangeArrowheads="1" noChangeAspect="1"/>
                          </pic:cNvPicPr>
                        </pic:nvPicPr>
                        <pic:blipFill>
                          <a:blip r:embed="rId5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58"/>
        </w:tc>
      </w:tr>
    </w:tbl>
    <w:bookmarkEnd w:id="59"/>
    <w:bookmarkStart w:id="60"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S1.8.1</w:t>
      </w:r>
      <w:r>
        <w:t xml:space="preserve">.</w:t>
      </w:r>
    </w:p>
    <w:bookmarkEnd w:id="60"/>
    <w:bookmarkEnd w:id="61"/>
    <w:bookmarkEnd w:id="62"/>
    <w:bookmarkStart w:id="86" w:name="sec-s5"/>
    <w:p>
      <w:pPr>
        <w:pStyle w:val="Heading1"/>
      </w:pPr>
      <w:r>
        <w:t xml:space="preserve">S1.5 Periodisation Scheme Sensitivity</w:t>
      </w:r>
    </w:p>
    <w:bookmarkStart w:id="65" w:name="sec-s5-1"/>
    <w:p>
      <w:pPr>
        <w:pStyle w:val="Heading2"/>
      </w:pPr>
      <w:r>
        <w:t xml:space="preserve">S1.5.1 Rationale</w:t>
      </w:r>
    </w:p>
    <w:p>
      <w:pPr>
        <w:pStyle w:val="FirstParagraph"/>
      </w:pPr>
      <w:r>
        <w:t xml:space="preserve">The main analysis adopts the two-phase Aur-P1/Aur-P2 framework of</w:t>
      </w:r>
      <w:r>
        <w:t xml:space="preserve"> </w:t>
      </w:r>
      <w:r>
        <w:t xml:space="preserve">[2]</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[3]</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6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5: Reference: network statistics under the two-phase periodisation used in the main text (threshold = 0.2). Aur-P1 = Proto + Early; Aur-P2 = Evolved.</w:t>
            </w:r>
          </w:p>
          <w:bookmarkEnd w:id="6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6: Network statistics for the technology-assigned components of the two-phase baseline (Proto-Aurignacian, Early Aurignacian, Evolved Aurignacian) at threshold = 0.2. Aur-P1 = Proto + Early; Aur-P2 = Evolved.</w:t>
            </w:r>
          </w:p>
          <w:bookmarkEnd w:id="64"/>
        </w:tc>
      </w:tr>
    </w:tbl>
    <w:bookmarkEnd w:id="65"/>
    <w:bookmarkStart w:id="68" w:name="sec-s5-2"/>
    <w:p>
      <w:pPr>
        <w:pStyle w:val="Heading2"/>
      </w:pPr>
      <w:r>
        <w:t xml:space="preserve">S1.5.2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6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7: Network statistics under the four-phase periodisation (Proto, Early, Evolved, Late Aurignacian) at threshold = 0.2. The Evolved/Late split of Aur-P2 follows the four-phase Aurignacian taxonomy of</w:t>
            </w:r>
            <w:r>
              <w:t xml:space="preserve"> </w:t>
            </w:r>
            <w:r>
              <w:t xml:space="preserve">[3]</w:t>
            </w:r>
            <w:r>
              <w:t xml:space="preserve">, with the boundary at 35 ka BP calibrated.</w:t>
            </w:r>
          </w:p>
          <w:bookmarkEnd w:id="66"/>
        </w:tc>
      </w:tr>
    </w:tbl>
    <w:bookmarkStart w:id="67" w:name="four-phase-interpretation"/>
    <w:p>
      <w:pPr>
        <w:pStyle w:val="Heading3"/>
      </w:pPr>
      <w:r>
        <w:t xml:space="preserve">Four-phase interpretation</w:t>
      </w:r>
    </w:p>
    <w:p>
      <w:pPr>
        <w:pStyle w:val="FirstParagraph"/>
      </w:pPr>
      <w:r>
        <w:t xml:space="preserve">The four-phase Aurignacian taxonomy of</w:t>
      </w:r>
      <w:r>
        <w:t xml:space="preserve"> </w:t>
      </w:r>
      <w:r>
        <w:t xml:space="preserve">[3]</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67"/>
    <w:bookmarkEnd w:id="68"/>
    <w:bookmarkStart w:id="70" w:name="sec-s5-3"/>
    <w:p>
      <w:pPr>
        <w:pStyle w:val="Heading2"/>
      </w:pPr>
      <w:r>
        <w:t xml:space="preserve">S1.5.3 Date-Variant Calibration</w:t>
      </w:r>
    </w:p>
    <w:tbl>
      <w:tblPr>
        <w:tblStyle w:val="Table"/>
        <w:tblW w:type="pct" w:w="5000"/>
        <w:tblLook w:firstRow="0" w:lastRow="0" w:firstColumn="0" w:lastColumn="0" w:noHBand="0" w:noVBand="0" w:val="0000"/>
        <w:jc w:val="start"/>
        <w:tblLayout w:type="fixed"/>
      </w:tblPr>
      <w:tblGrid>
        <w:gridCol w:w="7920"/>
      </w:tblGrid>
      <w:tr>
        <w:tc>
          <w:tcPr/>
          <w:bookmarkStart w:id="69"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8: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69"/>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70"/>
    <w:bookmarkStart w:id="77" w:name="sec-s5-4"/>
    <w:p>
      <w:pPr>
        <w:pStyle w:val="Heading2"/>
      </w:pPr>
      <w:r>
        <w:t xml:space="preserve">S1.5.4 Phase-Boundary Sensitivity</w:t>
      </w:r>
    </w:p>
    <w:bookmarkStart w:id="73"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1"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9: Number of objects and sites within ±500 and ±1000 calibrated years of the single periodisation boundary at 37799 BP separating Aur-P1 from Aur-P2.</w:t>
            </w:r>
          </w:p>
          <w:bookmarkEnd w:id="7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2"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10: Network statistics at the baseline threshold of 0.2 under shifts of the single Aur-P1/Aur-P2 boundary. Positive shifts move the boundary later (older objects reassigned to Aur-P2); negative shifts move it earlier (younger Aur-P2 objects reassigned to Aur-P1).</w:t>
            </w:r>
          </w:p>
          <w:bookmarkEnd w:id="72"/>
        </w:tc>
      </w:tr>
    </w:tbl>
    <w:bookmarkEnd w:id="73"/>
    <w:bookmarkStart w:id="74"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4"/>
    <w:bookmarkStart w:id="75"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5"/>
    <w:bookmarkStart w:id="76"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6"/>
    <w:bookmarkEnd w:id="77"/>
    <w:bookmarkStart w:id="85" w:name="sec-s5-5"/>
    <w:p>
      <w:pPr>
        <w:pStyle w:val="Heading2"/>
      </w:pPr>
      <w:r>
        <w:t xml:space="preserve">S1.5.5 Technological Versus Date-Based Assignment</w:t>
      </w:r>
    </w:p>
    <w:bookmarkStart w:id="78" w:name="rationale-4"/>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[4,5]</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[6]</w:t>
      </w:r>
      <w:r>
        <w:t xml:space="preserve"> </w:t>
      </w:r>
      <w:r>
        <w:t xml:space="preserve">classify this as Early Aurignacian (Aur-P1) based on carinated scrapers and wide Aurignacian blades. No split-base bone points (Proto-Aurignacian diagnostic) were found</w:t>
      </w:r>
      <w:r>
        <w:t xml:space="preserve"> </w:t>
      </w:r>
      <w:r>
        <w:t xml:space="preserve">[6,7]</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[8]</w:t>
      </w:r>
      <w:r>
        <w:t xml:space="preserve">. Direct dates of ~31 ka ¹⁴C BP (~35–36 cal BP) are too young for Proto-Aurignacian</w:t>
      </w:r>
      <w:r>
        <w:t xml:space="preserve"> </w:t>
      </w:r>
      <w:r>
        <w:t xml:space="preserve">[9]</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[10]</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78"/>
    <w:bookmarkStart w:id="80" w:name="results"/>
    <w:p>
      <w:pPr>
        <w:pStyle w:val="Heading3"/>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79"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11: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79"/>
        </w:tc>
      </w:tr>
    </w:tbl>
    <w:bookmarkEnd w:id="80"/>
    <w:bookmarkStart w:id="81"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[9]</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81"/>
    <w:bookmarkStart w:id="83" w:name="phase-ordering-robustness"/>
    <w:p>
      <w:pPr>
        <w:pStyle w:val="Heading3"/>
      </w:pPr>
      <w:r>
        <w:t xml:space="preserve">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2"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12: Mean degree by phase under each reassignment condition. The Aur-P1 &gt; Aur-P2 ordering is preserved under every condition.</w:t>
            </w:r>
          </w:p>
          <w:bookmarkEnd w:id="82"/>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83"/>
    <w:bookmarkStart w:id="84" w:name="interpretation-1"/>
    <w:p>
      <w:pPr>
        <w:pStyle w:val="Heading3"/>
      </w:pPr>
      <w:r>
        <w:t xml:space="preserve">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S1.7.3</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w:t>
      </w:r>
      <w:r>
        <w:t xml:space="preserve"> </w:t>
      </w:r>
      <w:r>
        <w:t xml:space="preserve">Section S1.12.6</w:t>
      </w:r>
      <w:r>
        <w:t xml:space="preserve"> </w:t>
      </w:r>
      <w:r>
        <w:t xml:space="preserve">showing that Aur-P1’s network does not depend on a single site. Finally, the within-phase two-group structure (RQ1) , the restricted/broad dichotomy recovered by seriation, Louvain community detection, and bootstrap consensus (</w:t>
      </w:r>
      <w:r>
        <w:t xml:space="preserve">Section S1.6</w:t>
      </w:r>
      <w:r>
        <w:t xml:space="preserve">,</w:t>
      </w:r>
      <w:r>
        <w:t xml:space="preserve"> </w:t>
      </w:r>
      <w:r>
        <w:t xml:space="preserve">Section S1.9</w:t>
      </w:r>
      <w:r>
        <w:t xml:space="preserve">) , is defined within each phase’s membership and is unaffected by the between-phase assignment criterion tested here. The stochastic block model (</w:t>
      </w:r>
      <w:r>
        <w:t xml:space="preserve">Section S1.9.3</w:t>
      </w:r>
      <w:r>
        <w:t xml:space="preserve">) does not recover this dichotomy (single block selected under all three emission models), consistent with the small size and sparsity of the sign-sharing networks falling below the detectability limit for block structure.</w:t>
      </w:r>
    </w:p>
    <w:bookmarkEnd w:id="84"/>
    <w:bookmarkEnd w:id="85"/>
    <w:bookmarkEnd w:id="86"/>
    <w:bookmarkStart w:id="111" w:name="sec-s6"/>
    <w:p>
      <w:pPr>
        <w:pStyle w:val="Heading1"/>
      </w:pPr>
      <w:r>
        <w:t xml:space="preserve">S1.6 Automated Group Recovery as a Circularity Check</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w:t>
      </w:r>
    </w:p>
    <w:bookmarkStart w:id="90" w:name="sec-s6-1"/>
    <w:p>
      <w:pPr>
        <w:pStyle w:val="Heading2"/>
      </w:pPr>
      <w:r>
        <w:t xml:space="preserve">S1.6.1 Louvain Community Partitioning</w:t>
      </w:r>
    </w:p>
    <w:bookmarkStart w:id="89" w:name="rationale-5"/>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[11]</w:t>
      </w:r>
      <w:r>
        <w:t xml:space="preserve"> </w:t>
      </w:r>
      <w:r>
        <w:t xml:space="preserve">identifies clusters of sites whose sign repertoires are more similar to each other than to sites in other clusters, optimising Newman–Girvan modularity</w:t>
      </w:r>
      <w:r>
        <w:t xml:space="preserve"> </w:t>
      </w:r>
      <w:r>
        <w:t xml:space="preserve">[12]</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4"/>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4"/>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87"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13: Louvain community memberships for each site, by phase and threshold. Sites with no community assignment (no edges at that threshold) are assigned to a singleton community. Groups are numbered by Louvain membership.</w:t>
            </w:r>
          </w:p>
          <w:bookmarkEnd w:id="8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8"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14: Adjusted Rand Index (ARI) between Louvain-derived communities and the manually assigned restricted/broad groups, by phase and threshold. ARI = 1.0 indicates identical partitions; ARI ≈ 0 indicates agreement no better than chance.</w:t>
            </w:r>
          </w:p>
          <w:bookmarkEnd w:id="88"/>
        </w:tc>
      </w:tr>
    </w:tbl>
    <w:bookmarkEnd w:id="89"/>
    <w:bookmarkEnd w:id="90"/>
    <w:bookmarkStart w:id="93" w:name="sec-s6-2"/>
    <w:p>
      <w:pPr>
        <w:pStyle w:val="Heading2"/>
      </w:pPr>
      <w:r>
        <w:t xml:space="preserve">S1.6.2 Infomap Community Partitioning</w:t>
      </w:r>
    </w:p>
    <w:bookmarkStart w:id="92" w:name="rationale-6"/>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1"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15: Adjusted Rand Index (ARI) between Infomap-derived communities and Louvain-derived communities, by phase and threshold. ARI = 1.0 indicates identical partitions; ARI ≈ 0 indicates agreement no better than chance.</w:t>
            </w:r>
          </w:p>
          <w:bookmarkEnd w:id="91"/>
        </w:tc>
      </w:tr>
    </w:tbl>
    <w:bookmarkEnd w:id="92"/>
    <w:bookmarkEnd w:id="93"/>
    <w:bookmarkStart w:id="96" w:name="sec-s6-3"/>
    <w:p>
      <w:pPr>
        <w:pStyle w:val="Heading2"/>
      </w:pPr>
      <w:r>
        <w:t xml:space="preserve">S1.6.3 Leiden Community Partitioning</w:t>
      </w:r>
    </w:p>
    <w:bookmarkStart w:id="95" w:name="rationale-7"/>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4"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16: Adjusted Rand Index (ARI) between Leiden-derived communities and Louvain-derived communities, by phase and threshold. ARI = 1.0 indicates identical partitions; ARI ≈ 0 indicates agreement no better than chance.</w:t>
            </w:r>
          </w:p>
          <w:bookmarkEnd w:id="94"/>
        </w:tc>
      </w:tr>
    </w:tbl>
    <w:bookmarkEnd w:id="95"/>
    <w:bookmarkEnd w:id="96"/>
    <w:bookmarkStart w:id="99" w:name="sec-s6-4"/>
    <w:p>
      <w:pPr>
        <w:pStyle w:val="Heading2"/>
      </w:pPr>
      <w:r>
        <w:t xml:space="preserve">S1.6.4 Walktrap Community Partitioning</w:t>
      </w:r>
    </w:p>
    <w:bookmarkStart w:id="98" w:name="rationale-8"/>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7"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17: Adjusted Rand Index (ARI) between Walktrap-derived communities and Louvain-derived communities, by phase and threshold. ARI = 1.0 indicates identical partitions; ARI ≈ 0 indicates agreement no better than chance.</w:t>
            </w:r>
          </w:p>
          <w:bookmarkEnd w:id="97"/>
        </w:tc>
      </w:tr>
    </w:tbl>
    <w:bookmarkEnd w:id="98"/>
    <w:bookmarkEnd w:id="99"/>
    <w:bookmarkStart w:id="102" w:name="sec-s6-5"/>
    <w:p>
      <w:pPr>
        <w:pStyle w:val="Heading2"/>
      </w:pPr>
      <w:r>
        <w:t xml:space="preserve">S1.6.5 PerMANOVA Comparison</w:t>
      </w:r>
    </w:p>
    <w:bookmarkStart w:id="101" w:name="rationale-9"/>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00"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18: PerMANOVA comparison: manual (restricted/broad) grouping versus algorithmically derived groupings. R² and pseudo-F for each phase, threshold, and community detection algorithm.</w:t>
            </w:r>
          </w:p>
          <w:bookmarkEnd w:id="100"/>
        </w:tc>
      </w:tr>
    </w:tbl>
    <w:bookmarkEnd w:id="101"/>
    <w:bookmarkEnd w:id="102"/>
    <w:bookmarkStart w:id="105" w:name="sec-s6-6"/>
    <w:p>
      <w:pPr>
        <w:pStyle w:val="Heading2"/>
      </w:pPr>
      <w:r>
        <w:t xml:space="preserve">S1.6.6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13</w:t>
        </w:r>
      </w:hyperlink>
      <w:r>
        <w:t xml:space="preserve">,</w:t>
      </w:r>
      <w:r>
        <w:t xml:space="preserve"> </w:t>
      </w:r>
      <w:hyperlink w:anchor="tbl-ari-louvain">
        <w:r>
          <w:rPr>
            <w:rStyle w:val="Hyperlink"/>
          </w:rPr>
          <w:t xml:space="preserve">Table S 14</w:t>
        </w:r>
      </w:hyperlink>
      <w:r>
        <w:t xml:space="preserve">,</w:t>
      </w:r>
      <w:r>
        <w:t xml:space="preserve"> </w:t>
      </w:r>
      <w:hyperlink w:anchor="tbl-ari-infomap">
        <w:r>
          <w:rPr>
            <w:rStyle w:val="Hyperlink"/>
          </w:rPr>
          <w:t xml:space="preserve">Table S 15</w:t>
        </w:r>
      </w:hyperlink>
      <w:r>
        <w:t xml:space="preserve">,</w:t>
      </w:r>
      <w:r>
        <w:t xml:space="preserve"> </w:t>
      </w:r>
      <w:hyperlink w:anchor="tbl-ari-leiden">
        <w:r>
          <w:rPr>
            <w:rStyle w:val="Hyperlink"/>
          </w:rPr>
          <w:t xml:space="preserve">Table S 16</w:t>
        </w:r>
      </w:hyperlink>
      <w:r>
        <w:t xml:space="preserve">,</w:t>
      </w:r>
      <w:r>
        <w:t xml:space="preserve"> </w:t>
      </w:r>
      <w:hyperlink w:anchor="tbl-ari-walktrap">
        <w:r>
          <w:rPr>
            <w:rStyle w:val="Hyperlink"/>
          </w:rPr>
          <w:t xml:space="preserve">Table S 17</w:t>
        </w:r>
      </w:hyperlink>
      <w:r>
        <w:t xml:space="preserve">,</w:t>
      </w:r>
      <w:r>
        <w:t xml:space="preserve"> </w:t>
      </w:r>
      <w:hyperlink w:anchor="tbl-permanova-comparison">
        <w:r>
          <w:rPr>
            <w:rStyle w:val="Hyperlink"/>
          </w:rPr>
          <w:t xml:space="preserve">Table S 18</w:t>
        </w:r>
      </w:hyperlink>
      <w:r>
        <w:t xml:space="preserve">). Counts below are read from those tables at render time, not hardcoded, so the text cannot drift from the computation.</w:t>
      </w:r>
    </w:p>
    <w:bookmarkStart w:id="103"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103"/>
    <w:bookmarkStart w:id="104"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8"/>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8"/>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8"/>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8"/>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104"/>
    <w:bookmarkEnd w:id="105"/>
    <w:bookmarkStart w:id="110" w:name="sec-s6-7"/>
    <w:p>
      <w:pPr>
        <w:pStyle w:val="Heading2"/>
      </w:pPr>
      <w:r>
        <w:t xml:space="preserve">S1.6.7 Interpretation</w:t>
      </w:r>
    </w:p>
    <w:bookmarkStart w:id="106"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13</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106"/>
    <w:bookmarkStart w:id="107"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S 14</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107"/>
    <w:bookmarkStart w:id="108"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S 18</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108"/>
    <w:bookmarkStart w:id="109"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09"/>
    <w:bookmarkEnd w:id="110"/>
    <w:bookmarkEnd w:id="111"/>
    <w:bookmarkStart w:id="122" w:name="sec-s7"/>
    <w:p>
      <w:pPr>
        <w:pStyle w:val="Heading1"/>
      </w:pPr>
      <w:r>
        <w:t xml:space="preserve">S1.7 Network Calibration</w:t>
      </w:r>
    </w:p>
    <w:p>
      <w:pPr>
        <w:pStyle w:val="FirstParagraph"/>
      </w:pPr>
      <w:r>
        <w:t xml:space="preserve">Calibration checks ask whether modularity, degree, and significance survive nulls, sampling noise, multiple testing, and network size. They do not test group existence itself.</w:t>
      </w:r>
    </w:p>
    <w:bookmarkStart w:id="113" w:name="sec-s7-1"/>
    <w:p>
      <w:pPr>
        <w:pStyle w:val="Heading2"/>
      </w:pPr>
      <w:r>
        <w:t xml:space="preserve">S1.7.1 Null-Benchmarked Modularity</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11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19: Observed modularity and null-model p-values for each Aurignacian phase at three Jaccard similarity thresholds.</w:t>
            </w:r>
          </w:p>
          <w:bookmarkEnd w:id="11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13"/>
    <w:bookmarkStart w:id="115" w:name="sec-s7-2"/>
    <w:p>
      <w:pPr>
        <w:pStyle w:val="Heading2"/>
      </w:pPr>
      <w:r>
        <w:t xml:space="preserve">S1.7.2 Richness and Degree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11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20: Spearman correlations between node degree and site sign richness (number of distinct sign types) within each Aurignacian phase, at the baseline threshold of 0.2.</w:t>
            </w:r>
          </w:p>
          <w:bookmarkEnd w:id="11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15"/>
    <w:bookmarkStart w:id="117" w:name="sec-s7-3"/>
    <w:p>
      <w:pPr>
        <w:pStyle w:val="Heading2"/>
      </w:pPr>
      <w:r>
        <w:t xml:space="preserve">S1.7.3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[13,14]</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116"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S 21: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116"/>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w:t>
      </w:r>
      <w:r>
        <w:t xml:space="preserve"> </w:t>
      </w:r>
      <w:r>
        <w:t xml:space="preserve">Section S1.2.5</w:t>
      </w:r>
      <w:r>
        <w:t xml:space="preserve">).</w:t>
      </w:r>
    </w:p>
    <w:bookmarkEnd w:id="117"/>
    <w:bookmarkStart w:id="119" w:name="sec-s7-4"/>
    <w:p>
      <w:pPr>
        <w:pStyle w:val="Heading2"/>
      </w:pPr>
      <w:r>
        <w:t xml:space="preserve">S1.7.4 Multiple-Testing Correction</w:t>
      </w:r>
    </w:p>
    <w:p>
      <w:pPr>
        <w:pStyle w:val="FirstParagraph"/>
      </w:pPr>
      <w:r>
        <w:t xml:space="preserve">The Mantel tests reported in</w:t>
      </w:r>
      <w:r>
        <w:t xml:space="preserve"> </w:t>
      </w:r>
      <w:hyperlink w:anchor="tbl-geodesic-mantel">
        <w:r>
          <w:rPr>
            <w:rStyle w:val="Hyperlink"/>
          </w:rPr>
          <w:t xml:space="preserve">Table S 4</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118"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22: Mantel test p-values before and after Benjamini–Hochberg correction for multiple testing across 2 phases × 2 distance measures (4 tests total). Results with adjusted p &lt; 0.05 are highlighted.</w:t>
            </w:r>
          </w:p>
          <w:bookmarkEnd w:id="118"/>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19"/>
    <w:bookmarkStart w:id="121" w:name="sec-s7-5"/>
    <w:p>
      <w:pPr>
        <w:pStyle w:val="Heading2"/>
      </w:pPr>
      <w:r>
        <w:t xml:space="preserve">S1.7.5 Size-Normalised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20"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23: Network metrics normalised by size-matched Erdos-Renyi expectation. Ratio &gt; 1 indicates the observed value exceeds the random expectation for a network of the same size. ER mean and SD are based on 100 random graphs per phase.</w:t>
            </w:r>
          </w:p>
          <w:bookmarkEnd w:id="120"/>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21"/>
    <w:bookmarkEnd w:id="122"/>
    <w:bookmarkStart w:id="138" w:name="sec-s8"/>
    <w:p>
      <w:pPr>
        <w:pStyle w:val="Heading1"/>
      </w:pPr>
      <w:r>
        <w:t xml:space="preserve">S1.8 Space, Time, and Regional Drivers</w:t>
      </w:r>
    </w:p>
    <w:p>
      <w:pPr>
        <w:pStyle w:val="FirstParagraph"/>
      </w:pPr>
      <w:r>
        <w:t xml:space="preserve">Geography, time, and regions test alternative drivers of sign dissimilarity. They do not test threshold or group existence.</w:t>
      </w:r>
    </w:p>
    <w:bookmarkStart w:id="123" w:name="sec-s8-1"/>
    <w:p>
      <w:pPr>
        <w:pStyle w:val="Heading2"/>
      </w:pPr>
      <w:r>
        <w:t xml:space="preserve">S1.8.1 Multiple Regression on Distance Matrices</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23"/>
    <w:bookmarkStart w:id="128" w:name="sec-s8-2"/>
    <w:p>
      <w:pPr>
        <w:pStyle w:val="Heading2"/>
      </w:pPr>
      <w:r>
        <w:t xml:space="preserve">S1.8.2 Time-Lag Check</w:t>
      </w:r>
    </w:p>
    <w:bookmarkStart w:id="124" w:name="rationale-10"/>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10"/>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10"/>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10"/>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24"/>
    <w:bookmarkStart w:id="126"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25"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24: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25"/>
        </w:tc>
      </w:tr>
    </w:tbl>
    <w:bookmarkEnd w:id="126"/>
    <w:bookmarkStart w:id="127" w:name="interpretation-2"/>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24</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S1.8.1</w:t>
      </w:r>
      <w:r>
        <w:t xml:space="preserve"> </w:t>
      </w:r>
      <w:r>
        <w:t xml:space="preserve">multiple regression, both of which conclude that temporal distance explains little of the variation in sign composition and cannot establish whether substantial change did or did not occur.</w:t>
      </w:r>
    </w:p>
    <w:bookmarkEnd w:id="127"/>
    <w:bookmarkEnd w:id="128"/>
    <w:bookmarkStart w:id="137" w:name="sec-s8-3"/>
    <w:p>
      <w:pPr>
        <w:pStyle w:val="Heading2"/>
      </w:pPr>
      <w:r>
        <w:t xml:space="preserve">S1.8.3 Objective Regional Grouping</w:t>
      </w:r>
    </w:p>
    <w:bookmarkStart w:id="135" w:name="rationale-11"/>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29"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25: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2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0"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26: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30"/>
        </w:tc>
      </w:tr>
    </w:tbl>
    <w:tbl>
      <w:tblPr>
        <w:tblStyle w:val="Table"/>
        <w:tblW w:type="pct" w:w="5000"/>
        <w:tblLook w:firstRow="0" w:lastRow="0" w:firstColumn="0" w:lastColumn="0" w:noHBand="0" w:noVBand="0" w:val="0000"/>
        <w:jc w:val="start"/>
        <w:tblLayout w:type="fixed"/>
      </w:tblPr>
      <w:tblGrid>
        <w:gridCol w:w="7920"/>
      </w:tblGrid>
      <w:tr>
        <w:tc>
          <w:tcPr/>
          <w:bookmarkStart w:id="134" w:name="fig-region-map"/>
          <w:p>
            <w:pPr>
              <w:pStyle w:val="Compact"/>
              <w:jc w:val="center"/>
            </w:pPr>
            <w:r>
              <w:drawing>
                <wp:inline>
                  <wp:extent cx="5943600" cy="4457699"/>
                  <wp:effectExtent b="0" l="0" r="0" t="0"/>
                  <wp:docPr descr="" title="" id="132" name="Picture"/>
                  <a:graphic>
                    <a:graphicData uri="http://schemas.openxmlformats.org/drawingml/2006/picture">
                      <pic:pic>
                        <pic:nvPicPr>
                          <pic:cNvPr descr="../figures/s513-region-map.png" id="133" name="Picture"/>
                          <pic:cNvPicPr>
                            <a:picLocks noChangeArrowheads="1" noChangeAspect="1"/>
                          </pic:cNvPicPr>
                        </pic:nvPicPr>
                        <pic:blipFill>
                          <a:blip r:embed="rId131"/>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Objective geographic regions discovered by PAM on geodesic distances (primary, k=2). Sites coloured by region; Jaccard sign data not used. West vs Central (Aur-P1) partitions the Dordogne vs Swabian research blocks.</w:t>
            </w:r>
          </w:p>
          <w:bookmarkEnd w:id="134"/>
        </w:tc>
      </w:tr>
    </w:tbl>
    <w:bookmarkEnd w:id="135"/>
    <w:bookmarkStart w:id="136" w:name="interpretation-3"/>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S1.12.3</w:t>
      </w:r>
      <w:r>
        <w:t xml:space="preserve">–</w:t>
      </w:r>
      <w:r>
        <w:t xml:space="preserve">Section S1.12.4</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S1.10.1</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36"/>
    <w:bookmarkEnd w:id="137"/>
    <w:bookmarkEnd w:id="138"/>
    <w:bookmarkStart w:id="287" w:name="sec-s9"/>
    <w:p>
      <w:pPr>
        <w:pStyle w:val="Heading1"/>
      </w:pPr>
      <w:r>
        <w:t xml:space="preserve">S1.9 Partition Stability and Generative Models</w:t>
      </w:r>
    </w:p>
    <w:bookmarkStart w:id="139"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[16]</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[17]</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[18]</w:t>
      </w:r>
      <w:r>
        <w:t xml:space="preserve">.</w:t>
      </w:r>
    </w:p>
    <w:bookmarkEnd w:id="139"/>
    <w:bookmarkStart w:id="148" w:name="sec-s9-2"/>
    <w:p>
      <w:pPr>
        <w:pStyle w:val="Heading2"/>
      </w:pPr>
      <w:r>
        <w:t xml:space="preserve">S1.9.2 Bootstrap Consensus Analysis</w:t>
      </w:r>
    </w:p>
    <w:bookmarkStart w:id="146" w:name="rationale-12"/>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40"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27: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4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1"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28: Per-site bootstrap consistency: proportion of 1000 resamples in which each site is assigned to its modal (most frequent) block. Consistency near 1 indicates robust assignment; values near 0.5 indicate sites whose group membership flips across resamples.</w:t>
            </w:r>
          </w:p>
          <w:bookmarkEnd w:id="141"/>
        </w:tc>
      </w:tr>
    </w:tbl>
    <w:tbl>
      <w:tblPr>
        <w:tblStyle w:val="Table"/>
        <w:tblW w:type="pct" w:w="5000"/>
        <w:tblLook w:firstRow="0" w:lastRow="0" w:firstColumn="0" w:lastColumn="0" w:noHBand="0" w:noVBand="0" w:val="0000"/>
        <w:jc w:val="start"/>
        <w:tblLayout w:type="fixed"/>
      </w:tblPr>
      <w:tblGrid>
        <w:gridCol w:w="7920"/>
      </w:tblGrid>
      <w:tr>
        <w:tc>
          <w:tcPr/>
          <w:bookmarkStart w:id="145" w:name="fig-bootstrap-consensus"/>
          <w:p>
            <w:pPr>
              <w:pStyle w:val="Compact"/>
              <w:jc w:val="center"/>
            </w:pPr>
            <w:r>
              <w:drawing>
                <wp:inline>
                  <wp:extent cx="5943600" cy="6604000"/>
                  <wp:effectExtent b="0" l="0" r="0" t="0"/>
                  <wp:docPr descr="" title="" id="143" name="Picture"/>
                  <a:graphic>
                    <a:graphicData uri="http://schemas.openxmlformats.org/drawingml/2006/picture">
                      <pic:pic>
                        <pic:nvPicPr>
                          <pic:cNvPr descr="../figures/bootstrap-consensus-plot.png" id="144" name="Picture"/>
                          <pic:cNvPicPr>
                            <a:picLocks noChangeArrowheads="1" noChangeAspect="1"/>
                          </pic:cNvPicPr>
                        </pic:nvPicPr>
                        <pic:blipFill>
                          <a:blip r:embed="rId142"/>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45"/>
        </w:tc>
      </w:tr>
    </w:tbl>
    <w:bookmarkEnd w:id="146"/>
    <w:bookmarkStart w:id="147" w:name="interpretation-4"/>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28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28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6</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S 28</w:t>
        </w:r>
      </w:hyperlink>
      <w:r>
        <w:t xml:space="preserve">.</w:t>
      </w:r>
    </w:p>
    <w:bookmarkEnd w:id="147"/>
    <w:bookmarkEnd w:id="148"/>
    <w:bookmarkStart w:id="282" w:name="sec-s9-3"/>
    <w:p>
      <w:pPr>
        <w:pStyle w:val="Heading2"/>
      </w:pPr>
      <w:r>
        <w:t xml:space="preserve">S1.9.3 Stochastic Block Models</w:t>
      </w:r>
    </w:p>
    <w:bookmarkStart w:id="280" w:name="rationale-13"/>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etup-sbm-compute-1.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etup-sbm-compute-2.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etup-sbm-compute-3.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etup-sbm-compute-4.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etup-sbm-compute-5.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etup-sbm-compute-6.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etup-sbm-compute-7.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etup-sbm-compute-8.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etup-sbm-compute-9.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etup-sbm-compute-10.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etup-sbm-compute-11.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etup-sbm-compute-12.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etup-sbm-compute-13.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etup-sbm-compute-14.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etup-sbm-compute-15.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etup-sbm-compute-16.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etup-sbm-compute-17.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1" name="Picture"/>
            <a:graphic>
              <a:graphicData uri="http://schemas.openxmlformats.org/drawingml/2006/picture">
                <pic:pic>
                  <pic:nvPicPr>
                    <pic:cNvPr descr="S1-supplement-sensitivity_files/figure-docx/setup-sbm-compute-18.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4" name="Picture"/>
            <a:graphic>
              <a:graphicData uri="http://schemas.openxmlformats.org/drawingml/2006/picture">
                <pic:pic>
                  <pic:nvPicPr>
                    <pic:cNvPr descr="S1-supplement-sensitivity_files/figure-docx/setup-sbm-compute-19.png" id="205" name="Picture"/>
                    <pic:cNvPicPr>
                      <a:picLocks noChangeArrowheads="1" noChangeAspect="1"/>
                    </pic:cNvPicPr>
                  </pic:nvPicPr>
                  <pic:blipFill>
                    <a:blip r:embed="rId20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7" name="Picture"/>
            <a:graphic>
              <a:graphicData uri="http://schemas.openxmlformats.org/drawingml/2006/picture">
                <pic:pic>
                  <pic:nvPicPr>
                    <pic:cNvPr descr="S1-supplement-sensitivity_files/figure-docx/setup-sbm-compute-20.png" id="208" name="Picture"/>
                    <pic:cNvPicPr>
                      <a:picLocks noChangeArrowheads="1" noChangeAspect="1"/>
                    </pic:cNvPicPr>
                  </pic:nvPicPr>
                  <pic:blipFill>
                    <a:blip r:embed="rId2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0" name="Picture"/>
            <a:graphic>
              <a:graphicData uri="http://schemas.openxmlformats.org/drawingml/2006/picture">
                <pic:pic>
                  <pic:nvPicPr>
                    <pic:cNvPr descr="S1-supplement-sensitivity_files/figure-docx/setup-sbm-compute-21.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3" name="Picture"/>
            <a:graphic>
              <a:graphicData uri="http://schemas.openxmlformats.org/drawingml/2006/picture">
                <pic:pic>
                  <pic:nvPicPr>
                    <pic:cNvPr descr="S1-supplement-sensitivity_files/figure-docx/setup-sbm-compute-22.png" id="214" name="Picture"/>
                    <pic:cNvPicPr>
                      <a:picLocks noChangeArrowheads="1" noChangeAspect="1"/>
                    </pic:cNvPicPr>
                  </pic:nvPicPr>
                  <pic:blipFill>
                    <a:blip r:embed="rId2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6" name="Picture"/>
            <a:graphic>
              <a:graphicData uri="http://schemas.openxmlformats.org/drawingml/2006/picture">
                <pic:pic>
                  <pic:nvPicPr>
                    <pic:cNvPr descr="S1-supplement-sensitivity_files/figure-docx/setup-sbm-compute-23.png" id="217" name="Picture"/>
                    <pic:cNvPicPr>
                      <a:picLocks noChangeArrowheads="1" noChangeAspect="1"/>
                    </pic:cNvPicPr>
                  </pic:nvPicPr>
                  <pic:blipFill>
                    <a:blip r:embed="rId2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9" name="Picture"/>
            <a:graphic>
              <a:graphicData uri="http://schemas.openxmlformats.org/drawingml/2006/picture">
                <pic:pic>
                  <pic:nvPicPr>
                    <pic:cNvPr descr="S1-supplement-sensitivity_files/figure-docx/setup-sbm-compute-24.png" id="220" name="Picture"/>
                    <pic:cNvPicPr>
                      <a:picLocks noChangeArrowheads="1" noChangeAspect="1"/>
                    </pic:cNvPicPr>
                  </pic:nvPicPr>
                  <pic:blipFill>
                    <a:blip r:embed="rId21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2" name="Picture"/>
            <a:graphic>
              <a:graphicData uri="http://schemas.openxmlformats.org/drawingml/2006/picture">
                <pic:pic>
                  <pic:nvPicPr>
                    <pic:cNvPr descr="S1-supplement-sensitivity_files/figure-docx/setup-sbm-compute-25.png" id="223" name="Picture"/>
                    <pic:cNvPicPr>
                      <a:picLocks noChangeArrowheads="1" noChangeAspect="1"/>
                    </pic:cNvPicPr>
                  </pic:nvPicPr>
                  <pic:blipFill>
                    <a:blip r:embed="rId2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5" name="Picture"/>
            <a:graphic>
              <a:graphicData uri="http://schemas.openxmlformats.org/drawingml/2006/picture">
                <pic:pic>
                  <pic:nvPicPr>
                    <pic:cNvPr descr="S1-supplement-sensitivity_files/figure-docx/setup-sbm-compute-26.png" id="226" name="Picture"/>
                    <pic:cNvPicPr>
                      <a:picLocks noChangeArrowheads="1" noChangeAspect="1"/>
                    </pic:cNvPicPr>
                  </pic:nvPicPr>
                  <pic:blipFill>
                    <a:blip r:embed="rId2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8" name="Picture"/>
            <a:graphic>
              <a:graphicData uri="http://schemas.openxmlformats.org/drawingml/2006/picture">
                <pic:pic>
                  <pic:nvPicPr>
                    <pic:cNvPr descr="S1-supplement-sensitivity_files/figure-docx/setup-sbm-compute-27.png"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1" name="Picture"/>
            <a:graphic>
              <a:graphicData uri="http://schemas.openxmlformats.org/drawingml/2006/picture">
                <pic:pic>
                  <pic:nvPicPr>
                    <pic:cNvPr descr="S1-supplement-sensitivity_files/figure-docx/setup-sbm-compute-28.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4" name="Picture"/>
            <a:graphic>
              <a:graphicData uri="http://schemas.openxmlformats.org/drawingml/2006/picture">
                <pic:pic>
                  <pic:nvPicPr>
                    <pic:cNvPr descr="S1-supplement-sensitivity_files/figure-docx/setup-sbm-compute-29.png" id="235" name="Picture"/>
                    <pic:cNvPicPr>
                      <a:picLocks noChangeArrowheads="1" noChangeAspect="1"/>
                    </pic:cNvPicPr>
                  </pic:nvPicPr>
                  <pic:blipFill>
                    <a:blip r:embed="rId2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7" name="Picture"/>
            <a:graphic>
              <a:graphicData uri="http://schemas.openxmlformats.org/drawingml/2006/picture">
                <pic:pic>
                  <pic:nvPicPr>
                    <pic:cNvPr descr="S1-supplement-sensitivity_files/figure-docx/setup-sbm-compute-30.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0" name="Picture"/>
            <a:graphic>
              <a:graphicData uri="http://schemas.openxmlformats.org/drawingml/2006/picture">
                <pic:pic>
                  <pic:nvPicPr>
                    <pic:cNvPr descr="S1-supplement-sensitivity_files/figure-docx/setup-sbm-compute-31.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3" name="Picture"/>
            <a:graphic>
              <a:graphicData uri="http://schemas.openxmlformats.org/drawingml/2006/picture">
                <pic:pic>
                  <pic:nvPicPr>
                    <pic:cNvPr descr="S1-supplement-sensitivity_files/figure-docx/setup-sbm-compute-32.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6" name="Picture"/>
            <a:graphic>
              <a:graphicData uri="http://schemas.openxmlformats.org/drawingml/2006/picture">
                <pic:pic>
                  <pic:nvPicPr>
                    <pic:cNvPr descr="S1-supplement-sensitivity_files/figure-docx/setup-sbm-compute-33.png" id="247" name="Picture"/>
                    <pic:cNvPicPr>
                      <a:picLocks noChangeArrowheads="1" noChangeAspect="1"/>
                    </pic:cNvPicPr>
                  </pic:nvPicPr>
                  <pic:blipFill>
                    <a:blip r:embed="rId2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9" name="Picture"/>
            <a:graphic>
              <a:graphicData uri="http://schemas.openxmlformats.org/drawingml/2006/picture">
                <pic:pic>
                  <pic:nvPicPr>
                    <pic:cNvPr descr="S1-supplement-sensitivity_files/figure-docx/setup-sbm-compute-34.png" id="250" name="Picture"/>
                    <pic:cNvPicPr>
                      <a:picLocks noChangeArrowheads="1" noChangeAspect="1"/>
                    </pic:cNvPicPr>
                  </pic:nvPicPr>
                  <pic:blipFill>
                    <a:blip r:embed="rId2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2" name="Picture"/>
            <a:graphic>
              <a:graphicData uri="http://schemas.openxmlformats.org/drawingml/2006/picture">
                <pic:pic>
                  <pic:nvPicPr>
                    <pic:cNvPr descr="S1-supplement-sensitivity_files/figure-docx/setup-sbm-compute-35.png" id="253" name="Picture"/>
                    <pic:cNvPicPr>
                      <a:picLocks noChangeArrowheads="1" noChangeAspect="1"/>
                    </pic:cNvPicPr>
                  </pic:nvPicPr>
                  <pic:blipFill>
                    <a:blip r:embed="rId2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5" name="Picture"/>
            <a:graphic>
              <a:graphicData uri="http://schemas.openxmlformats.org/drawingml/2006/picture">
                <pic:pic>
                  <pic:nvPicPr>
                    <pic:cNvPr descr="S1-supplement-sensitivity_files/figure-docx/setup-sbm-compute-36.png" id="256" name="Picture"/>
                    <pic:cNvPicPr>
                      <a:picLocks noChangeArrowheads="1" noChangeAspect="1"/>
                    </pic:cNvPicPr>
                  </pic:nvPicPr>
                  <pic:blipFill>
                    <a:blip r:embed="rId25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8" name="Picture"/>
            <a:graphic>
              <a:graphicData uri="http://schemas.openxmlformats.org/drawingml/2006/picture">
                <pic:pic>
                  <pic:nvPicPr>
                    <pic:cNvPr descr="S1-supplement-sensitivity_files/figure-docx/setup-sbm-compute-37.png" id="259" name="Picture"/>
                    <pic:cNvPicPr>
                      <a:picLocks noChangeArrowheads="1" noChangeAspect="1"/>
                    </pic:cNvPicPr>
                  </pic:nvPicPr>
                  <pic:blipFill>
                    <a:blip r:embed="rId2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1" name="Picture"/>
            <a:graphic>
              <a:graphicData uri="http://schemas.openxmlformats.org/drawingml/2006/picture">
                <pic:pic>
                  <pic:nvPicPr>
                    <pic:cNvPr descr="S1-supplement-sensitivity_files/figure-docx/setup-sbm-compute-38.png" id="262" name="Picture"/>
                    <pic:cNvPicPr>
                      <a:picLocks noChangeArrowheads="1" noChangeAspect="1"/>
                    </pic:cNvPicPr>
                  </pic:nvPicPr>
                  <pic:blipFill>
                    <a:blip r:embed="rId2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4" name="Picture"/>
            <a:graphic>
              <a:graphicData uri="http://schemas.openxmlformats.org/drawingml/2006/picture">
                <pic:pic>
                  <pic:nvPicPr>
                    <pic:cNvPr descr="S1-supplement-sensitivity_files/figure-docx/setup-sbm-compute-39.png" id="265" name="Picture"/>
                    <pic:cNvPicPr>
                      <a:picLocks noChangeArrowheads="1" noChangeAspect="1"/>
                    </pic:cNvPicPr>
                  </pic:nvPicPr>
                  <pic:blipFill>
                    <a:blip r:embed="rId26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7" name="Picture"/>
            <a:graphic>
              <a:graphicData uri="http://schemas.openxmlformats.org/drawingml/2006/picture">
                <pic:pic>
                  <pic:nvPicPr>
                    <pic:cNvPr descr="S1-supplement-sensitivity_files/figure-docx/setup-sbm-compute-40.png" id="268" name="Picture"/>
                    <pic:cNvPicPr>
                      <a:picLocks noChangeArrowheads="1" noChangeAspect="1"/>
                    </pic:cNvPicPr>
                  </pic:nvPicPr>
                  <pic:blipFill>
                    <a:blip r:embed="rId2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70" name="Picture"/>
            <a:graphic>
              <a:graphicData uri="http://schemas.openxmlformats.org/drawingml/2006/picture">
                <pic:pic>
                  <pic:nvPicPr>
                    <pic:cNvPr descr="S1-supplement-sensitivity_files/figure-docx/setup-sbm-compute-41.png" id="271" name="Picture"/>
                    <pic:cNvPicPr>
                      <a:picLocks noChangeArrowheads="1" noChangeAspect="1"/>
                    </pic:cNvPicPr>
                  </pic:nvPicPr>
                  <pic:blipFill>
                    <a:blip r:embed="rId2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73" name="Picture"/>
            <a:graphic>
              <a:graphicData uri="http://schemas.openxmlformats.org/drawingml/2006/picture">
                <pic:pic>
                  <pic:nvPicPr>
                    <pic:cNvPr descr="S1-supplement-sensitivity_files/figure-docx/setup-sbm-compute-42.png" id="274" name="Picture"/>
                    <pic:cNvPicPr>
                      <a:picLocks noChangeArrowheads="1" noChangeAspect="1"/>
                    </pic:cNvPicPr>
                  </pic:nvPicPr>
                  <pic:blipFill>
                    <a:blip r:embed="rId27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76" name="Picture"/>
            <a:graphic>
              <a:graphicData uri="http://schemas.openxmlformats.org/drawingml/2006/picture">
                <pic:pic>
                  <pic:nvPicPr>
                    <pic:cNvPr descr="S1-supplement-sensitivity_files/figure-docx/setup-sbm-compute-43.png" id="277" name="Picture"/>
                    <pic:cNvPicPr>
                      <a:picLocks noChangeArrowheads="1" noChangeAspect="1"/>
                    </pic:cNvPicPr>
                  </pic:nvPicPr>
                  <pic:blipFill>
                    <a:blip r:embed="rId275"/>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78"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29: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Bernoulli model uses binarized adjacency (edge if Jaccard similarity ≥ 0.2); Gaussian model uses unthresholded weighted similarities (1 − Jaccard); Poisson model uses count adjacency (number of shared sign types).</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30: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279"/>
        </w:tc>
      </w:tr>
    </w:tbl>
    <w:bookmarkEnd w:id="280"/>
    <w:bookmarkStart w:id="281" w:name="interpretation-5"/>
    <w:p>
      <w:pPr>
        <w:pStyle w:val="Heading3"/>
      </w:pPr>
      <w:r>
        <w:t xml:space="preserve">Interpretation</w:t>
      </w:r>
    </w:p>
    <w:p>
      <w:pPr>
        <w:pStyle w:val="FirstParagraph"/>
      </w:pPr>
      <w:r>
        <w:t xml:space="preserve">The ICL model-selection results (</w:t>
      </w:r>
      <w:hyperlink w:anchor="tbl-sbm-icl">
        <w:r>
          <w:rPr>
            <w:rStyle w:val="Hyperlink"/>
          </w:rPr>
          <w:t xml:space="preserve">Table S 29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 The Gaussian model shows a similar profile: best K = 4 (ICL = 73.54), with two-block ICL = 47.19 and three-block ICL = 59.76, gap = 3.40. The Poisson model produces a similar picture: best K = 3 (ICL = -263.31), with two-block ICL = -265.95 and three-block ICL = -263.31, gap = 2.64. Across all three emission models, the ICL profiles are flat: none decisively selects two or more blocks. The Poisson model’s ICL values are higher in absolute terms (because the count-data likelihood is a different quantity than the binary or Gaussian likelihood and is not directly comparable), but the</w:t>
      </w:r>
      <w:r>
        <w:t xml:space="preserve"> </w:t>
      </w:r>
      <w:r>
        <w:rPr>
          <w:iCs/>
          <w:i/>
        </w:rPr>
        <w:t xml:space="preserve">relative</w:t>
      </w:r>
      <w:r>
        <w:t xml:space="preserve"> </w:t>
      </w:r>
      <w:r>
        <w:t xml:space="preserve">ranking of K values is consistent: K = 1 is preferred under Poisson as under Bernoulli and Gaussian. No multi-block structure emerges under the Poisson formulation.</w:t>
      </w:r>
    </w:p>
    <w:p>
      <w:pPr>
        <w:pStyle w:val="BodyText"/>
      </w:pPr>
      <w:r>
        <w:t xml:space="preserve">In</w:t>
      </w:r>
      <w:r>
        <w:t xml:space="preserve"> </w:t>
      </w:r>
      <w:r>
        <w:rPr>
          <w:bCs/>
          <w:b/>
        </w:rPr>
        <w:t xml:space="preserve">Aur-P2</w:t>
      </w:r>
      <w:r>
        <w:t xml:space="preserve">, all three models similarly favour a single block. Bernoulli: one-block -26.69, two-block -30.23, gap 3.54. Gaussian: one-block -2.23, two-block -1.33, gap 0.90. Poisson: one-block -48.98, two-block -53.15, gap 4.17. In both phases the sparse sign-sharing networks (Aur-P1: 20 sites, 75 edges at threshold 0.2; Aur-P2: 9 sites, 19 edges) lack the information to decisively support any block structure beyond a single group under any emission model. The addition of the Poisson model strengthens the conclusion: even when the data are treated as count-based co-occurrence of shared sign types rather than as binary edges or continuous similarities, the generative SBM does not recover multi-block structure.</w:t>
      </w:r>
    </w:p>
    <w:p>
      <w:pPr>
        <w:pStyle w:val="BodyText"/>
      </w:pPr>
      <w:r>
        <w:t xml:space="preserve">The membership table (</w:t>
      </w:r>
      <w:hyperlink w:anchor="tbl-sbm-membership">
        <w:r>
          <w:rPr>
            <w:rStyle w:val="Hyperlink"/>
          </w:rPr>
          <w:t xml:space="preserve">Table S 30</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all three model families, every site is assigned to that sole block with posterior probability 1.0. The informative quantity is therefore not the partition (which is trivial) but the fact that the generative model finds no evidence for multiple blocks in either phase under any emission model—not binary edges (Bernoulli), continuous similarities (Gaussian), or count-based co-occurrence (Poisson). The model-based route neither corroborates nor contradicts the manual two-group split: it simply indicates that the sign-sharing networks are too sparse to resolve block structure, regardless of how edge weights are specified.</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across all three emission families,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 The Poisson SBM is the most natural model for the count-based representation of shared sign types, and it, like Bernoulli and Gaussian, selects a single block: the absence of multi-block structure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S1.6.1</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S1.6.1</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under all three emission models.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not—regardless of how the adjacency is encoded.</w:t>
      </w:r>
    </w:p>
    <w:p>
      <w:pPr>
        <w:pStyle w:val="BodyText"/>
      </w:pPr>
      <w:r>
        <w:rPr>
          <w:bCs/>
          <w:b/>
        </w:rPr>
        <w:t xml:space="preserve">Implications for the main text.</w:t>
      </w:r>
      <w:r>
        <w:t xml:space="preserve"> </w:t>
      </w:r>
      <w:r>
        <w:t xml:space="preserve">The SBM selects a single block in both phases under Bernoulli, Gaussian, and Poisson emission models, so the two-group structure is not independently recovered by any generative model formulation.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Poisson SBM confirms this finding for the count-based representation of shared sign types, strengthening the conclusion that the null result is not an artefact of binarisation or the continuous similarity encoding, (4) the Aur-P2 results are qualified by the small sample size (9 sites, sparse edges)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 under any emission model.</w:t>
      </w:r>
    </w:p>
    <w:bookmarkEnd w:id="281"/>
    <w:bookmarkEnd w:id="282"/>
    <w:bookmarkStart w:id="286" w:name="sec-s9-4"/>
    <w:p>
      <w:pPr>
        <w:pStyle w:val="Heading2"/>
      </w:pPr>
      <w:r>
        <w:t xml:space="preserve">S1.9.4 Cross-Validation of Group Assignments (ARI)</w:t>
      </w:r>
    </w:p>
    <w:bookmarkStart w:id="284" w:name="rationale-14"/>
    <w:p>
      <w:pPr>
        <w:pStyle w:val="Heading3"/>
      </w:pPr>
      <w:r>
        <w:t xml:space="preserve">Rationale</w:t>
      </w:r>
    </w:p>
    <w:p>
      <w:pPr>
        <w:pStyle w:val="FirstParagraph"/>
      </w:pPr>
      <w:r>
        <w:t xml:space="preserve">To quantify overall agreement among the four ways of partitioning sites — the main-text manual restricted/broad groups, the bootstrap modal blocks (</w:t>
      </w:r>
      <w:r>
        <w:t xml:space="preserve">Section S1.9.2</w:t>
      </w:r>
      <w:r>
        <w:t xml:space="preserve">), and the SBM modal assignments (</w:t>
      </w:r>
      <w:r>
        <w:t xml:space="preserve">Section S1.9.3</w:t>
      </w:r>
      <w:r>
        <w:t xml:space="preserve">) under Bernoulli and Poisson emission models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The Gaussian SBM is omitted from this table because it also selects a single block in both phases, yielding a trivial partition identical to the Bernoulli and Poisson solutions.</w:t>
      </w:r>
    </w:p>
    <w:tbl>
      <w:tblPr>
        <w:tblStyle w:val="Table"/>
        <w:tblW w:type="pct" w:w="5000"/>
        <w:tblLook w:firstRow="0" w:lastRow="0" w:firstColumn="0" w:lastColumn="0" w:noHBand="0" w:noVBand="0" w:val="0000"/>
        <w:jc w:val="start"/>
        <w:tblLayout w:type="fixed"/>
      </w:tblPr>
      <w:tblGrid>
        <w:gridCol w:w="7920"/>
      </w:tblGrid>
      <w:tr>
        <w:tc>
          <w:tcPr/>
          <w:bookmarkStart w:id="283" w:name="tbl-ari-bootstrap-sbm"/>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S 31: Adjusted Rand Index between the main-text manual restricted/broad assignment, the bootstrap modal blocks (</w:t>
            </w:r>
            <w:r>
              <w:t xml:space="preserve">Section S1.9.2</w:t>
            </w:r>
            <w:r>
              <w:t xml:space="preserve">), and the SBM modal assignments (</w:t>
            </w:r>
            <w:r>
              <w:t xml:space="preserve">Section S1.9.3</w:t>
            </w:r>
            <w:r>
              <w:t xml:space="preserve">), by phase.</w:t>
            </w:r>
          </w:p>
          <w:bookmarkEnd w:id="283"/>
        </w:tc>
      </w:tr>
    </w:tbl>
    <w:bookmarkEnd w:id="284"/>
    <w:bookmarkStart w:id="285" w:name="interpretation-6"/>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31</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31</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because Bernoulli, Gaussian, and Poisson models all select a single block in both phases (</w:t>
      </w:r>
      <w:r>
        <w:t xml:space="preserve">Section S1.9.3</w:t>
      </w:r>
      <w:r>
        <w:t xml:space="preserve">),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85"/>
    <w:bookmarkEnd w:id="286"/>
    <w:bookmarkEnd w:id="287"/>
    <w:bookmarkStart w:id="295" w:name="sec-s10"/>
    <w:p>
      <w:pPr>
        <w:pStyle w:val="Heading1"/>
      </w:pPr>
      <w:r>
        <w:t xml:space="preserve">S1.10 Withheld-Data Validation</w:t>
      </w:r>
    </w:p>
    <w:bookmarkStart w:id="290" w:name="rationale-15"/>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1"/>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1"/>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1"/>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[19,20]</w:t>
      </w:r>
      <w:r>
        <w:t xml:space="preserve">. P-values from 100 dependent splits are reported as median p, proportion significant, and Brown’s method for dependent p-values</w:t>
      </w:r>
      <w:r>
        <w:t xml:space="preserve"> </w:t>
      </w:r>
      <w:r>
        <w:t xml:space="preserve">[21,22]</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88"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32: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88"/>
        </w:tc>
      </w:tr>
    </w:tbl>
    <w:bookmarkStart w:id="289" w:name="interpretation-7"/>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[21,22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89"/>
    <w:bookmarkEnd w:id="290"/>
    <w:bookmarkStart w:id="294" w:name="sec-s10-1"/>
    <w:p>
      <w:pPr>
        <w:pStyle w:val="Heading2"/>
      </w:pPr>
      <w:r>
        <w:t xml:space="preserve">S1.10.1 Richness-Preserving Nulls and Simpson Turnover</w:t>
      </w:r>
    </w:p>
    <w:bookmarkStart w:id="292" w:name="rationale-16"/>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91"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33: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91"/>
        </w:tc>
      </w:tr>
    </w:tbl>
    <w:bookmarkEnd w:id="292"/>
    <w:bookmarkStart w:id="293" w:name="interpretation-8"/>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S1.12.3</w:t>
      </w:r>
      <w:r>
        <w:t xml:space="preserve"> </w:t>
      </w:r>
      <w:r>
        <w:t xml:space="preserve">and the free-slope</w:t>
      </w:r>
      <w:r>
        <w:t xml:space="preserve"> </w:t>
      </w:r>
      <w:r>
        <w:t xml:space="preserve">Section S1.12.4</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93"/>
    <w:bookmarkEnd w:id="294"/>
    <w:bookmarkEnd w:id="295"/>
    <w:bookmarkStart w:id="312" w:name="sec-s11"/>
    <w:p>
      <w:pPr>
        <w:pStyle w:val="Heading1"/>
      </w:pPr>
      <w:r>
        <w:t xml:space="preserve">S1.11 Community Description</w:t>
      </w:r>
    </w:p>
    <w:p>
      <w:pPr>
        <w:pStyle w:val="FirstParagraph"/>
      </w:pPr>
      <w:r>
        <w:t xml:space="preserve">The PerMANOVA results in</w:t>
      </w:r>
      <w:r>
        <w:t xml:space="preserve"> </w:t>
      </w:r>
      <w:r>
        <w:t xml:space="preserve">Section S1.6.5</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w:t>
      </w:r>
    </w:p>
    <w:bookmarkStart w:id="301" w:name="sec-s11-1"/>
    <w:p>
      <w:pPr>
        <w:pStyle w:val="Heading2"/>
      </w:pPr>
      <w:r>
        <w:t xml:space="preserve">S1.11.1 Community Membership</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A reviewer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96"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34: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96"/>
        </w:tc>
      </w:tr>
    </w:tbl>
    <w:tbl>
      <w:tblPr>
        <w:tblStyle w:val="Table"/>
        <w:tblW w:type="pct" w:w="5000"/>
        <w:tblLook w:firstRow="0" w:lastRow="0" w:firstColumn="0" w:lastColumn="0" w:noHBand="0" w:noVBand="0" w:val="0000"/>
        <w:jc w:val="start"/>
        <w:tblLayout w:type="fixed"/>
      </w:tblPr>
      <w:tblGrid>
        <w:gridCol w:w="7920"/>
      </w:tblGrid>
      <w:tr>
        <w:tc>
          <w:tcPr/>
          <w:bookmarkStart w:id="300" w:name="fig-comembership-heatmap"/>
          <w:p>
            <w:pPr>
              <w:pStyle w:val="Compact"/>
              <w:jc w:val="center"/>
            </w:pPr>
            <w:r>
              <w:drawing>
                <wp:inline>
                  <wp:extent cx="5943600" cy="5943600"/>
                  <wp:effectExtent b="0" l="0" r="0" t="0"/>
                  <wp:docPr descr="" title="" id="298" name="Picture"/>
                  <a:graphic>
                    <a:graphicData uri="http://schemas.openxmlformats.org/drawingml/2006/picture">
                      <pic:pic>
                        <pic:nvPicPr>
                          <pic:cNvPr descr="../figures/comembership-heatmap.png" id="299" name="Picture"/>
                          <pic:cNvPicPr>
                            <a:picLocks noChangeArrowheads="1" noChangeAspect="1"/>
                          </pic:cNvPicPr>
                        </pic:nvPicPr>
                        <pic:blipFill>
                          <a:blip r:embed="rId29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300"/>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6</w:t>
        </w:r>
      </w:hyperlink>
      <w:r>
        <w:t xml:space="preserve"> </w:t>
      </w:r>
      <w:r>
        <w:t xml:space="preserve">quantify which of these co-memberships survive resampling.</w:t>
      </w:r>
    </w:p>
    <w:bookmarkEnd w:id="301"/>
    <w:bookmarkStart w:id="303" w:name="sec-s11-2"/>
    <w:p>
      <w:pPr>
        <w:pStyle w:val="Heading2"/>
      </w:pPr>
      <w:r>
        <w:t xml:space="preserve">S1.11.2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302"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35: Sign-type composition of Louvain communities at threshold 0.2. Values show the proportion of sites within each community that have at least one object bearing the sign type. Only sign types present in ≥10% of sites in at least one community are shown.</w:t>
            </w:r>
          </w:p>
          <w:bookmarkEnd w:id="302"/>
        </w:tc>
      </w:tr>
    </w:tbl>
    <w:bookmarkEnd w:id="303"/>
    <w:bookmarkStart w:id="308" w:name="sec-s11-3"/>
    <w:p>
      <w:pPr>
        <w:pStyle w:val="Heading2"/>
      </w:pPr>
      <w:r>
        <w:t xml:space="preserve">S1.11.3 Geographic Distribution</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307" w:name="fig-community-maps"/>
          <w:p>
            <w:pPr>
              <w:pStyle w:val="Compact"/>
              <w:jc w:val="center"/>
            </w:pPr>
            <w:r>
              <w:drawing>
                <wp:inline>
                  <wp:extent cx="5943600" cy="4622800"/>
                  <wp:effectExtent b="0" l="0" r="0" t="0"/>
                  <wp:docPr descr="" title="" id="305" name="Picture"/>
                  <a:graphic>
                    <a:graphicData uri="http://schemas.openxmlformats.org/drawingml/2006/picture">
                      <pic:pic>
                        <pic:nvPicPr>
                          <pic:cNvPr descr="../figures/community-maps.png" id="306" name="Picture"/>
                          <pic:cNvPicPr>
                            <a:picLocks noChangeArrowheads="1" noChangeAspect="1"/>
                          </pic:cNvPicPr>
                        </pic:nvPicPr>
                        <pic:blipFill>
                          <a:blip r:embed="rId304"/>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307"/>
        </w:tc>
      </w:tr>
    </w:tbl>
    <w:bookmarkEnd w:id="308"/>
    <w:bookmarkStart w:id="310" w:name="sec-s11-4"/>
    <w:p>
      <w:pPr>
        <w:pStyle w:val="Heading2"/>
      </w:pPr>
      <w:r>
        <w:t xml:space="preserve">S1.11.4 Cross-Algorithm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309"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36: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309"/>
        </w:tc>
      </w:tr>
    </w:tbl>
    <w:bookmarkEnd w:id="310"/>
    <w:bookmarkStart w:id="311" w:name="sec-s11-5"/>
    <w:p>
      <w:pPr>
        <w:pStyle w:val="Heading2"/>
      </w:pPr>
      <w:r>
        <w:t xml:space="preserve">S1.11.5 Interpretation</w:t>
      </w:r>
    </w:p>
    <w:p>
      <w:pPr>
        <w:pStyle w:val="FirstParagraph"/>
      </w:pP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34</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 The geographic map (</w:t>
      </w:r>
      <w:hyperlink w:anchor="fig-community-maps">
        <w:r>
          <w:rPr>
            <w:rStyle w:val="Hyperlink"/>
          </w:rPr>
          <w:t xml:space="preserve">Figure S 8</w:t>
        </w:r>
      </w:hyperlink>
      <w:r>
        <w:t xml:space="preserve">, Aur-P1 facet) shows that Community 2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w:t>
      </w:r>
      <w:hyperlink w:anchor="tbl-community-membership">
        <w:r>
          <w:rPr>
            <w:rStyle w:val="Hyperlink"/>
          </w:rPr>
          <w:t xml:space="preserve">Table S 34</w:t>
        </w:r>
      </w:hyperlink>
      <w:r>
        <w:t xml:space="preserve">). With only 9 sites total, the communities are small (1–3 sites each), and the PerMANOVA significance (</w:t>
      </w:r>
      <w:r>
        <w:t xml:space="preserve">Section S1.6.5</w:t>
      </w:r>
      <w:r>
        <w:t xml:space="preserve">) likely reflects strong pairwise similarities among a few sites rather than robust multi-site clusters. The geographic map (</w:t>
      </w:r>
      <w:hyperlink w:anchor="fig-community-maps">
        <w:r>
          <w:rPr>
            <w:rStyle w:val="Hyperlink"/>
          </w:rPr>
          <w:t xml:space="preserve">Figure S 8</w:t>
        </w:r>
      </w:hyperlink>
      <w:r>
        <w:t xml:space="preserve">, Aur-P2 facet) shows limited spatial coherence, consistent with the non-significant null-benchmarked modularity (</w:t>
      </w:r>
      <w:r>
        <w:t xml:space="preserve">Section S1.7.1</w:t>
      </w:r>
      <w:r>
        <w:t xml:space="preserve">).</w:t>
      </w:r>
    </w:p>
    <w:p>
      <w:pPr>
        <w:pStyle w:val="BodyText"/>
      </w:pPr>
      <w:r>
        <w:rPr>
          <w:bCs/>
          <w:b/>
        </w:rPr>
        <w:t xml:space="preserve">Cross-algorithm consistency.</w:t>
      </w:r>
      <w:r>
        <w:t xml:space="preserve"> </w:t>
      </w:r>
      <w:hyperlink w:anchor="tbl-cross-algorithm-agreement">
        <w:r>
          <w:rPr>
            <w:rStyle w:val="Hyperlink"/>
          </w:rPr>
          <w:t xml:space="preserve">Table S 36</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hyperlink w:anchor="tbl-community-composition">
        <w:r>
          <w:rPr>
            <w:rStyle w:val="Hyperlink"/>
          </w:rPr>
          <w:t xml:space="preserve">Table S 35</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311"/>
    <w:bookmarkEnd w:id="312"/>
    <w:bookmarkStart w:id="369" w:name="sec-s12"/>
    <w:p>
      <w:pPr>
        <w:pStyle w:val="Heading1"/>
      </w:pPr>
      <w:r>
        <w:t xml:space="preserve">S1.12 Object Types and Sampling Intensity</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S1.10.1</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numPr>
          <w:ilvl w:val="0"/>
          <w:numId w:val="1012"/>
        </w:numPr>
        <w:pStyle w:val="Compact"/>
      </w:pPr>
      <w:r>
        <w:rPr>
          <w:bCs/>
          <w:b/>
        </w:rPr>
        <w:t xml:space="preserve">(</w:t>
      </w:r>
      <w:r>
        <w:rPr>
          <w:bCs/>
          <w:b/>
        </w:rPr>
        <w:t xml:space="preserve">Section S1.12.2</w:t>
      </w:r>
      <w:r>
        <w:rPr>
          <w:bCs/>
          <w:b/>
        </w:rPr>
        <w:t xml:space="preserve">)</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w:t>
      </w:r>
      <w:r>
        <w:rPr>
          <w:bCs/>
          <w:b/>
        </w:rPr>
        <w:t xml:space="preserve">Section S1.12.3</w:t>
      </w:r>
      <w:r>
        <w:rPr>
          <w:bCs/>
          <w:b/>
        </w:rPr>
        <w:t xml:space="preserve">)</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w:t>
      </w:r>
      <w:r>
        <w:rPr>
          <w:bCs/>
          <w:b/>
        </w:rPr>
        <w:t xml:space="preserve">Section S1.12.4</w:t>
      </w:r>
      <w:r>
        <w:rPr>
          <w:bCs/>
          <w:b/>
        </w:rPr>
        <w:t xml:space="preserve">)</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w:t>
      </w:r>
      <w:r>
        <w:rPr>
          <w:bCs/>
          <w:b/>
        </w:rPr>
        <w:t xml:space="preserve">Section S1.12.5</w:t>
      </w:r>
      <w:r>
        <w:rPr>
          <w:bCs/>
          <w:b/>
        </w:rPr>
        <w:t xml:space="preserve">)</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w:t>
      </w:r>
      <w:r>
        <w:rPr>
          <w:bCs/>
          <w:b/>
        </w:rPr>
        <w:t xml:space="preserve">Section S1.12.7</w:t>
      </w:r>
      <w:r>
        <w:rPr>
          <w:bCs/>
          <w:b/>
        </w:rPr>
        <w:t xml:space="preserve">)</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w:t>
      </w:r>
      <w:r>
        <w:rPr>
          <w:bCs/>
          <w:b/>
        </w:rPr>
        <w:t xml:space="preserve">Section S1.10.1</w:t>
      </w:r>
      <w:r>
        <w:rPr>
          <w:bCs/>
          <w:b/>
        </w:rPr>
        <w:t xml:space="preserve">)</w:t>
      </w:r>
      <w:r>
        <w:t xml:space="preserve"> </w:t>
      </w:r>
      <w:r>
        <w:t xml:space="preserve">Does the restricted/broad pattern survive richness-preserving nulls, and does the manual-group PerMANOVA hold on Simpson turnover dissimilarity, which removes the nestedness component of Jaccard?</w:t>
      </w:r>
    </w:p>
    <w:bookmarkStart w:id="320" w:name="sec-s12-1"/>
    <w:p>
      <w:pPr>
        <w:pStyle w:val="Heading2"/>
      </w:pPr>
      <w:r>
        <w:t xml:space="preserve">S1.12.1 Object-count distribution and feasible common counts</w:t>
      </w:r>
    </w:p>
    <w:bookmarkStart w:id="318" w:name="rationale-17"/>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313"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37: Per-site object counts by phase and manual restricted(1)/broad(2) group.</w:t>
            </w:r>
          </w:p>
          <w:bookmarkEnd w:id="313"/>
        </w:tc>
      </w:tr>
    </w:tbl>
    <w:tbl>
      <w:tblPr>
        <w:tblStyle w:val="Table"/>
        <w:tblW w:type="pct" w:w="5000"/>
        <w:tblLook w:firstRow="0" w:lastRow="0" w:firstColumn="0" w:lastColumn="0" w:noHBand="0" w:noVBand="0" w:val="0000"/>
        <w:jc w:val="start"/>
        <w:tblLayout w:type="fixed"/>
      </w:tblPr>
      <w:tblGrid>
        <w:gridCol w:w="7920"/>
      </w:tblGrid>
      <w:tr>
        <w:tc>
          <w:tcPr/>
          <w:bookmarkStart w:id="317" w:name="fig-objhist"/>
          <w:p>
            <w:pPr>
              <w:pStyle w:val="Compact"/>
              <w:jc w:val="center"/>
            </w:pPr>
            <w:r>
              <w:drawing>
                <wp:inline>
                  <wp:extent cx="5943600" cy="2971800"/>
                  <wp:effectExtent b="0" l="0" r="0" t="0"/>
                  <wp:docPr descr="" title="" id="315" name="Picture"/>
                  <a:graphic>
                    <a:graphicData uri="http://schemas.openxmlformats.org/drawingml/2006/picture">
                      <pic:pic>
                        <pic:nvPicPr>
                          <pic:cNvPr descr="S1-supplement-sensitivity_files/figure-docx/fig-objhist-1.png" id="316" name="Picture"/>
                          <pic:cNvPicPr>
                            <a:picLocks noChangeArrowheads="1" noChangeAspect="1"/>
                          </pic:cNvPicPr>
                        </pic:nvPicPr>
                        <pic:blipFill>
                          <a:blip r:embed="rId31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Distribution of object counts per site by phase. Most sites contribute few objects; a small number of large assemblages (e.g. Vogelherd) dominate the upper tail.</w:t>
            </w:r>
          </w:p>
          <w:bookmarkEnd w:id="317"/>
        </w:tc>
      </w:tr>
    </w:tbl>
    <w:bookmarkEnd w:id="318"/>
    <w:bookmarkStart w:id="319"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319"/>
    <w:bookmarkEnd w:id="320"/>
    <w:bookmarkStart w:id="329" w:name="sec-s12-2"/>
    <w:p>
      <w:pPr>
        <w:pStyle w:val="Heading2"/>
      </w:pPr>
      <w:r>
        <w:t xml:space="preserve">S1.12.2 Object-level downsampling sensitivity</w:t>
      </w:r>
    </w:p>
    <w:bookmarkStart w:id="327" w:name="rationale-18"/>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S1.6.1</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321"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38: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32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22"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39: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322"/>
        </w:tc>
      </w:tr>
    </w:tbl>
    <w:tbl>
      <w:tblPr>
        <w:tblStyle w:val="Table"/>
        <w:tblW w:type="pct" w:w="5000"/>
        <w:tblLook w:firstRow="0" w:lastRow="0" w:firstColumn="0" w:lastColumn="0" w:noHBand="0" w:noVBand="0" w:val="0000"/>
        <w:jc w:val="start"/>
        <w:tblLayout w:type="fixed"/>
      </w:tblPr>
      <w:tblGrid>
        <w:gridCol w:w="7920"/>
      </w:tblGrid>
      <w:tr>
        <w:tc>
          <w:tcPr/>
          <w:bookmarkStart w:id="326" w:name="fig-retention"/>
          <w:p>
            <w:pPr>
              <w:pStyle w:val="Compact"/>
              <w:jc w:val="center"/>
            </w:pPr>
            <w:r>
              <w:drawing>
                <wp:inline>
                  <wp:extent cx="5943600" cy="5943600"/>
                  <wp:effectExtent b="0" l="0" r="0" t="0"/>
                  <wp:docPr descr="" title="" id="324" name="Picture"/>
                  <a:graphic>
                    <a:graphicData uri="http://schemas.openxmlformats.org/drawingml/2006/picture">
                      <pic:pic>
                        <pic:nvPicPr>
                          <pic:cNvPr descr="S1-supplement-sensitivity_files/figure-docx/fig-retention-1.png" id="325" name="Picture"/>
                          <pic:cNvPicPr>
                            <a:picLocks noChangeArrowheads="1" noChangeAspect="1"/>
                          </pic:cNvPicPr>
                        </pic:nvPicPr>
                        <pic:blipFill>
                          <a:blip r:embed="rId32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326"/>
        </w:tc>
      </w:tr>
    </w:tbl>
    <w:bookmarkEnd w:id="327"/>
    <w:bookmarkStart w:id="328"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328"/>
    <w:bookmarkEnd w:id="329"/>
    <w:bookmarkStart w:id="337" w:name="sec-s12-3"/>
    <w:p>
      <w:pPr>
        <w:pStyle w:val="Heading2"/>
      </w:pPr>
      <w:r>
        <w:t xml:space="preserve">S1.12.3 Coverage-based rarefaction</w:t>
      </w:r>
    </w:p>
    <w:bookmarkStart w:id="335" w:name="rationale-19"/>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330"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40: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330"/>
        </w:tc>
      </w:tr>
    </w:tbl>
    <w:tbl>
      <w:tblPr>
        <w:tblStyle w:val="Table"/>
        <w:tblW w:type="pct" w:w="5000"/>
        <w:tblLook w:firstRow="0" w:lastRow="0" w:firstColumn="0" w:lastColumn="0" w:noHBand="0" w:noVBand="0" w:val="0000"/>
        <w:jc w:val="start"/>
        <w:tblLayout w:type="fixed"/>
      </w:tblPr>
      <w:tblGrid>
        <w:gridCol w:w="7920"/>
      </w:tblGrid>
      <w:tr>
        <w:tc>
          <w:tcPr/>
          <w:bookmarkStart w:id="334" w:name="fig-rarefaction"/>
          <w:p>
            <w:pPr>
              <w:pStyle w:val="Compact"/>
              <w:jc w:val="center"/>
            </w:pPr>
            <w:r>
              <w:drawing>
                <wp:inline>
                  <wp:extent cx="5943600" cy="3396342"/>
                  <wp:effectExtent b="0" l="0" r="0" t="0"/>
                  <wp:docPr descr="" title="" id="332" name="Picture"/>
                  <a:graphic>
                    <a:graphicData uri="http://schemas.openxmlformats.org/drawingml/2006/picture">
                      <pic:pic>
                        <pic:nvPicPr>
                          <pic:cNvPr descr="S1-supplement-sensitivity_files/figure-docx/fig-rarefaction-1.png" id="333" name="Picture"/>
                          <pic:cNvPicPr>
                            <a:picLocks noChangeArrowheads="1" noChangeAspect="1"/>
                          </pic:cNvPicPr>
                        </pic:nvPicPr>
                        <pic:blipFill>
                          <a:blip r:embed="rId331"/>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Sign-type richness estimated at target coverage = 0.9 with 95% confidence intervals, by manual group, for sites that reach that coverage. Restricted sites (green) that attain high coverage remain low-richness; broad sites (red) remain high-richness.</w:t>
            </w:r>
          </w:p>
          <w:bookmarkEnd w:id="334"/>
        </w:tc>
      </w:tr>
    </w:tbl>
    <w:bookmarkEnd w:id="335"/>
    <w:bookmarkStart w:id="336"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S1.12.2</w:t>
      </w:r>
      <w:r>
        <w:t xml:space="preserve">, approached from the richness axis.</w:t>
      </w:r>
    </w:p>
    <w:bookmarkEnd w:id="336"/>
    <w:bookmarkEnd w:id="337"/>
    <w:bookmarkStart w:id="341" w:name="sec-s12-4"/>
    <w:p>
      <w:pPr>
        <w:pStyle w:val="Heading2"/>
      </w:pPr>
      <w:r>
        <w:t xml:space="preserve">S1.12.4 Negative-binomial regression with object-count covariate</w:t>
      </w:r>
    </w:p>
    <w:bookmarkStart w:id="339" w:name="rationale-20"/>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338"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41: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338"/>
        </w:tc>
      </w:tr>
    </w:tbl>
    <w:bookmarkEnd w:id="339"/>
    <w:bookmarkStart w:id="340"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S1.12.3</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340"/>
    <w:bookmarkEnd w:id="341"/>
    <w:bookmarkStart w:id="349" w:name="sec-s12-5"/>
    <w:p>
      <w:pPr>
        <w:pStyle w:val="Heading2"/>
      </w:pPr>
      <w:r>
        <w:t xml:space="preserve">S1.12.5 Equal-effort pool comparison (iNEXT)</w:t>
      </w:r>
    </w:p>
    <w:bookmarkStart w:id="347" w:name="rationale-21"/>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342"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42: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342"/>
        </w:tc>
      </w:tr>
    </w:tbl>
    <w:tbl>
      <w:tblPr>
        <w:tblStyle w:val="Table"/>
        <w:tblW w:type="pct" w:w="5000"/>
        <w:tblLook w:firstRow="0" w:lastRow="0" w:firstColumn="0" w:lastColumn="0" w:noHBand="0" w:noVBand="0" w:val="0000"/>
        <w:jc w:val="start"/>
        <w:tblLayout w:type="fixed"/>
      </w:tblPr>
      <w:tblGrid>
        <w:gridCol w:w="7920"/>
      </w:tblGrid>
      <w:tr>
        <w:tc>
          <w:tcPr/>
          <w:bookmarkStart w:id="346" w:name="fig-pool-inext"/>
          <w:p>
            <w:pPr>
              <w:pStyle w:val="Compact"/>
              <w:jc w:val="center"/>
            </w:pPr>
            <w:r>
              <w:drawing>
                <wp:inline>
                  <wp:extent cx="5943600" cy="3566160"/>
                  <wp:effectExtent b="0" l="0" r="0" t="0"/>
                  <wp:docPr descr="" title="" id="344" name="Picture"/>
                  <a:graphic>
                    <a:graphicData uri="http://schemas.openxmlformats.org/drawingml/2006/picture">
                      <pic:pic>
                        <pic:nvPicPr>
                          <pic:cNvPr descr="S1-supplement-sensitivity_files/figure-docx/fig-pool-inext-1.png" id="345" name="Picture"/>
                          <pic:cNvPicPr>
                            <a:picLocks noChangeArrowheads="1" noChangeAspect="1"/>
                          </pic:cNvPicPr>
                        </pic:nvPicPr>
                        <pic:blipFill>
                          <a:blip r:embed="rId34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346"/>
        </w:tc>
      </w:tr>
    </w:tbl>
    <w:bookmarkEnd w:id="347"/>
    <w:bookmarkStart w:id="348"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348"/>
    <w:bookmarkEnd w:id="349"/>
    <w:bookmarkStart w:id="367" w:name="sec-s12-6"/>
    <w:p>
      <w:pPr>
        <w:pStyle w:val="Heading2"/>
      </w:pPr>
      <w:r>
        <w:t xml:space="preserve">S1.12.6 Figurine Exclusion</w:t>
      </w:r>
    </w:p>
    <w:bookmarkStart w:id="350" w:name="rationale-22"/>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350"/>
    <w:bookmarkStart w:id="352" w:name="figurine-distribution-in-the-dataset"/>
    <w:p>
      <w:pPr>
        <w:pStyle w:val="Heading3"/>
      </w:pPr>
      <w: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351"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43: Distribution of figurine objects across phases and sites. Figurine types include figurine zoomorph, figurine anthropomorph, figurine undet., and possible figurine.</w:t>
            </w:r>
          </w:p>
          <w:bookmarkEnd w:id="351"/>
        </w:tc>
      </w:tr>
    </w:tbl>
    <w:p>
      <w:pPr>
        <w:pStyle w:val="BodyText"/>
      </w:pPr>
      <w:hyperlink w:anchor="tbl-figurine-count">
        <w:r>
          <w:rPr>
            <w:rStyle w:val="Hyperlink"/>
          </w:rPr>
          <w:t xml:space="preserve">Table S 43</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352"/>
    <w:bookmarkStart w:id="353" w:name="analysis-1-exclude-all-figurines"/>
    <w:p>
      <w:pPr>
        <w:pStyle w:val="Heading3"/>
      </w:pPr>
      <w:r>
        <w:t xml:space="preserve">Analysis 1: Exclude All Figurines</w:t>
      </w:r>
    </w:p>
    <w:bookmarkEnd w:id="353"/>
    <w:bookmarkStart w:id="356"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54"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44: Network statistics before and after excluding all figurine objects (figurine zoomorph, figurine anthropomorph, figurine undet., and possible figurine). Threshold = 0.2, Jaccard similarity.</w:t>
            </w:r>
          </w:p>
          <w:bookmarkEnd w:id="35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55"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45: Number of sites per phase before and after figurine exclusion. Sites are lost when all objects at that site are figurines.</w:t>
            </w:r>
          </w:p>
          <w:bookmarkEnd w:id="355"/>
        </w:tc>
      </w:tr>
    </w:tbl>
    <w:bookmarkEnd w:id="356"/>
    <w:bookmarkStart w:id="357" w:name="interpretation-14"/>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357"/>
    <w:bookmarkStart w:id="358" w:name="Xc06319a9554f6ddf282b3cf388364ef3835d432"/>
    <w:p>
      <w:pPr>
        <w:pStyle w:val="Heading3"/>
      </w:pPr>
      <w:r>
        <w:t xml:space="preserve">Analysis 2: Exclude Vogelherd Figurines Only</w:t>
      </w:r>
    </w:p>
    <w:bookmarkEnd w:id="358"/>
    <w:bookmarkStart w:id="361"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359"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46: Network statistics before and after excluding figurines from Vogelherd only. All other figurines (Hohle Fels, Geissenklösterle, Hohlenstein-Stadel, La Ferrassie) are retained. Threshold = 0.2, Jaccard similarity.</w:t>
            </w:r>
          </w:p>
          <w:bookmarkEnd w:id="35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60"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47: Vogelherd object counts before and after removing figurines. Non-figurine objects at Vogelherd (tools, plaquettes, etc.) are retained.</w:t>
            </w:r>
          </w:p>
          <w:bookmarkEnd w:id="360"/>
        </w:tc>
      </w:tr>
    </w:tbl>
    <w:bookmarkEnd w:id="361"/>
    <w:bookmarkStart w:id="362" w:name="interpretation-15"/>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362"/>
    <w:bookmarkStart w:id="364" w:name="joint-comparison"/>
    <w:p>
      <w:pPr>
        <w:pStyle w:val="Heading3"/>
      </w:pPr>
      <w: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363"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48: Side-by-side comparison of network statistics across all conditions: baseline (all objects), exclude all figurines, and exclude Vogelherd figurines only. The rightmost columns show the percentage change in mean degree from baseline.</w:t>
            </w:r>
          </w:p>
          <w:bookmarkEnd w:id="363"/>
        </w:tc>
      </w:tr>
    </w:tbl>
    <w:bookmarkEnd w:id="364"/>
    <w:bookmarkStart w:id="366" w:name="interpretation-16"/>
    <w:p>
      <w:pPr>
        <w:pStyle w:val="Heading3"/>
      </w:pPr>
      <w:r>
        <w:t xml:space="preserve">Interpretation</w:t>
      </w:r>
    </w:p>
    <w:p>
      <w:pPr>
        <w:pStyle w:val="FirstParagraph"/>
      </w:pPr>
      <w:r>
        <w:t xml:space="preserve">The joint comparison in</w:t>
      </w:r>
      <w:r>
        <w:t xml:space="preserve"> </w:t>
      </w:r>
      <w:hyperlink w:anchor="tbl-objtype-joint">
        <w:r>
          <w:rPr>
            <w:rStyle w:val="Hyperlink"/>
          </w:rPr>
          <w:t xml:space="preserve">Table S 48</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365"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49: Mean degree by figurine-exclusion condition, with percentage change from baseline. Reproduced directly from the joint comparison in</w:t>
            </w:r>
            <w:r>
              <w:t xml:space="preserve"> </w:t>
            </w:r>
            <w:hyperlink w:anchor="tbl-objtype-joint">
              <w:r>
                <w:rPr>
                  <w:rStyle w:val="Hyperlink"/>
                </w:rPr>
                <w:t xml:space="preserve">Table S 48</w:t>
              </w:r>
            </w:hyperlink>
            <w:r>
              <w:t xml:space="preserve">.</w:t>
            </w:r>
          </w:p>
          <w:bookmarkEnd w:id="365"/>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366"/>
    <w:bookmarkEnd w:id="367"/>
    <w:bookmarkStart w:id="368" w:name="sec-s12-7"/>
    <w:p>
      <w:pPr>
        <w:pStyle w:val="Heading2"/>
      </w:pPr>
      <w:r>
        <w:t xml:space="preserve">S1.12.7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S1.12.2</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S1.12.3</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S1.12.4</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S1.12.5</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S1.10.1</w:t>
      </w:r>
      <w:r>
        <w:t xml:space="preserve">). Figurine exclusion (</w:t>
      </w:r>
      <w:r>
        <w:t xml:space="preserve">Section S1.12.6</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368"/>
    <w:bookmarkEnd w:id="369"/>
    <w:bookmarkStart w:id="425" w:name="sec-s13"/>
    <w:p>
      <w:pPr>
        <w:pStyle w:val="Heading1"/>
      </w:pPr>
      <w:r>
        <w:t xml:space="preserve">S1.13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does not recover multiple blocks under Bernoulli, Gaussian, or Poisson specifications.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not discrete provinces that emerge from an unsupervised generative model.</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p>
      <w:pPr>
        <w:pStyle w:val="BodyText"/>
      </w:pPr>
      <w:r>
        <w:t xml:space="preserve">For the main text, report raw degree descriptively and base inference on permutation and withheld-data results. Present the restricted versus broad contrast as a recoverable gradient that is strong for well sampled sites and provisional for small ones. Present Aur-P2 community structure as indicative rather than conclusive. Present the pool contraction as not demonstrated at equal effort, with the sample-difference caveat stated.</w:t>
      </w:r>
    </w:p>
    <w:bookmarkStart w:id="424" w:name="references-cited"/>
    <w:p>
      <w:pPr>
        <w:pStyle w:val="Heading2"/>
      </w:pPr>
      <w:r>
        <w:t xml:space="preserve">References cited</w:t>
      </w:r>
    </w:p>
    <w:bookmarkStart w:id="423" w:name="refs"/>
    <w:bookmarkStart w:id="371"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70">
        <w:r>
          <w:rPr>
            <w:rStyle w:val="Hyperlink"/>
          </w:rPr>
          <w:t xml:space="preserve">https://doi.org/10.18637/jss.v022.i07</w:t>
        </w:r>
      </w:hyperlink>
      <w:r>
        <w:t xml:space="preserve">.</w:t>
      </w:r>
    </w:p>
    <w:bookmarkEnd w:id="371"/>
    <w:bookmarkStart w:id="373" w:name="X68cdd7ba62fc5dd3e1e9b497937717305f7b9a0"/>
    <w:p>
      <w:pPr>
        <w:pStyle w:val="Bibliography"/>
      </w:pPr>
      <w:r>
        <w:t xml:space="preserve">[2]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72">
        <w:r>
          <w:rPr>
            <w:rStyle w:val="Hyperlink"/>
          </w:rPr>
          <w:t xml:space="preserve">https://doi.org/10.1016/j.quascirev.2021.106995</w:t>
        </w:r>
      </w:hyperlink>
      <w:r>
        <w:t xml:space="preserve">.</w:t>
      </w:r>
    </w:p>
    <w:bookmarkEnd w:id="373"/>
    <w:bookmarkStart w:id="375" w:name="ref-teyssandier2018entity"/>
    <w:p>
      <w:pPr>
        <w:pStyle w:val="Bibliography"/>
      </w:pPr>
      <w:r>
        <w:t xml:space="preserve">[3]</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74">
        <w:r>
          <w:rPr>
            <w:rStyle w:val="Hyperlink"/>
          </w:rPr>
          <w:t xml:space="preserve">https://doi.org/10.1007/s41982-017-0004-4</w:t>
        </w:r>
      </w:hyperlink>
      <w:r>
        <w:t xml:space="preserve">.</w:t>
      </w:r>
    </w:p>
    <w:bookmarkEnd w:id="375"/>
    <w:bookmarkStart w:id="377" w:name="ref-Chiotti_2005"/>
    <w:p>
      <w:pPr>
        <w:pStyle w:val="Bibliography"/>
      </w:pPr>
      <w:r>
        <w:t xml:space="preserve">[4]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76">
        <w:r>
          <w:rPr>
            <w:rStyle w:val="Hyperlink"/>
          </w:rPr>
          <w:t xml:space="preserve">https://doi.org/10.30861/9781841718309</w:t>
        </w:r>
      </w:hyperlink>
      <w:r>
        <w:t xml:space="preserve">.</w:t>
      </w:r>
    </w:p>
    <w:bookmarkEnd w:id="377"/>
    <w:bookmarkStart w:id="379" w:name="ref-Higham_Abri_Pataud_2011"/>
    <w:p>
      <w:pPr>
        <w:pStyle w:val="Bibliography"/>
      </w:pPr>
      <w:r>
        <w:t xml:space="preserve">[5]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78">
        <w:r>
          <w:rPr>
            <w:rStyle w:val="Hyperlink"/>
          </w:rPr>
          <w:t xml:space="preserve">https://doi.org/10.1016/j.jhevol.2011.06.005</w:t>
        </w:r>
      </w:hyperlink>
      <w:r>
        <w:t xml:space="preserve">.</w:t>
      </w:r>
    </w:p>
    <w:bookmarkEnd w:id="379"/>
    <w:bookmarkStart w:id="381" w:name="ref-Talamo_La_Ferrassie_2020"/>
    <w:p>
      <w:pPr>
        <w:pStyle w:val="Bibliography"/>
      </w:pPr>
      <w:r>
        <w:t xml:space="preserve">[6]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80">
        <w:r>
          <w:rPr>
            <w:rStyle w:val="Hyperlink"/>
          </w:rPr>
          <w:t xml:space="preserve">https://doi.org/10.1002/jqs.3236</w:t>
        </w:r>
      </w:hyperlink>
      <w:r>
        <w:t xml:space="preserve">.</w:t>
      </w:r>
    </w:p>
    <w:bookmarkEnd w:id="381"/>
    <w:bookmarkStart w:id="382" w:name="ref-Delporte_1984_Ferrassie"/>
    <w:p>
      <w:pPr>
        <w:pStyle w:val="Bibliography"/>
      </w:pPr>
      <w:r>
        <w:t xml:space="preserve">[7]</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82"/>
    <w:bookmarkStart w:id="384" w:name="ref-Oliva_2006"/>
    <w:p>
      <w:pPr>
        <w:pStyle w:val="Bibliography"/>
      </w:pPr>
      <w:r>
        <w:t xml:space="preserve">[8]</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83">
        <w:r>
          <w:rPr>
            <w:rStyle w:val="Hyperlink"/>
          </w:rPr>
          <w:t xml:space="preserve">https://doi.org/10.1007/978-3-211-49294-9_4</w:t>
        </w:r>
      </w:hyperlink>
      <w:r>
        <w:t xml:space="preserve">.</w:t>
      </w:r>
    </w:p>
    <w:bookmarkEnd w:id="384"/>
    <w:bookmarkStart w:id="386" w:name="ref-Wild_et_al_2005"/>
    <w:p>
      <w:pPr>
        <w:pStyle w:val="Bibliography"/>
      </w:pPr>
      <w:r>
        <w:t xml:space="preserve">[9]</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85">
        <w:r>
          <w:rPr>
            <w:rStyle w:val="Hyperlink"/>
          </w:rPr>
          <w:t xml:space="preserve">https://doi.org/10.1038/nature03585</w:t>
        </w:r>
      </w:hyperlink>
      <w:r>
        <w:t xml:space="preserve">.</w:t>
      </w:r>
    </w:p>
    <w:bookmarkEnd w:id="386"/>
    <w:bookmarkStart w:id="38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87">
        <w:r>
          <w:rPr>
            <w:rStyle w:val="Hyperlink"/>
          </w:rPr>
          <w:t xml:space="preserve">https://doi.org/10.1007/s41982-025-00246-x</w:t>
        </w:r>
      </w:hyperlink>
      <w:r>
        <w:t xml:space="preserve">.</w:t>
      </w:r>
    </w:p>
    <w:bookmarkEnd w:id="388"/>
    <w:bookmarkStart w:id="390" w:name="ref-Blondel_2008"/>
    <w:p>
      <w:pPr>
        <w:pStyle w:val="Bibliography"/>
      </w:pPr>
      <w:r>
        <w:t xml:space="preserve">[11]</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89">
        <w:r>
          <w:rPr>
            <w:rStyle w:val="Hyperlink"/>
          </w:rPr>
          <w:t xml:space="preserve">https://doi.org/10.1088/1742-5468/2008/10/P10008</w:t>
        </w:r>
      </w:hyperlink>
      <w:r>
        <w:t xml:space="preserve">.</w:t>
      </w:r>
    </w:p>
    <w:bookmarkEnd w:id="390"/>
    <w:bookmarkStart w:id="392" w:name="ref-newman2004finding"/>
    <w:p>
      <w:pPr>
        <w:pStyle w:val="Bibliography"/>
      </w:pPr>
      <w:r>
        <w:t xml:space="preserve">[12]</w:t>
      </w:r>
      <w:r>
        <w:t xml:space="preserve"> </w:t>
      </w:r>
      <w:r>
        <w:t xml:space="preserve">	</w:t>
      </w:r>
      <w:r>
        <w:t xml:space="preserve">Newman ME, Girvan M. Finding and evaluating community structure in networks. Physical Review E 2004;69:026113.</w:t>
      </w:r>
      <w:r>
        <w:t xml:space="preserve"> </w:t>
      </w:r>
      <w:hyperlink r:id="rId391">
        <w:r>
          <w:rPr>
            <w:rStyle w:val="Hyperlink"/>
          </w:rPr>
          <w:t xml:space="preserve">https://doi.org/10.1103/PhysRevE.69.026113</w:t>
        </w:r>
      </w:hyperlink>
      <w:r>
        <w:t xml:space="preserve">.</w:t>
      </w:r>
    </w:p>
    <w:bookmarkEnd w:id="392"/>
    <w:bookmarkStart w:id="394" w:name="ref-Roberts_2021"/>
    <w:p>
      <w:pPr>
        <w:pStyle w:val="Bibliography"/>
      </w:pPr>
      <w:r>
        <w:t xml:space="preserve">[13]</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93">
        <w:r>
          <w:rPr>
            <w:rStyle w:val="Hyperlink"/>
          </w:rPr>
          <w:t xml:space="preserve">https://doi.org/10.1016/j.socnet.2020.11.005</w:t>
        </w:r>
      </w:hyperlink>
      <w:r>
        <w:t xml:space="preserve">.</w:t>
      </w:r>
    </w:p>
    <w:bookmarkEnd w:id="394"/>
    <w:bookmarkStart w:id="396" w:name="ref-Clarke_Rothery_Raybould_2002"/>
    <w:p>
      <w:pPr>
        <w:pStyle w:val="Bibliography"/>
      </w:pPr>
      <w:r>
        <w:t xml:space="preserve">[14]</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95">
        <w:r>
          <w:rPr>
            <w:rStyle w:val="Hyperlink"/>
          </w:rPr>
          <w:t xml:space="preserve">https://doi.org/10.1198/108571102320</w:t>
        </w:r>
      </w:hyperlink>
      <w:r>
        <w:t xml:space="preserve">.</w:t>
      </w:r>
    </w:p>
    <w:bookmarkEnd w:id="396"/>
    <w:bookmarkStart w:id="398" w:name="ref-Lichstein_2007"/>
    <w:p>
      <w:pPr>
        <w:pStyle w:val="Bibliography"/>
      </w:pPr>
      <w:r>
        <w:t xml:space="preserve">[15]</w:t>
      </w:r>
      <w:r>
        <w:t xml:space="preserve"> </w:t>
      </w:r>
      <w:r>
        <w:t xml:space="preserve">	</w:t>
      </w:r>
      <w:r>
        <w:t xml:space="preserve">Lichstein JW. Multiple regression on distance matrices: A multivariate spatial analysis tool. Plant Ecology 2007;188:117–31.</w:t>
      </w:r>
      <w:r>
        <w:t xml:space="preserve"> </w:t>
      </w:r>
      <w:hyperlink r:id="rId397">
        <w:r>
          <w:rPr>
            <w:rStyle w:val="Hyperlink"/>
          </w:rPr>
          <w:t xml:space="preserve">https://doi.org/10.1007/s11258-006-9126-3</w:t>
        </w:r>
      </w:hyperlink>
      <w:r>
        <w:t xml:space="preserve">.</w:t>
      </w:r>
    </w:p>
    <w:bookmarkEnd w:id="398"/>
    <w:bookmarkStart w:id="400" w:name="ref-Monti_2003"/>
    <w:p>
      <w:pPr>
        <w:pStyle w:val="Bibliography"/>
      </w:pPr>
      <w:r>
        <w:t xml:space="preserve">[16]</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99">
        <w:r>
          <w:rPr>
            <w:rStyle w:val="Hyperlink"/>
          </w:rPr>
          <w:t xml:space="preserve">https://doi.org/10.1023/A:1023949509487</w:t>
        </w:r>
      </w:hyperlink>
      <w:r>
        <w:t xml:space="preserve">.</w:t>
      </w:r>
    </w:p>
    <w:bookmarkEnd w:id="400"/>
    <w:bookmarkStart w:id="402" w:name="ref-Leger_2016"/>
    <w:p>
      <w:pPr>
        <w:pStyle w:val="Bibliography"/>
      </w:pPr>
      <w:r>
        <w:t xml:space="preserve">[17]</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401">
        <w:r>
          <w:rPr>
            <w:rStyle w:val="Hyperlink"/>
          </w:rPr>
          <w:t xml:space="preserve">https://doi.org/10.48550/arXiv.1602.07587</w:t>
        </w:r>
      </w:hyperlink>
      <w:r>
        <w:t xml:space="preserve">.</w:t>
      </w:r>
    </w:p>
    <w:bookmarkEnd w:id="402"/>
    <w:bookmarkStart w:id="404" w:name="ref-Hubert_Arabie_1985"/>
    <w:p>
      <w:pPr>
        <w:pStyle w:val="Bibliography"/>
      </w:pPr>
      <w:r>
        <w:t xml:space="preserve">[18]</w:t>
      </w:r>
      <w:r>
        <w:t xml:space="preserve"> </w:t>
      </w:r>
      <w:r>
        <w:t xml:space="preserve">	</w:t>
      </w:r>
      <w:r>
        <w:t xml:space="preserve">Hubert L, Arabie P. Comparing partitions. Journal of Classification 1985;2:193–218.</w:t>
      </w:r>
      <w:r>
        <w:t xml:space="preserve"> </w:t>
      </w:r>
      <w:hyperlink r:id="rId403">
        <w:r>
          <w:rPr>
            <w:rStyle w:val="Hyperlink"/>
          </w:rPr>
          <w:t xml:space="preserve">https://doi.org/10.1007/BF01908075</w:t>
        </w:r>
      </w:hyperlink>
      <w:r>
        <w:t xml:space="preserve">.</w:t>
      </w:r>
    </w:p>
    <w:bookmarkEnd w:id="404"/>
    <w:bookmarkStart w:id="406" w:name="ref-Gao_Bien_Witten_2022"/>
    <w:p>
      <w:pPr>
        <w:pStyle w:val="Bibliography"/>
      </w:pPr>
      <w:r>
        <w:t xml:space="preserve">[19]</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405">
        <w:r>
          <w:rPr>
            <w:rStyle w:val="Hyperlink"/>
          </w:rPr>
          <w:t xml:space="preserve">https://doi.org/10.1080/01621459.2022.2116331</w:t>
        </w:r>
      </w:hyperlink>
      <w:r>
        <w:t xml:space="preserve">.</w:t>
      </w:r>
    </w:p>
    <w:bookmarkEnd w:id="406"/>
    <w:bookmarkStart w:id="408" w:name="ref-Neufeld_2024"/>
    <w:p>
      <w:pPr>
        <w:pStyle w:val="Bibliography"/>
      </w:pPr>
      <w:r>
        <w:t xml:space="preserve">[20]</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407">
        <w:r>
          <w:rPr>
            <w:rStyle w:val="Hyperlink"/>
          </w:rPr>
          <w:t xml:space="preserve">https://doi.org/10.1093/biostatistics/kxac047</w:t>
        </w:r>
      </w:hyperlink>
      <w:r>
        <w:t xml:space="preserve">.</w:t>
      </w:r>
    </w:p>
    <w:bookmarkEnd w:id="408"/>
    <w:bookmarkStart w:id="410" w:name="ref-Brown_1975"/>
    <w:p>
      <w:pPr>
        <w:pStyle w:val="Bibliography"/>
      </w:pPr>
      <w:r>
        <w:t xml:space="preserve">[21]</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409">
        <w:r>
          <w:rPr>
            <w:rStyle w:val="Hyperlink"/>
          </w:rPr>
          <w:t xml:space="preserve">https://doi.org/10.2307/2529826</w:t>
        </w:r>
      </w:hyperlink>
      <w:r>
        <w:t xml:space="preserve">.</w:t>
      </w:r>
    </w:p>
    <w:bookmarkEnd w:id="410"/>
    <w:bookmarkStart w:id="412" w:name="ref-Poole_2016"/>
    <w:p>
      <w:pPr>
        <w:pStyle w:val="Bibliography"/>
      </w:pPr>
      <w:r>
        <w:t xml:space="preserve">[22]</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411">
        <w:r>
          <w:rPr>
            <w:rStyle w:val="Hyperlink"/>
          </w:rPr>
          <w:t xml:space="preserve">https://doi.org/10.1093/bioinformatics/btw438</w:t>
        </w:r>
      </w:hyperlink>
      <w:r>
        <w:t xml:space="preserve">.</w:t>
      </w:r>
    </w:p>
    <w:bookmarkEnd w:id="412"/>
    <w:bookmarkStart w:id="414"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413">
        <w:r>
          <w:rPr>
            <w:rStyle w:val="Hyperlink"/>
          </w:rPr>
          <w:t xml:space="preserve">https://doi.org/10.1890/11-1952.1</w:t>
        </w:r>
      </w:hyperlink>
      <w:r>
        <w:t xml:space="preserve">.</w:t>
      </w:r>
    </w:p>
    <w:bookmarkEnd w:id="414"/>
    <w:bookmarkStart w:id="416"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415">
        <w:r>
          <w:rPr>
            <w:rStyle w:val="Hyperlink"/>
          </w:rPr>
          <w:t xml:space="preserve">https://doi.org/10.1046/j.1461-0248.2001.00230.x</w:t>
        </w:r>
      </w:hyperlink>
      <w:r>
        <w:t xml:space="preserve">.</w:t>
      </w:r>
    </w:p>
    <w:bookmarkEnd w:id="416"/>
    <w:bookmarkStart w:id="418"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417">
        <w:r>
          <w:rPr>
            <w:rStyle w:val="Hyperlink"/>
          </w:rPr>
          <w:t xml:space="preserve">https://doi.org/10.1111/2041-210X.12613</w:t>
        </w:r>
      </w:hyperlink>
      <w:r>
        <w:t xml:space="preserve">.</w:t>
      </w:r>
    </w:p>
    <w:bookmarkEnd w:id="418"/>
    <w:bookmarkStart w:id="420"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419">
        <w:r>
          <w:rPr>
            <w:rStyle w:val="Hyperlink"/>
          </w:rPr>
          <w:t xml:space="preserve">https://doi.org/10.1007/978-0-387-21706-2</w:t>
        </w:r>
      </w:hyperlink>
      <w:r>
        <w:t xml:space="preserve">.</w:t>
      </w:r>
    </w:p>
    <w:bookmarkEnd w:id="420"/>
    <w:bookmarkStart w:id="422"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421">
        <w:r>
          <w:rPr>
            <w:rStyle w:val="Hyperlink"/>
          </w:rPr>
          <w:t xml:space="preserve">https://doi.org/10.1073/pnas.2520385123</w:t>
        </w:r>
      </w:hyperlink>
      <w:r>
        <w:t xml:space="preserve">.</w:t>
      </w:r>
    </w:p>
    <w:bookmarkEnd w:id="422"/>
    <w:bookmarkEnd w:id="423"/>
    <w:bookmarkEnd w:id="424"/>
    <w:bookmarkEnd w:id="42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2" Target="media/rId142.png" /><Relationship Type="http://schemas.openxmlformats.org/officeDocument/2006/relationships/image" Id="rId297" Target="media/rId297.png" /><Relationship Type="http://schemas.openxmlformats.org/officeDocument/2006/relationships/image" Id="rId304" Target="media/rId304.png" /><Relationship Type="http://schemas.openxmlformats.org/officeDocument/2006/relationships/image" Id="rId131" Target="media/rId131.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314" Target="media/rId314.png" /><Relationship Type="http://schemas.openxmlformats.org/officeDocument/2006/relationships/image" Id="rId343" Target="media/rId343.png" /><Relationship Type="http://schemas.openxmlformats.org/officeDocument/2006/relationships/image" Id="rId331" Target="media/rId331.png" /><Relationship Type="http://schemas.openxmlformats.org/officeDocument/2006/relationships/image" Id="rId323" Target="media/rId323.png" /><Relationship Type="http://schemas.openxmlformats.org/officeDocument/2006/relationships/image" Id="rId37" Target="media/rId37.png" /><Relationship Type="http://schemas.openxmlformats.org/officeDocument/2006/relationships/image" Id="rId149" Target="media/rId149.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152" Target="media/rId152.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155" Target="media/rId155.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158" Target="media/rId158.png" /><Relationship Type="http://schemas.openxmlformats.org/officeDocument/2006/relationships/image" Id="rId266" Target="media/rId266.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75" Target="media/rId275.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hyperlink" Id="rId380" Target="https://doi.org/10.1002/jqs.3236" TargetMode="External" /><Relationship Type="http://schemas.openxmlformats.org/officeDocument/2006/relationships/hyperlink" Id="rId419" Target="https://doi.org/10.1007/978-0-387-21706-2" TargetMode="External" /><Relationship Type="http://schemas.openxmlformats.org/officeDocument/2006/relationships/hyperlink" Id="rId383" Target="https://doi.org/10.1007/978-3-211-49294-9_4" TargetMode="External" /><Relationship Type="http://schemas.openxmlformats.org/officeDocument/2006/relationships/hyperlink" Id="rId403" Target="https://doi.org/10.1007/BF01908075" TargetMode="External" /><Relationship Type="http://schemas.openxmlformats.org/officeDocument/2006/relationships/hyperlink" Id="rId397" Target="https://doi.org/10.1007/s11258-006-9126-3" TargetMode="External" /><Relationship Type="http://schemas.openxmlformats.org/officeDocument/2006/relationships/hyperlink" Id="rId374" Target="https://doi.org/10.1007/s41982-017-0004-4" TargetMode="External" /><Relationship Type="http://schemas.openxmlformats.org/officeDocument/2006/relationships/hyperlink" Id="rId387" Target="https://doi.org/10.1007/s41982-025-00246-x" TargetMode="External" /><Relationship Type="http://schemas.openxmlformats.org/officeDocument/2006/relationships/hyperlink" Id="rId378" Target="https://doi.org/10.1016/j.jhevol.2011.06.005" TargetMode="External" /><Relationship Type="http://schemas.openxmlformats.org/officeDocument/2006/relationships/hyperlink" Id="rId372" Target="https://doi.org/10.1016/j.quascirev.2021.106995" TargetMode="External" /><Relationship Type="http://schemas.openxmlformats.org/officeDocument/2006/relationships/hyperlink" Id="rId393" Target="https://doi.org/10.1016/j.socnet.2020.11.005" TargetMode="External" /><Relationship Type="http://schemas.openxmlformats.org/officeDocument/2006/relationships/hyperlink" Id="rId399" Target="https://doi.org/10.1023/A:1023949509487" TargetMode="External" /><Relationship Type="http://schemas.openxmlformats.org/officeDocument/2006/relationships/hyperlink" Id="rId385" Target="https://doi.org/10.1038/nature03585" TargetMode="External" /><Relationship Type="http://schemas.openxmlformats.org/officeDocument/2006/relationships/hyperlink" Id="rId415" Target="https://doi.org/10.1046/j.1461-0248.2001.00230.x" TargetMode="External" /><Relationship Type="http://schemas.openxmlformats.org/officeDocument/2006/relationships/hyperlink" Id="rId421" Target="https://doi.org/10.1073/pnas.2520385123" TargetMode="External" /><Relationship Type="http://schemas.openxmlformats.org/officeDocument/2006/relationships/hyperlink" Id="rId405" Target="https://doi.org/10.1080/01621459.2022.2116331" TargetMode="External" /><Relationship Type="http://schemas.openxmlformats.org/officeDocument/2006/relationships/hyperlink" Id="rId389" Target="https://doi.org/10.1088/1742-5468/2008/10/P10008" TargetMode="External" /><Relationship Type="http://schemas.openxmlformats.org/officeDocument/2006/relationships/hyperlink" Id="rId411" Target="https://doi.org/10.1093/bioinformatics/btw438" TargetMode="External" /><Relationship Type="http://schemas.openxmlformats.org/officeDocument/2006/relationships/hyperlink" Id="rId407" Target="https://doi.org/10.1093/biostatistics/kxac047" TargetMode="External" /><Relationship Type="http://schemas.openxmlformats.org/officeDocument/2006/relationships/hyperlink" Id="rId391" Target="https://doi.org/10.1103/PhysRevE.69.026113" TargetMode="External" /><Relationship Type="http://schemas.openxmlformats.org/officeDocument/2006/relationships/hyperlink" Id="rId417" Target="https://doi.org/10.1111/2041-210X.12613" TargetMode="External" /><Relationship Type="http://schemas.openxmlformats.org/officeDocument/2006/relationships/hyperlink" Id="rId395" Target="https://doi.org/10.1198/108571102320" TargetMode="External" /><Relationship Type="http://schemas.openxmlformats.org/officeDocument/2006/relationships/hyperlink" Id="rId370" Target="https://doi.org/10.18637/jss.v022.i07" TargetMode="External" /><Relationship Type="http://schemas.openxmlformats.org/officeDocument/2006/relationships/hyperlink" Id="rId413" Target="https://doi.org/10.1890/11-1952.1" TargetMode="External" /><Relationship Type="http://schemas.openxmlformats.org/officeDocument/2006/relationships/hyperlink" Id="rId409" Target="https://doi.org/10.2307/2529826" TargetMode="External" /><Relationship Type="http://schemas.openxmlformats.org/officeDocument/2006/relationships/hyperlink" Id="rId376" Target="https://doi.org/10.30861/9781841718309" TargetMode="External" /><Relationship Type="http://schemas.openxmlformats.org/officeDocument/2006/relationships/hyperlink" Id="rId40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80" Target="https://doi.org/10.1002/jqs.3236" TargetMode="External" /><Relationship Type="http://schemas.openxmlformats.org/officeDocument/2006/relationships/hyperlink" Id="rId419" Target="https://doi.org/10.1007/978-0-387-21706-2" TargetMode="External" /><Relationship Type="http://schemas.openxmlformats.org/officeDocument/2006/relationships/hyperlink" Id="rId383" Target="https://doi.org/10.1007/978-3-211-49294-9_4" TargetMode="External" /><Relationship Type="http://schemas.openxmlformats.org/officeDocument/2006/relationships/hyperlink" Id="rId403" Target="https://doi.org/10.1007/BF01908075" TargetMode="External" /><Relationship Type="http://schemas.openxmlformats.org/officeDocument/2006/relationships/hyperlink" Id="rId397" Target="https://doi.org/10.1007/s11258-006-9126-3" TargetMode="External" /><Relationship Type="http://schemas.openxmlformats.org/officeDocument/2006/relationships/hyperlink" Id="rId374" Target="https://doi.org/10.1007/s41982-017-0004-4" TargetMode="External" /><Relationship Type="http://schemas.openxmlformats.org/officeDocument/2006/relationships/hyperlink" Id="rId387" Target="https://doi.org/10.1007/s41982-025-00246-x" TargetMode="External" /><Relationship Type="http://schemas.openxmlformats.org/officeDocument/2006/relationships/hyperlink" Id="rId378" Target="https://doi.org/10.1016/j.jhevol.2011.06.005" TargetMode="External" /><Relationship Type="http://schemas.openxmlformats.org/officeDocument/2006/relationships/hyperlink" Id="rId372" Target="https://doi.org/10.1016/j.quascirev.2021.106995" TargetMode="External" /><Relationship Type="http://schemas.openxmlformats.org/officeDocument/2006/relationships/hyperlink" Id="rId393" Target="https://doi.org/10.1016/j.socnet.2020.11.005" TargetMode="External" /><Relationship Type="http://schemas.openxmlformats.org/officeDocument/2006/relationships/hyperlink" Id="rId399" Target="https://doi.org/10.1023/A:1023949509487" TargetMode="External" /><Relationship Type="http://schemas.openxmlformats.org/officeDocument/2006/relationships/hyperlink" Id="rId385" Target="https://doi.org/10.1038/nature03585" TargetMode="External" /><Relationship Type="http://schemas.openxmlformats.org/officeDocument/2006/relationships/hyperlink" Id="rId415" Target="https://doi.org/10.1046/j.1461-0248.2001.00230.x" TargetMode="External" /><Relationship Type="http://schemas.openxmlformats.org/officeDocument/2006/relationships/hyperlink" Id="rId421" Target="https://doi.org/10.1073/pnas.2520385123" TargetMode="External" /><Relationship Type="http://schemas.openxmlformats.org/officeDocument/2006/relationships/hyperlink" Id="rId405" Target="https://doi.org/10.1080/01621459.2022.2116331" TargetMode="External" /><Relationship Type="http://schemas.openxmlformats.org/officeDocument/2006/relationships/hyperlink" Id="rId389" Target="https://doi.org/10.1088/1742-5468/2008/10/P10008" TargetMode="External" /><Relationship Type="http://schemas.openxmlformats.org/officeDocument/2006/relationships/hyperlink" Id="rId411" Target="https://doi.org/10.1093/bioinformatics/btw438" TargetMode="External" /><Relationship Type="http://schemas.openxmlformats.org/officeDocument/2006/relationships/hyperlink" Id="rId407" Target="https://doi.org/10.1093/biostatistics/kxac047" TargetMode="External" /><Relationship Type="http://schemas.openxmlformats.org/officeDocument/2006/relationships/hyperlink" Id="rId391" Target="https://doi.org/10.1103/PhysRevE.69.026113" TargetMode="External" /><Relationship Type="http://schemas.openxmlformats.org/officeDocument/2006/relationships/hyperlink" Id="rId417" Target="https://doi.org/10.1111/2041-210X.12613" TargetMode="External" /><Relationship Type="http://schemas.openxmlformats.org/officeDocument/2006/relationships/hyperlink" Id="rId395" Target="https://doi.org/10.1198/108571102320" TargetMode="External" /><Relationship Type="http://schemas.openxmlformats.org/officeDocument/2006/relationships/hyperlink" Id="rId370" Target="https://doi.org/10.18637/jss.v022.i07" TargetMode="External" /><Relationship Type="http://schemas.openxmlformats.org/officeDocument/2006/relationships/hyperlink" Id="rId413" Target="https://doi.org/10.1890/11-1952.1" TargetMode="External" /><Relationship Type="http://schemas.openxmlformats.org/officeDocument/2006/relationships/hyperlink" Id="rId409" Target="https://doi.org/10.2307/2529826" TargetMode="External" /><Relationship Type="http://schemas.openxmlformats.org/officeDocument/2006/relationships/hyperlink" Id="rId376" Target="https://doi.org/10.30861/9781841718309" TargetMode="External" /><Relationship Type="http://schemas.openxmlformats.org/officeDocument/2006/relationships/hyperlink" Id="rId40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2026-09-05T23:28:54Z</dcterms:created>
  <dcterms:modified xsi:type="dcterms:W3CDTF">2026-09-05T23:28:54Z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