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do</w:t>
      </w:r>
      <w:r>
        <w:t xml:space="preserve"> </w:t>
      </w:r>
      <w:r>
        <w:t xml:space="preserve">not</w:t>
      </w:r>
      <w:r>
        <w:t xml:space="preserve"> </w:t>
      </w:r>
      <w:r>
        <w:t xml:space="preserve">reveal</w:t>
      </w:r>
      <w:r>
        <w:t xml:space="preserve"> </w:t>
      </w:r>
      <w:r>
        <w:t xml:space="preserve">geographically</w:t>
      </w:r>
      <w:r>
        <w:t xml:space="preserve"> </w:t>
      </w:r>
      <w:r>
        <w:t xml:space="preserve">distinct</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The early phase has a larger site network, but permutation tests indicate that the phases do not differ significantly in edge density, modularity, mean betweenness, or component count. Size-normalized mean degree ratios are equivalent across phases, confirming the observed connectivity differences track network size rather than intrinsic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This sample of geometric signs does not show the geographically distinct clusters found in personal ornaments; their function (e.g.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 same procedure as S1 S5.11).</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 Object-within-site bootstrap stability bands likewise overlap between phases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rather than fixed, richness–effort exponent is consistent with a residual group difference at equal object count; however, this estimate is imprecise because the sample is small and group membership is strongly collinear with object count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having protocuneiform-like information density, suggesting notational function, or</w:t>
      </w:r>
      <w:r>
        <w:t xml:space="preserve"> </w:t>
      </w:r>
      <w:r>
        <w:t xml:space="preserve">[107]</w:t>
      </w:r>
      <w:r>
        <w:t xml:space="preserve">’s claim that some sign recording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A negative-binomial regression with an estimated richness–effort exponent finds the group contrast persists at equal object count (rate ratio 2.31, p = 0.003).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[106–111]</w:t>
      </w:r>
      <w:r>
        <w:t xml:space="preserve">. Our findings are consistent with the conclusions of</w:t>
      </w:r>
      <w:r>
        <w:t xml:space="preserve"> </w:t>
      </w:r>
      <w:r>
        <w:t xml:space="preserve">[95]</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do not reveal geographically distinct cultural groups in the Aurignacian</dc:title>
  <dc:creator>Sophie Cooper1, Aleah Rosner1, Eva Oryn1, Kenneth B. Vernon2, and Ben Marwick1,✉</dc:creator>
  <cp:keywords/>
  <dcterms:created xsi:type="dcterms:W3CDTF">2026-09-06T06:44:00Z</dcterms:created>
  <dcterms:modified xsi:type="dcterms:W3CDTF">2026-09-06T06:44:00Z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