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98.png" ContentType="image/png"/>
  <Override PartName="/word/media/rId101.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3"/>
    <w:bookmarkEnd w:id="84"/>
    <w:bookmarkStart w:id="117"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11" w:name="sec-s6-3"/>
    <w:p>
      <w:pPr>
        <w:pStyle w:val="Heading2"/>
      </w:pPr>
      <w:r>
        <w:t xml:space="preserve">S6.3 Stochastic Block Models</w:t>
      </w:r>
    </w:p>
    <w:bookmarkStart w:id="109"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cultural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7"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0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8"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08"/>
        </w:tc>
      </w:tr>
    </w:tbl>
    <w:bookmarkEnd w:id="109"/>
    <w:bookmarkStart w:id="110"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10"/>
    <w:bookmarkEnd w:id="111"/>
    <w:bookmarkStart w:id="115" w:name="sec-s6-4"/>
    <w:p>
      <w:pPr>
        <w:pStyle w:val="Heading2"/>
      </w:pPr>
      <w:r>
        <w:t xml:space="preserve">S6.4 Cross-Validation of Group Assignments (ARI)</w:t>
      </w:r>
    </w:p>
    <w:bookmarkStart w:id="113"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12"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12"/>
        </w:tc>
      </w:tr>
    </w:tbl>
    <w:bookmarkEnd w:id="113"/>
    <w:bookmarkStart w:id="114"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the stochastic block model selects a single block in both phases (S6.3); the SBM therefore provides no two-group ARI, and its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114"/>
    <w:bookmarkEnd w:id="115"/>
    <w:bookmarkStart w:id="116"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116"/>
    <w:bookmarkEnd w:id="117"/>
    <w:bookmarkStart w:id="121" w:name="sec-s6-6"/>
    <w:p>
      <w:pPr>
        <w:pStyle w:val="Heading1"/>
      </w:pPr>
      <w:r>
        <w:t xml:space="preserve">S6.6 Circularity-Breaking Validation of the Restricted/Broad Group Difference</w:t>
      </w:r>
    </w:p>
    <w:bookmarkStart w:id="120" w:name="rationale-6"/>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4"/>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4"/>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4"/>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118"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0.352</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1</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22: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118"/>
        </w:tc>
      </w:tr>
    </w:tbl>
    <w:bookmarkStart w:id="119" w:name="interpretation-3"/>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w:t>
      </w:r>
      <w:r>
        <w:t xml:space="preserve"> </w:t>
      </w:r>
      <w:r>
        <w:t xml:space="preserve">-</w:t>
      </w:r>
      <w:r>
        <w:t xml:space="preserve"> </w:t>
      </w:r>
      <w:r>
        <w:rPr>
          <w:iCs/>
          <w:i/>
        </w:rPr>
        <w:t xml:space="preserve">Answer:</w:t>
      </w:r>
      <w:r>
        <w:t xml:space="preserve"> </w:t>
      </w:r>
      <w:r>
        <w:t xml:space="preserve">No. The observed optimal split is</w:t>
      </w:r>
      <w:r>
        <w:t xml:space="preserve"> </w:t>
      </w:r>
      <w:r>
        <w:rPr>
          <w:bCs/>
          <w:b/>
        </w:rPr>
        <w:t xml:space="preserve">not</w:t>
      </w:r>
      <w:r>
        <w:t xml:space="preserve"> </w:t>
      </w:r>
      <w:r>
        <w:t xml:space="preserve">significant (Aur-P1 observed optimal pseudo-F = 5.25, permutation p = 0.352; Aur-P2 observed optimal pseudo-F = 2.2, permutation p = 1). This is consistent with, not contradictory to, the conclusions from strategies B and C below: because B and C independently show the contrast is recoverable from withheld data, the non-significance of A is best read as evidence against a</w:t>
      </w:r>
      <w:r>
        <w:t xml:space="preserve"> </w:t>
      </w:r>
      <w:r>
        <w:rPr>
          <w:iCs/>
          <w:i/>
        </w:rPr>
        <w:t xml:space="preserve">sharp discontinuous partition</w:t>
      </w:r>
      <w:r>
        <w:t xml:space="preserve"> </w:t>
      </w:r>
      <w:r>
        <w:t xml:space="preserve">rather than against the contrast existing. The restricted/broad contrast is therefore a real, recoverable</w:t>
      </w:r>
      <w:r>
        <w:t xml:space="preserve"> </w:t>
      </w:r>
      <w:r>
        <w:rPr>
          <w:iCs/>
          <w:i/>
        </w:rPr>
        <w:t xml:space="preserve">gradient/axis of variation</w:t>
      </w:r>
      <w:r>
        <w:t xml:space="preserve">, but it is not a sharp partition that survives the most stringent</w:t>
      </w:r>
      <w:r>
        <w:t xml:space="preserve"> </w:t>
      </w:r>
      <w:r>
        <w:t xml:space="preserve">“</w:t>
      </w:r>
      <w:r>
        <w:t xml:space="preserve">optimisation-accounted-for</w:t>
      </w:r>
      <w:r>
        <w:t xml:space="preserve">”</w:t>
      </w:r>
      <w:r>
        <w:t xml:space="preserve"> </w:t>
      </w:r>
      <w:r>
        <w:t xml:space="preserve">null.</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w:t>
      </w:r>
      <w:r>
        <w:t xml:space="preserve"> </w:t>
      </w:r>
      <w:r>
        <w:t xml:space="preserve">restricted/broad contrast is not a circularity artefact: the grouping is</w:t>
      </w:r>
      <w:r>
        <w:t xml:space="preserve"> </w:t>
      </w:r>
      <w:r>
        <w:t xml:space="preserve">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p>
    <w:bookmarkEnd w:id="119"/>
    <w:bookmarkEnd w:id="120"/>
    <w:bookmarkEnd w:id="121"/>
    <w:bookmarkStart w:id="138" w:name="sec-s7"/>
    <w:p>
      <w:pPr>
        <w:pStyle w:val="Heading1"/>
      </w:pPr>
      <w:r>
        <w:t xml:space="preserve">S7. Object-Type Sensitivity: Figurine Exclusion</w:t>
      </w:r>
    </w:p>
    <w:bookmarkStart w:id="122"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22"/>
    <w:bookmarkStart w:id="12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2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23: Distribution of figurine objects across phases and sites. Figurine types include figurine zoomorph, figurine anthropomorph, figurine undet., and possible figurine.</w:t>
            </w:r>
          </w:p>
          <w:bookmarkEnd w:id="123"/>
        </w:tc>
      </w:tr>
    </w:tbl>
    <w:p>
      <w:pPr>
        <w:pStyle w:val="BodyText"/>
      </w:pPr>
      <w:hyperlink w:anchor="tbl-figurine-count">
        <w:r>
          <w:rPr>
            <w:rStyle w:val="Hyperlink"/>
          </w:rPr>
          <w:t xml:space="preserve">Table 23</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24"/>
    <w:bookmarkStart w:id="129" w:name="s7.3-analysis-1-exclude-all-figurines"/>
    <w:p>
      <w:pPr>
        <w:pStyle w:val="Heading2"/>
      </w:pPr>
      <w:r>
        <w:t xml:space="preserve">S7.3 Analysis 1: Exclude All Figurines</w:t>
      </w:r>
    </w:p>
    <w:bookmarkStart w:id="12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25"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24: Network statistics before and after excluding all figurine objects (figurine zoomorph, figurine anthropomorph, figurine undet., and possible figurine). Threshold = 0.2, Jaccard similarity.</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25: Number of sites per phase before and after figurine exclusion. Sites are lost when all objects at that site are figurines.</w:t>
            </w:r>
          </w:p>
          <w:bookmarkEnd w:id="126"/>
        </w:tc>
      </w:tr>
    </w:tbl>
    <w:bookmarkEnd w:id="127"/>
    <w:bookmarkStart w:id="128" w:name="interpretation-4"/>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28"/>
    <w:bookmarkEnd w:id="129"/>
    <w:bookmarkStart w:id="134" w:name="X7549e60451b9f7bbee640100d361a0cf771ac62"/>
    <w:p>
      <w:pPr>
        <w:pStyle w:val="Heading2"/>
      </w:pPr>
      <w:r>
        <w:t xml:space="preserve">S7.4 Analysis 2: Exclude Vogelherd Figurines Only</w:t>
      </w:r>
    </w:p>
    <w:bookmarkStart w:id="13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30"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26: Network statistics before and after excluding figurines from Vogelherd only. All other figurines (Hohle Fels, Geissenklösterle, Hohlenstein-Stadel, La Ferrassie) are retained. Threshold = 0.2, Jaccard similarity.</w:t>
            </w:r>
          </w:p>
          <w:bookmarkEnd w:id="1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27: Vogelherd object counts before and after removing figurines. Non-figurine objects at Vogelherd (tools, plaquettes, etc.) are retained.</w:t>
            </w:r>
          </w:p>
          <w:bookmarkEnd w:id="131"/>
        </w:tc>
      </w:tr>
    </w:tbl>
    <w:bookmarkEnd w:id="132"/>
    <w:bookmarkStart w:id="133" w:name="interpretation-5"/>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33"/>
    <w:bookmarkEnd w:id="134"/>
    <w:bookmarkStart w:id="13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35"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28: Side-by-side comparison of network statistics across all conditions: baseline (all objects), exclude all figurines, and exclude Vogelherd figurines only. The rightmost columns show the percentage change in mean degree from baseline.</w:t>
            </w:r>
          </w:p>
          <w:bookmarkEnd w:id="135"/>
        </w:tc>
      </w:tr>
    </w:tbl>
    <w:bookmarkEnd w:id="136"/>
    <w:bookmarkStart w:id="137"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28</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37"/>
    <w:bookmarkEnd w:id="138"/>
    <w:bookmarkStart w:id="170" w:name="sec-s8"/>
    <w:p>
      <w:pPr>
        <w:pStyle w:val="Heading1"/>
      </w:pPr>
      <w:r>
        <w:t xml:space="preserve">S8. Site Reclassification Sensitivity Analysis</w:t>
      </w:r>
    </w:p>
    <w:bookmarkStart w:id="139"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5"/>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5"/>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5"/>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5"/>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39"/>
    <w:bookmarkStart w:id="142"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4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29: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40"/>
        </w:tc>
      </w:tr>
    </w:tbl>
    <w:bookmarkStart w:id="14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41"/>
    <w:bookmarkEnd w:id="142"/>
    <w:bookmarkStart w:id="143"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43"/>
    <w:bookmarkStart w:id="144"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44"/>
    <w:bookmarkStart w:id="169" w:name="references-cited"/>
    <w:p>
      <w:pPr>
        <w:pStyle w:val="Heading2"/>
      </w:pPr>
      <w:r>
        <w:t xml:space="preserve">References cited</w:t>
      </w:r>
    </w:p>
    <w:bookmarkStart w:id="168" w:name="refs"/>
    <w:bookmarkStart w:id="146"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45">
        <w:r>
          <w:rPr>
            <w:rStyle w:val="Hyperlink"/>
          </w:rPr>
          <w:t xml:space="preserve">https://doi.org/10.1016/j.quascirev.2021.106995</w:t>
        </w:r>
      </w:hyperlink>
      <w:r>
        <w:t xml:space="preserve">.</w:t>
      </w:r>
    </w:p>
    <w:bookmarkEnd w:id="146"/>
    <w:bookmarkStart w:id="148"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47">
        <w:r>
          <w:rPr>
            <w:rStyle w:val="Hyperlink"/>
          </w:rPr>
          <w:t xml:space="preserve">https://doi.org/10.1007/s41982-017-0004-4</w:t>
        </w:r>
      </w:hyperlink>
      <w:r>
        <w:t xml:space="preserve">.</w:t>
      </w:r>
    </w:p>
    <w:bookmarkEnd w:id="148"/>
    <w:bookmarkStart w:id="150"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49">
        <w:r>
          <w:rPr>
            <w:rStyle w:val="Hyperlink"/>
          </w:rPr>
          <w:t xml:space="preserve">https://doi.org/10.1103/PhysRevE.69.026113</w:t>
        </w:r>
      </w:hyperlink>
      <w:r>
        <w:t xml:space="preserve">.</w:t>
      </w:r>
    </w:p>
    <w:bookmarkEnd w:id="150"/>
    <w:bookmarkStart w:id="152"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51">
        <w:r>
          <w:rPr>
            <w:rStyle w:val="Hyperlink"/>
          </w:rPr>
          <w:t xml:space="preserve">https://doi.org/10.1023/A:1023949509487</w:t>
        </w:r>
      </w:hyperlink>
      <w:r>
        <w:t xml:space="preserve">.</w:t>
      </w:r>
    </w:p>
    <w:bookmarkEnd w:id="152"/>
    <w:bookmarkStart w:id="154"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53">
        <w:r>
          <w:rPr>
            <w:rStyle w:val="Hyperlink"/>
          </w:rPr>
          <w:t xml:space="preserve">https://doi.org/10.1073/pnas.2520385123</w:t>
        </w:r>
      </w:hyperlink>
      <w:r>
        <w:t xml:space="preserve">.</w:t>
      </w:r>
    </w:p>
    <w:bookmarkEnd w:id="154"/>
    <w:bookmarkStart w:id="156"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55">
        <w:r>
          <w:rPr>
            <w:rStyle w:val="Hyperlink"/>
          </w:rPr>
          <w:t xml:space="preserve">https://doi.org/10.30861/9781841718309</w:t>
        </w:r>
      </w:hyperlink>
      <w:r>
        <w:t xml:space="preserve">.</w:t>
      </w:r>
    </w:p>
    <w:bookmarkEnd w:id="156"/>
    <w:bookmarkStart w:id="158"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57">
        <w:r>
          <w:rPr>
            <w:rStyle w:val="Hyperlink"/>
          </w:rPr>
          <w:t xml:space="preserve">https://doi.org/10.1016/j.jhevol.2011.06.005</w:t>
        </w:r>
      </w:hyperlink>
      <w:r>
        <w:t xml:space="preserve">.</w:t>
      </w:r>
    </w:p>
    <w:bookmarkEnd w:id="158"/>
    <w:bookmarkStart w:id="160"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59">
        <w:r>
          <w:rPr>
            <w:rStyle w:val="Hyperlink"/>
          </w:rPr>
          <w:t xml:space="preserve">https://doi.org/10.1002/jqs.3236</w:t>
        </w:r>
      </w:hyperlink>
      <w:r>
        <w:t xml:space="preserve">.</w:t>
      </w:r>
    </w:p>
    <w:bookmarkEnd w:id="160"/>
    <w:bookmarkStart w:id="161"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61"/>
    <w:bookmarkStart w:id="163"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62">
        <w:r>
          <w:rPr>
            <w:rStyle w:val="Hyperlink"/>
          </w:rPr>
          <w:t xml:space="preserve">https://doi.org/10.1007/978-3-211-49294-9_4</w:t>
        </w:r>
      </w:hyperlink>
      <w:r>
        <w:t xml:space="preserve">.</w:t>
      </w:r>
    </w:p>
    <w:bookmarkEnd w:id="163"/>
    <w:bookmarkStart w:id="165"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64">
        <w:r>
          <w:rPr>
            <w:rStyle w:val="Hyperlink"/>
          </w:rPr>
          <w:t xml:space="preserve">https://doi.org/10.1038/nature03585</w:t>
        </w:r>
      </w:hyperlink>
      <w:r>
        <w:t xml:space="preserve">.</w:t>
      </w:r>
    </w:p>
    <w:bookmarkEnd w:id="165"/>
    <w:bookmarkStart w:id="167"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66">
        <w:r>
          <w:rPr>
            <w:rStyle w:val="Hyperlink"/>
          </w:rPr>
          <w:t xml:space="preserve">https://doi.org/10.1007/s41982-025-00246-x</w:t>
        </w:r>
      </w:hyperlink>
      <w:r>
        <w:t xml:space="preserve">.</w:t>
      </w:r>
    </w:p>
    <w:bookmarkEnd w:id="167"/>
    <w:bookmarkEnd w:id="168"/>
    <w:bookmarkEnd w:id="169"/>
    <w:bookmarkEnd w:id="170"/>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hyperlink" Id="rId159" Target="https://doi.org/10.1002/jqs.3236" TargetMode="External" /><Relationship Type="http://schemas.openxmlformats.org/officeDocument/2006/relationships/hyperlink" Id="rId162" Target="https://doi.org/10.1007/978-3-211-49294-9_4" TargetMode="External" /><Relationship Type="http://schemas.openxmlformats.org/officeDocument/2006/relationships/hyperlink" Id="rId147" Target="https://doi.org/10.1007/s41982-017-0004-4" TargetMode="External" /><Relationship Type="http://schemas.openxmlformats.org/officeDocument/2006/relationships/hyperlink" Id="rId166" Target="https://doi.org/10.1007/s41982-025-00246-x" TargetMode="External" /><Relationship Type="http://schemas.openxmlformats.org/officeDocument/2006/relationships/hyperlink" Id="rId157" Target="https://doi.org/10.1016/j.jhevol.2011.06.005" TargetMode="External" /><Relationship Type="http://schemas.openxmlformats.org/officeDocument/2006/relationships/hyperlink" Id="rId145" Target="https://doi.org/10.1016/j.quascirev.2021.106995" TargetMode="External" /><Relationship Type="http://schemas.openxmlformats.org/officeDocument/2006/relationships/hyperlink" Id="rId151" Target="https://doi.org/10.1023/A:1023949509487" TargetMode="External" /><Relationship Type="http://schemas.openxmlformats.org/officeDocument/2006/relationships/hyperlink" Id="rId164" Target="https://doi.org/10.1038/nature03585" TargetMode="External" /><Relationship Type="http://schemas.openxmlformats.org/officeDocument/2006/relationships/hyperlink" Id="rId153" Target="https://doi.org/10.1073/pnas.2520385123" TargetMode="External" /><Relationship Type="http://schemas.openxmlformats.org/officeDocument/2006/relationships/hyperlink" Id="rId149" Target="https://doi.org/10.1103/PhysRevE.69.026113" TargetMode="External" /><Relationship Type="http://schemas.openxmlformats.org/officeDocument/2006/relationships/hyperlink" Id="rId155"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2/jqs.3236" TargetMode="External" /><Relationship Type="http://schemas.openxmlformats.org/officeDocument/2006/relationships/hyperlink" Id="rId162" Target="https://doi.org/10.1007/978-3-211-49294-9_4" TargetMode="External" /><Relationship Type="http://schemas.openxmlformats.org/officeDocument/2006/relationships/hyperlink" Id="rId147" Target="https://doi.org/10.1007/s41982-017-0004-4" TargetMode="External" /><Relationship Type="http://schemas.openxmlformats.org/officeDocument/2006/relationships/hyperlink" Id="rId166" Target="https://doi.org/10.1007/s41982-025-00246-x" TargetMode="External" /><Relationship Type="http://schemas.openxmlformats.org/officeDocument/2006/relationships/hyperlink" Id="rId157" Target="https://doi.org/10.1016/j.jhevol.2011.06.005" TargetMode="External" /><Relationship Type="http://schemas.openxmlformats.org/officeDocument/2006/relationships/hyperlink" Id="rId145" Target="https://doi.org/10.1016/j.quascirev.2021.106995" TargetMode="External" /><Relationship Type="http://schemas.openxmlformats.org/officeDocument/2006/relationships/hyperlink" Id="rId151" Target="https://doi.org/10.1023/A:1023949509487" TargetMode="External" /><Relationship Type="http://schemas.openxmlformats.org/officeDocument/2006/relationships/hyperlink" Id="rId164" Target="https://doi.org/10.1038/nature03585" TargetMode="External" /><Relationship Type="http://schemas.openxmlformats.org/officeDocument/2006/relationships/hyperlink" Id="rId153" Target="https://doi.org/10.1073/pnas.2520385123" TargetMode="External" /><Relationship Type="http://schemas.openxmlformats.org/officeDocument/2006/relationships/hyperlink" Id="rId149" Target="https://doi.org/10.1103/PhysRevE.69.026113" TargetMode="External" /><Relationship Type="http://schemas.openxmlformats.org/officeDocument/2006/relationships/hyperlink" Id="rId155"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2026-08-24T20:30:38Z</dcterms:created>
  <dcterms:modified xsi:type="dcterms:W3CDTF">2026-08-24T20:30:38Z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