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p>
      <w:pPr>
        <w:pStyle w:val="BodyText"/>
      </w:pPr>
      <w:r>
        <w:t xml:space="preserve">```</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and that in Aur-P2 it reproduces the data-driven structure for the broad-range sites in particular (ARI = 0.556 at threshold 0.2, driven by Louvain’s exact recovery of the broad-range community). More importantly, the PerMANOVA comparison shows that the manual grouping is conservative rather than circular: the algorithmically derived partitions consistently explain more variance than the manual ones, meaning the main-text R² values (0.196 in Aur-P1 and 0.223 in Aur-P2) underestimate the true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122% more sites than Aur-P2 (9 sites), and larger networks mechanically produce higher mean degree and modularity even under random wiring. The Erdos-Renyi normalisation shows that this confound does not drive the main-text results. Mean degree ratios are reported for both phases (Aur-P1 1.00, Aur-P2 1.01), confirming whether the observed mean degrees are consistent with random expectation for networks of these sizes , noting that Erdos-Renyi preserves edge density, so a ratio near 1 does not mean the networks lack structure. The modularity ratios tell the real story: Aur-P1 (1.90) and Aur-P2 (1.27) are compared against the random expectation for a network of the same size, so any main-text claim that one phase is more internally structured than the other is evaluated net of the 20-versus-9 site asymmetry rather than as an artefact of it.</w:t>
      </w:r>
    </w:p>
    <w:bookmarkEnd w:id="83"/>
    <w:bookmarkEnd w:id="84"/>
    <w:bookmarkStart w:id="105"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[4]</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99" w:name="sec-s6-3"/>
    <w:p>
      <w:pPr>
        <w:pStyle w:val="Heading2"/>
      </w:pPr>
      <w:r>
        <w:t xml:space="preserve">S6.3 Stochastic Block Models</w:t>
      </w:r>
    </w:p>
    <w:bookmarkStart w:id="97"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tbl>
      <w:tblPr>
        <w:tblStyle w:val="Table"/>
        <w:tblW w:type="pct" w:w="5000"/>
        <w:tblLook w:firstRow="0" w:lastRow="0" w:firstColumn="0" w:lastColumn="0" w:noHBand="0" w:noVBand="0" w:val="0000"/>
        <w:jc w:val="start"/>
        <w:tblLayout w:type="fixed"/>
      </w:tblPr>
      <w:tblGrid>
        <w:gridCol w:w="7920"/>
      </w:tblGrid>
      <w:tr>
        <w:tc>
          <w:tcPr/>
          <w:bookmarkStart w:id="95"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-257.9</w:t>
                  </w:r>
                </w:p>
              </w:tc>
              <w:tc>
                <w:tcPr/>
                <w:p>
                  <w:pPr>
                    <w:pStyle w:val="Compact"/>
                    <w:jc w:val="center"/>
                    <w:jc w:val="center"/>
                  </w:pPr>
                  <w:r>
                    <w:t xml:space="preserve">-212.5</w:t>
                  </w:r>
                </w:p>
              </w:tc>
              <w:tc>
                <w:tcPr/>
                <w:p>
                  <w:pPr>
                    <w:pStyle w:val="Compact"/>
                    <w:jc w:val="center"/>
                    <w:jc w:val="center"/>
                  </w:pPr>
                  <w:r>
                    <w:t xml:space="preserve">-192.1</w:t>
                  </w:r>
                </w:p>
              </w:tc>
              <w:tc>
                <w:tcPr/>
                <w:p>
                  <w:pPr>
                    <w:pStyle w:val="Compact"/>
                    <w:jc w:val="center"/>
                    <w:jc w:val="center"/>
                  </w:pPr>
                  <w:r>
                    <w:t xml:space="preserve">-194.1</w:t>
                  </w:r>
                </w:p>
              </w:tc>
              <w:tc>
                <w:tcPr/>
                <w:p>
                  <w:pPr>
                    <w:pStyle w:val="Compact"/>
                    <w:jc w:val="center"/>
                    <w:jc w:val="center"/>
                  </w:pPr>
                  <w:r>
                    <w:t xml:space="preserve">-198.7</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center"/>
                    <w:jc w:val="center"/>
                  </w:pPr>
                  <w:r>
                    <w:t xml:space="preserve">-51.9</w:t>
                  </w:r>
                </w:p>
              </w:tc>
              <w:tc>
                <w:tcPr/>
                <w:p>
                  <w:pPr>
                    <w:pStyle w:val="Compact"/>
                    <w:jc w:val="center"/>
                    <w:jc w:val="center"/>
                  </w:pPr>
                  <w:r>
                    <w:t xml:space="preserve">-52.3</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9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6" w:name="tbl-sbm-membership"/>
          <w:tbl>
            <w:tblPr>
              <w:tblStyle w:val="Table"/>
              <w:tblW w:type="pct" w:w="5000"/>
              <w:tblLook w:firstRow="1" w:lastRow="0" w:firstColumn="0" w:lastColumn="0" w:noHBand="0" w:noVBand="0" w:val="0020"/>
              <w:jc w:val="start"/>
              <w:tblLayout w:type="fixed"/>
            </w:tblPr>
            <w:tblGrid>
              <w:gridCol w:w="2299"/>
              <w:gridCol w:w="596"/>
              <w:gridCol w:w="2299"/>
              <w:gridCol w:w="1107"/>
              <w:gridCol w:w="510"/>
              <w:gridCol w:w="510"/>
              <w:gridCol w:w="59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c>
                <w:tcPr/>
                <w:p>
                  <w:pPr>
                    <w:pStyle w:val="Compact"/>
                    <w:jc w:val="left"/>
                    <w:jc w:val="center"/>
                  </w:pPr>
                  <w:r>
                    <w:t xml:space="preserve">P(B2)</w:t>
                  </w:r>
                </w:p>
              </w:tc>
              <w:tc>
                <w:tcPr/>
                <w:p>
                  <w:pPr>
                    <w:pStyle w:val="Compact"/>
                    <w:jc w:val="center"/>
                    <w:jc w:val="center"/>
                  </w:pPr>
                  <w:r>
                    <w:t xml:space="preserve">P(B3)</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96"/>
        </w:tc>
      </w:tr>
    </w:tbl>
    <w:bookmarkEnd w:id="97"/>
    <w:bookmarkStart w:id="98"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In</w:t>
      </w:r>
      <w:r>
        <w:t xml:space="preserve"> </w:t>
      </w:r>
      <w:r>
        <w:rPr>
          <w:bCs/>
          <w:b/>
        </w:rPr>
        <w:t xml:space="preserve">Aur-P1</w:t>
      </w:r>
      <w:r>
        <w:t xml:space="preserve"> </w:t>
      </w:r>
      <w:r>
        <w:t xml:space="preserve">the best-supported model contains 3 blocks, and in</w:t>
      </w:r>
      <w:r>
        <w:t xml:space="preserve"> </w:t>
      </w:r>
      <w:r>
        <w:rPr>
          <w:bCs/>
          <w:b/>
        </w:rPr>
        <w:t xml:space="preserve">Aur-P2</w:t>
      </w:r>
      <w:r>
        <w:t xml:space="preserve"> </w:t>
      </w:r>
      <w:r>
        <w:t xml:space="preserve">it contains 1 block. The ICL gap between the best and second-best model quantifies how decisively the optimum is preferred ( NA in Aur-P1 and NA in Aur-P2); the comparison between the two phases tells the reader how much more strongly the block structure is determined in the better-sampled early phase.</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every site is assigned to its modal block with posterior probability ≥ 0.00, so the SBM is never equivocal about the partition it identifies, and the informative quantity is the number of blocks chosen and how those blocks map onto the manual restricted/broad groups rather than the confidence of individual assignments. In</w:t>
      </w:r>
      <w:r>
        <w:t xml:space="preserve"> </w:t>
      </w:r>
      <w:r>
        <w:rPr>
          <w:bCs/>
          <w:b/>
        </w:rPr>
        <w:t xml:space="preserve">Aur-P1</w:t>
      </w:r>
      <w:r>
        <w:t xml:space="preserve"> </w:t>
      </w:r>
      <w:r>
        <w:t xml:space="preserve">the best-supported model contains 3 blocks, and after aligning each SBM block to the nearest manual group it diverges on 1 of 20 sites (Labeko Koba). In</w:t>
      </w:r>
      <w:r>
        <w:t xml:space="preserve"> </w:t>
      </w:r>
      <w:r>
        <w:rPr>
          <w:bCs/>
          <w:b/>
        </w:rPr>
        <w:t xml:space="preserve">Aur-P2</w:t>
      </w:r>
      <w:r>
        <w:t xml:space="preserve"> </w:t>
      </w:r>
      <w:r>
        <w:t xml:space="preserve">the SBM selects a</w:t>
      </w:r>
      <w:r>
        <w:t xml:space="preserve"> </w:t>
      </w:r>
      <w:r>
        <w:rPr>
          <w:bCs/>
          <w:b/>
        </w:rPr>
        <w:t xml:space="preserve">single block</w:t>
      </w:r>
      <w:r>
        <w:t xml:space="preserve">: its ICL profile is essentially flat (the gap between the one- and two-block solutions is NA), so the sparse sign-sharing network of the late phase does not support a two-block partition at all, and the model-based route neither corroborates nor contradicts the manual split there.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effectively certain (each site’s modal block receives posterior ≥ 0.00) for the partition the model identifies, so the model is rarely equivocal about its own grouping; the important information lies in</w:t>
      </w:r>
      <w:r>
        <w:t xml:space="preserve"> </w:t>
      </w:r>
      <w:r>
        <w:rPr>
          <w:iCs/>
          <w:i/>
        </w:rPr>
        <w:t xml:space="preserve">how many</w:t>
      </w:r>
      <w:r>
        <w:t xml:space="preserve"> </w:t>
      </w:r>
      <w:r>
        <w:t xml:space="preserve">blocks the model chooses and how far that partition diverges from the manual restricted/broad assignment. The SBM does not settle on two blocks in either phase under the revised data: in Aur-P1 it favours 3 blocks, and in Aur-P2 a single block, so the two-group structure is not independently recovered by the generative model, and the restricted/broad dichotomy should be read as the dominant axis of variation rather than a partition that emerges from the data through an unsupervised model. These results complement, rather than supersede, the bootstrap analysis: the bootstrap quantifies sampling stability of the main-text partition, while the SBM asks whether an independent generative model reproduces it.</w:t>
      </w:r>
    </w:p>
    <w:bookmarkEnd w:id="98"/>
    <w:bookmarkEnd w:id="99"/>
    <w:bookmarkStart w:id="103" w:name="sec-s6-4"/>
    <w:p>
      <w:pPr>
        <w:pStyle w:val="Heading2"/>
      </w:pPr>
      <w:r>
        <w:t xml:space="preserve">S6.4 Cross-Validation of Group Assignments (ARI)</w:t>
      </w:r>
    </w:p>
    <w:bookmarkStart w:id="101"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00"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w:t>
                  </w:r>
                </w:p>
              </w:tc>
              <w:tc>
                <w:tcPr/>
                <w:p>
                  <w:pPr>
                    <w:pStyle w:val="Compact"/>
                    <w:jc w:val="center"/>
                    <w:jc w:val="center"/>
                  </w:pPr>
                  <w:r>
                    <w:t xml:space="preserve">0.7</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w:t>
            </w:r>
          </w:p>
          <w:bookmarkEnd w:id="100"/>
        </w:tc>
      </w:tr>
    </w:tbl>
    <w:bookmarkEnd w:id="101"/>
    <w:bookmarkStart w:id="102"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02"/>
    <w:bookmarkEnd w:id="103"/>
    <w:bookmarkStart w:id="104"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 and that the Aur-P2 results rest on only 9 sites.</w:t>
      </w:r>
    </w:p>
    <w:bookmarkEnd w:id="104"/>
    <w:bookmarkEnd w:id="105"/>
    <w:bookmarkStart w:id="122" w:name="sec-s7"/>
    <w:p>
      <w:pPr>
        <w:pStyle w:val="Heading1"/>
      </w:pPr>
      <w:r>
        <w:t xml:space="preserve">S7. Object-Type Sensitivity: Figurine Exclusion</w:t>
      </w:r>
    </w:p>
    <w:bookmarkStart w:id="106" w:name="s7.1-rationale"/>
    <w:p>
      <w:pPr>
        <w:pStyle w:val="Heading2"/>
      </w:pPr>
      <w:r>
        <w:t xml:space="preserve">S7.1 Rationale</w:t>
      </w:r>
    </w:p>
    <w:p>
      <w:pPr>
        <w:pStyle w:val="FirstParagraph"/>
      </w:pPr>
      <w:r>
        <w:t xml:space="preserve">[5]</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06"/>
    <w:bookmarkStart w:id="108"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0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07"/>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08"/>
    <w:bookmarkStart w:id="113" w:name="s7.3-analysis-1-exclude-all-figurines"/>
    <w:p>
      <w:pPr>
        <w:pStyle w:val="Heading2"/>
      </w:pPr>
      <w:r>
        <w:t xml:space="preserve">S7.3 Analysis 1: Exclude All Figurines</w:t>
      </w:r>
    </w:p>
    <w:bookmarkStart w:id="111"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09"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0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0"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10"/>
        </w:tc>
      </w:tr>
    </w:tbl>
    <w:bookmarkEnd w:id="111"/>
    <w:bookmarkStart w:id="112" w:name="interpretation-3"/>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12"/>
    <w:bookmarkEnd w:id="113"/>
    <w:bookmarkStart w:id="118" w:name="X7549e60451b9f7bbee640100d361a0cf771ac62"/>
    <w:p>
      <w:pPr>
        <w:pStyle w:val="Heading2"/>
      </w:pPr>
      <w:r>
        <w:t xml:space="preserve">S7.4 Analysis 2: Exclude Vogelherd Figurines Only</w:t>
      </w:r>
    </w:p>
    <w:bookmarkStart w:id="116"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14"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1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15"/>
        </w:tc>
      </w:tr>
    </w:tbl>
    <w:bookmarkEnd w:id="116"/>
    <w:bookmarkStart w:id="117"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17"/>
    <w:bookmarkEnd w:id="118"/>
    <w:bookmarkStart w:id="120"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19"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19"/>
        </w:tc>
      </w:tr>
    </w:tbl>
    <w:bookmarkEnd w:id="120"/>
    <w:bookmarkStart w:id="121"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[5]</w:t>
      </w:r>
      <w:r>
        <w:t xml:space="preserve"> </w:t>
      </w:r>
      <w:r>
        <w:t xml:space="preserve">argument that figurines carry high-information sign sequences, but the communities themselves are defined by shared sign types across all object types.</w:t>
      </w:r>
    </w:p>
    <w:bookmarkEnd w:id="121"/>
    <w:bookmarkEnd w:id="122"/>
    <w:bookmarkStart w:id="154" w:name="sec-s8"/>
    <w:p>
      <w:pPr>
        <w:pStyle w:val="Heading1"/>
      </w:pPr>
      <w:r>
        <w:t xml:space="preserve">S8. Site Reclassification Sensitivity Analysis</w:t>
      </w:r>
    </w:p>
    <w:bookmarkStart w:id="123"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[6,7]</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[8]</w:t>
      </w:r>
      <w:r>
        <w:t xml:space="preserve"> </w:t>
      </w:r>
      <w:r>
        <w:t xml:space="preserve">classify this as Early Aurignacian (Aur-P1) based on carinated scrapers and wide Aurignacian blades. No split-base bone points (Proto-Aurignacian diagnostic) were found</w:t>
      </w:r>
      <w:r>
        <w:t xml:space="preserve"> </w:t>
      </w:r>
      <w:r>
        <w:t xml:space="preserve">[8,9]</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[10]</w:t>
      </w:r>
      <w:r>
        <w:t xml:space="preserve">. Direct dates of ~31 ka ¹⁴C BP (~35–36 cal BP) are too young for Proto-Aurignacian</w:t>
      </w:r>
      <w:r>
        <w:t xml:space="preserve"> </w:t>
      </w:r>
      <w:r>
        <w:t xml:space="preserve">[11]</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[12]</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23"/>
    <w:bookmarkStart w:id="126"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2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24"/>
        </w:tc>
      </w:tr>
    </w:tbl>
    <w:bookmarkStart w:id="125"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25"/>
    <w:bookmarkEnd w:id="126"/>
    <w:bookmarkStart w:id="12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27"/>
    <w:bookmarkStart w:id="12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28"/>
    <w:bookmarkStart w:id="153" w:name="references-cited"/>
    <w:p>
      <w:pPr>
        <w:pStyle w:val="Heading2"/>
      </w:pPr>
      <w:r>
        <w:t xml:space="preserve">References cited</w:t>
      </w:r>
    </w:p>
    <w:bookmarkStart w:id="152" w:name="refs"/>
    <w:bookmarkStart w:id="130"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29">
        <w:r>
          <w:rPr>
            <w:rStyle w:val="Hyperlink"/>
          </w:rPr>
          <w:t xml:space="preserve">https://doi.org/10.1016/j.quascirev.2021.106995</w:t>
        </w:r>
      </w:hyperlink>
      <w:r>
        <w:t xml:space="preserve">.</w:t>
      </w:r>
    </w:p>
    <w:bookmarkEnd w:id="130"/>
    <w:bookmarkStart w:id="132"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31">
        <w:r>
          <w:rPr>
            <w:rStyle w:val="Hyperlink"/>
          </w:rPr>
          <w:t xml:space="preserve">https://doi.org/10.1007/s41982-017-0004-4</w:t>
        </w:r>
      </w:hyperlink>
      <w:r>
        <w:t xml:space="preserve">.</w:t>
      </w:r>
    </w:p>
    <w:bookmarkEnd w:id="132"/>
    <w:bookmarkStart w:id="134"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33">
        <w:r>
          <w:rPr>
            <w:rStyle w:val="Hyperlink"/>
          </w:rPr>
          <w:t xml:space="preserve">https://doi.org/10.1103/PhysRevE.69.026113</w:t>
        </w:r>
      </w:hyperlink>
      <w:r>
        <w:t xml:space="preserve">.</w:t>
      </w:r>
    </w:p>
    <w:bookmarkEnd w:id="134"/>
    <w:bookmarkStart w:id="136" w:name="ref-Monti_2003"/>
    <w:p>
      <w:pPr>
        <w:pStyle w:val="Bibliography"/>
      </w:pPr>
      <w:r>
        <w:t xml:space="preserve">[4]</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35">
        <w:r>
          <w:rPr>
            <w:rStyle w:val="Hyperlink"/>
          </w:rPr>
          <w:t xml:space="preserve">https://doi.org/10.1023/A:1023949509487</w:t>
        </w:r>
      </w:hyperlink>
      <w:r>
        <w:t xml:space="preserve">.</w:t>
      </w:r>
    </w:p>
    <w:bookmarkEnd w:id="136"/>
    <w:bookmarkStart w:id="138" w:name="ref-Bentz_Dutkiewicz_2026"/>
    <w:p>
      <w:pPr>
        <w:pStyle w:val="Bibliography"/>
      </w:pPr>
      <w:r>
        <w:t xml:space="preserve">[5]</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137">
        <w:r>
          <w:rPr>
            <w:rStyle w:val="Hyperlink"/>
          </w:rPr>
          <w:t xml:space="preserve">https://doi.org/10.1073/pnas.2520385123</w:t>
        </w:r>
      </w:hyperlink>
      <w:r>
        <w:t xml:space="preserve">.</w:t>
      </w:r>
    </w:p>
    <w:bookmarkEnd w:id="138"/>
    <w:bookmarkStart w:id="140" w:name="ref-Chiotti_2005"/>
    <w:p>
      <w:pPr>
        <w:pStyle w:val="Bibliography"/>
      </w:pPr>
      <w:r>
        <w:t xml:space="preserve">[6]</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39">
        <w:r>
          <w:rPr>
            <w:rStyle w:val="Hyperlink"/>
          </w:rPr>
          <w:t xml:space="preserve">https://doi.org/10.30861/9781841718309</w:t>
        </w:r>
      </w:hyperlink>
      <w:r>
        <w:t xml:space="preserve">.</w:t>
      </w:r>
    </w:p>
    <w:bookmarkEnd w:id="140"/>
    <w:bookmarkStart w:id="142" w:name="ref-Higham_Abri_Pataud_2011"/>
    <w:p>
      <w:pPr>
        <w:pStyle w:val="Bibliography"/>
      </w:pPr>
      <w:r>
        <w:t xml:space="preserve">[7]</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41">
        <w:r>
          <w:rPr>
            <w:rStyle w:val="Hyperlink"/>
          </w:rPr>
          <w:t xml:space="preserve">https://doi.org/10.1016/j.jhevol.2011.06.005</w:t>
        </w:r>
      </w:hyperlink>
      <w:r>
        <w:t xml:space="preserve">.</w:t>
      </w:r>
    </w:p>
    <w:bookmarkEnd w:id="142"/>
    <w:bookmarkStart w:id="144" w:name="ref-Talamo_La_Ferrassie_2020"/>
    <w:p>
      <w:pPr>
        <w:pStyle w:val="Bibliography"/>
      </w:pPr>
      <w:r>
        <w:t xml:space="preserve">[8]</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43">
        <w:r>
          <w:rPr>
            <w:rStyle w:val="Hyperlink"/>
          </w:rPr>
          <w:t xml:space="preserve">https://doi.org/10.1002/jqs.3236</w:t>
        </w:r>
      </w:hyperlink>
      <w:r>
        <w:t xml:space="preserve">.</w:t>
      </w:r>
    </w:p>
    <w:bookmarkEnd w:id="144"/>
    <w:bookmarkStart w:id="145" w:name="ref-Delporte_1984_Ferrassie"/>
    <w:p>
      <w:pPr>
        <w:pStyle w:val="Bibliography"/>
      </w:pPr>
      <w:r>
        <w:t xml:space="preserve">[9]</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145"/>
    <w:bookmarkStart w:id="147"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46">
        <w:r>
          <w:rPr>
            <w:rStyle w:val="Hyperlink"/>
          </w:rPr>
          <w:t xml:space="preserve">https://doi.org/10.1007/978-3-211-49294-9_4</w:t>
        </w:r>
      </w:hyperlink>
      <w:r>
        <w:t xml:space="preserve">.</w:t>
      </w:r>
    </w:p>
    <w:bookmarkEnd w:id="147"/>
    <w:bookmarkStart w:id="149" w:name="ref-Wild_et_al_2005"/>
    <w:p>
      <w:pPr>
        <w:pStyle w:val="Bibliography"/>
      </w:pPr>
      <w:r>
        <w:t xml:space="preserve">[11]</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48">
        <w:r>
          <w:rPr>
            <w:rStyle w:val="Hyperlink"/>
          </w:rPr>
          <w:t xml:space="preserve">https://doi.org/10.1038/nature03585</w:t>
        </w:r>
      </w:hyperlink>
      <w:r>
        <w:t xml:space="preserve">.</w:t>
      </w:r>
    </w:p>
    <w:bookmarkEnd w:id="149"/>
    <w:bookmarkStart w:id="151" w:name="ref-Schurch_Conard_2026_reassess"/>
    <w:p>
      <w:pPr>
        <w:pStyle w:val="Bibliography"/>
      </w:pPr>
      <w:r>
        <w:t xml:space="preserve">[12]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50">
        <w:r>
          <w:rPr>
            <w:rStyle w:val="Hyperlink"/>
          </w:rPr>
          <w:t xml:space="preserve">https://doi.org/10.1007/s41982-025-00246-x</w:t>
        </w:r>
      </w:hyperlink>
      <w:r>
        <w:t xml:space="preserve">.</w:t>
      </w:r>
    </w:p>
    <w:bookmarkEnd w:id="151"/>
    <w:bookmarkEnd w:id="152"/>
    <w:bookmarkEnd w:id="153"/>
    <w:bookmarkEnd w:id="154"/>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hyperlink" Id="rId143" Target="https://doi.org/10.1002/jqs.3236" TargetMode="External" /><Relationship Type="http://schemas.openxmlformats.org/officeDocument/2006/relationships/hyperlink" Id="rId146" Target="https://doi.org/10.1007/978-3-211-49294-9_4" TargetMode="External" /><Relationship Type="http://schemas.openxmlformats.org/officeDocument/2006/relationships/hyperlink" Id="rId131" Target="https://doi.org/10.1007/s41982-017-0004-4" TargetMode="External" /><Relationship Type="http://schemas.openxmlformats.org/officeDocument/2006/relationships/hyperlink" Id="rId150" Target="https://doi.org/10.1007/s41982-025-00246-x" TargetMode="External" /><Relationship Type="http://schemas.openxmlformats.org/officeDocument/2006/relationships/hyperlink" Id="rId141" Target="https://doi.org/10.1016/j.jhevol.2011.06.005" TargetMode="External" /><Relationship Type="http://schemas.openxmlformats.org/officeDocument/2006/relationships/hyperlink" Id="rId129" Target="https://doi.org/10.1016/j.quascirev.2021.106995" TargetMode="External" /><Relationship Type="http://schemas.openxmlformats.org/officeDocument/2006/relationships/hyperlink" Id="rId135" Target="https://doi.org/10.1023/A:1023949509487" TargetMode="External" /><Relationship Type="http://schemas.openxmlformats.org/officeDocument/2006/relationships/hyperlink" Id="rId148" Target="https://doi.org/10.1038/nature03585" TargetMode="External" /><Relationship Type="http://schemas.openxmlformats.org/officeDocument/2006/relationships/hyperlink" Id="rId137" Target="https://doi.org/10.1073/pnas.2520385123" TargetMode="External" /><Relationship Type="http://schemas.openxmlformats.org/officeDocument/2006/relationships/hyperlink" Id="rId133" Target="https://doi.org/10.1103/PhysRevE.69.026113" TargetMode="External" /><Relationship Type="http://schemas.openxmlformats.org/officeDocument/2006/relationships/hyperlink" Id="rId139"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2/jqs.3236" TargetMode="External" /><Relationship Type="http://schemas.openxmlformats.org/officeDocument/2006/relationships/hyperlink" Id="rId146" Target="https://doi.org/10.1007/978-3-211-49294-9_4" TargetMode="External" /><Relationship Type="http://schemas.openxmlformats.org/officeDocument/2006/relationships/hyperlink" Id="rId131" Target="https://doi.org/10.1007/s41982-017-0004-4" TargetMode="External" /><Relationship Type="http://schemas.openxmlformats.org/officeDocument/2006/relationships/hyperlink" Id="rId150" Target="https://doi.org/10.1007/s41982-025-00246-x" TargetMode="External" /><Relationship Type="http://schemas.openxmlformats.org/officeDocument/2006/relationships/hyperlink" Id="rId141" Target="https://doi.org/10.1016/j.jhevol.2011.06.005" TargetMode="External" /><Relationship Type="http://schemas.openxmlformats.org/officeDocument/2006/relationships/hyperlink" Id="rId129" Target="https://doi.org/10.1016/j.quascirev.2021.106995" TargetMode="External" /><Relationship Type="http://schemas.openxmlformats.org/officeDocument/2006/relationships/hyperlink" Id="rId135" Target="https://doi.org/10.1023/A:1023949509487" TargetMode="External" /><Relationship Type="http://schemas.openxmlformats.org/officeDocument/2006/relationships/hyperlink" Id="rId148" Target="https://doi.org/10.1038/nature03585" TargetMode="External" /><Relationship Type="http://schemas.openxmlformats.org/officeDocument/2006/relationships/hyperlink" Id="rId137" Target="https://doi.org/10.1073/pnas.2520385123" TargetMode="External" /><Relationship Type="http://schemas.openxmlformats.org/officeDocument/2006/relationships/hyperlink" Id="rId133" Target="https://doi.org/10.1103/PhysRevE.69.026113" TargetMode="External" /><Relationship Type="http://schemas.openxmlformats.org/officeDocument/2006/relationships/hyperlink" Id="rId139"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2026-08-24T00:07:35Z</dcterms:created>
  <dcterms:modified xsi:type="dcterms:W3CDTF">2026-08-24T00:07:35Z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