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w:t>
      </w:r>
    </w:p>
    <w:p>
      <w:pPr>
        <w:pStyle w:val="BodyText"/>
      </w:pPr>
      <w:r>
        <w:t xml:space="preserve">To quantitatively explore the robustness of the two-group structure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The robustness of the two-group structure in Aur-P2 is further weakened by the results of the stochastic block model analysis. A single-block structure is found for the Aur-P2 sample, providing no model-based support for a two-group split during this later phase (S1</w:t>
      </w:r>
      <w:r>
        <w:t xml:space="preserve"> </w:t>
      </w:r>
      <w:r>
        <w:t xml:space="preserve">“</w:t>
      </w:r>
      <w:r>
        <w:t xml:space="preserve">Sensitivity Analyses</w:t>
      </w:r>
      <w:r>
        <w:t xml:space="preserve">”</w:t>
      </w:r>
      <w:r>
        <w:t xml:space="preserve"> </w:t>
      </w:r>
      <w:r>
        <w:t xml:space="preserve">S6.3). On the other hand, the stochastic block model independently selects a three-block structure for Aur-P1. Although the number of groups is greater than the two inferred from the seriation, in fact this reproduces the seriation-inferred bipartite restricted/broad split for all but one site (Labeko Koba). Network analysis allows us to evaluate how these groups may have been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9" w:name="references"/>
    <w:p>
      <w:pPr>
        <w:pStyle w:val="Heading1"/>
      </w:pPr>
      <w:r>
        <w:t xml:space="preserve">References</w:t>
      </w:r>
    </w:p>
    <w:bookmarkStart w:id="29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89"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9"/>
    <w:bookmarkStart w:id="190"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90"/>
    <w:bookmarkStart w:id="192"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1">
        <w:r>
          <w:rPr>
            <w:rStyle w:val="Hyperlink"/>
          </w:rPr>
          <w:t xml:space="preserve">https://doi.org/10.1016/j.jasrep.2024.104798</w:t>
        </w:r>
      </w:hyperlink>
      <w:r>
        <w:t xml:space="preserve">.</w:t>
      </w:r>
    </w:p>
    <w:bookmarkEnd w:id="192"/>
    <w:bookmarkStart w:id="194"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3">
        <w:r>
          <w:rPr>
            <w:rStyle w:val="Hyperlink"/>
          </w:rPr>
          <w:t xml:space="preserve">https://doi.org/10.1016/j.jaa.2005.11.004</w:t>
        </w:r>
      </w:hyperlink>
      <w:r>
        <w:t xml:space="preserve">.</w:t>
      </w:r>
    </w:p>
    <w:bookmarkEnd w:id="194"/>
    <w:bookmarkStart w:id="195"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5"/>
    <w:bookmarkStart w:id="197"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6">
        <w:r>
          <w:rPr>
            <w:rStyle w:val="Hyperlink"/>
          </w:rPr>
          <w:t xml:space="preserve">https://doi.org/10.2307/j.ctvdmwwz4.7</w:t>
        </w:r>
      </w:hyperlink>
      <w:r>
        <w:t xml:space="preserve">.</w:t>
      </w:r>
    </w:p>
    <w:bookmarkEnd w:id="197"/>
    <w:bookmarkStart w:id="199"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8">
        <w:r>
          <w:rPr>
            <w:rStyle w:val="Hyperlink"/>
          </w:rPr>
          <w:t xml:space="preserve">https://doi.org/10.2307/j.ctvdmwwz4.10</w:t>
        </w:r>
      </w:hyperlink>
      <w:r>
        <w:t xml:space="preserve">.</w:t>
      </w:r>
    </w:p>
    <w:bookmarkEnd w:id="199"/>
    <w:bookmarkStart w:id="201"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0">
        <w:r>
          <w:rPr>
            <w:rStyle w:val="Hyperlink"/>
          </w:rPr>
          <w:t xml:space="preserve">https://doi.org/10.1098/rstb.2020.0318</w:t>
        </w:r>
      </w:hyperlink>
      <w:r>
        <w:t xml:space="preserve">.</w:t>
      </w:r>
    </w:p>
    <w:bookmarkEnd w:id="201"/>
    <w:bookmarkStart w:id="203"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2">
        <w:r>
          <w:rPr>
            <w:rStyle w:val="Hyperlink"/>
          </w:rPr>
          <w:t xml:space="preserve">https://doi.org/10.1111/tops.12762</w:t>
        </w:r>
      </w:hyperlink>
      <w:r>
        <w:t xml:space="preserve">.</w:t>
      </w:r>
    </w:p>
    <w:bookmarkEnd w:id="203"/>
    <w:bookmarkStart w:id="205"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4">
        <w:r>
          <w:rPr>
            <w:rStyle w:val="Hyperlink"/>
          </w:rPr>
          <w:t xml:space="preserve">https://doi.org/10.3213/2191-5784-10243</w:t>
        </w:r>
      </w:hyperlink>
      <w:r>
        <w:t xml:space="preserve">.</w:t>
      </w:r>
    </w:p>
    <w:bookmarkEnd w:id="205"/>
    <w:bookmarkStart w:id="207" w:name="ref-Newlander_2012"/>
    <w:p>
      <w:pPr>
        <w:pStyle w:val="Bibliography"/>
      </w:pPr>
      <w:r>
        <w:t xml:space="preserve">[78]</w:t>
      </w:r>
      <w:r>
        <w:t xml:space="preserve"> </w:t>
      </w:r>
      <w:r>
        <w:t xml:space="preserve">	</w:t>
      </w:r>
      <w:r>
        <w:t xml:space="preserve">Newlander KS.</w:t>
      </w:r>
      <w:r>
        <w:t xml:space="preserve"> </w:t>
      </w:r>
      <w:hyperlink r:id="rId206">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7"/>
    <w:bookmarkStart w:id="209"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8">
        <w:r>
          <w:rPr>
            <w:rStyle w:val="Hyperlink"/>
          </w:rPr>
          <w:t xml:space="preserve">https://doi.org/10.1371/journal.pone.0265329</w:t>
        </w:r>
      </w:hyperlink>
      <w:r>
        <w:t xml:space="preserve">.</w:t>
      </w:r>
    </w:p>
    <w:bookmarkEnd w:id="209"/>
    <w:bookmarkStart w:id="211"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0">
        <w:r>
          <w:rPr>
            <w:rStyle w:val="Hyperlink"/>
          </w:rPr>
          <w:t xml:space="preserve">https://doi.org/10.1086/202540</w:t>
        </w:r>
      </w:hyperlink>
      <w:r>
        <w:t xml:space="preserve">.</w:t>
      </w:r>
    </w:p>
    <w:bookmarkEnd w:id="211"/>
    <w:bookmarkStart w:id="213"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2">
        <w:r>
          <w:rPr>
            <w:rStyle w:val="Hyperlink"/>
          </w:rPr>
          <w:t xml:space="preserve">https://doi.org/10.1086/701523</w:t>
        </w:r>
      </w:hyperlink>
      <w:r>
        <w:t xml:space="preserve">.</w:t>
      </w:r>
    </w:p>
    <w:bookmarkEnd w:id="213"/>
    <w:bookmarkStart w:id="215"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4">
        <w:r>
          <w:rPr>
            <w:rStyle w:val="Hyperlink"/>
          </w:rPr>
          <w:t xml:space="preserve">https://doi.org/10.1111/j.1468-0092.1982.tb00313.x</w:t>
        </w:r>
      </w:hyperlink>
      <w:r>
        <w:t xml:space="preserve">.</w:t>
      </w:r>
    </w:p>
    <w:bookmarkEnd w:id="215"/>
    <w:bookmarkStart w:id="217"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6">
        <w:r>
          <w:rPr>
            <w:rStyle w:val="Hyperlink"/>
          </w:rPr>
          <w:t xml:space="preserve">https://doi.org/10.1016/j.jaa.2013.05.005</w:t>
        </w:r>
      </w:hyperlink>
      <w:r>
        <w:t xml:space="preserve">.</w:t>
      </w:r>
    </w:p>
    <w:bookmarkEnd w:id="217"/>
    <w:bookmarkStart w:id="219"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8">
        <w:r>
          <w:rPr>
            <w:rStyle w:val="Hyperlink"/>
          </w:rPr>
          <w:t xml:space="preserve">https://doi.org/10.4000/palethnologie.4945</w:t>
        </w:r>
      </w:hyperlink>
      <w:r>
        <w:t xml:space="preserve">.</w:t>
      </w:r>
    </w:p>
    <w:bookmarkEnd w:id="219"/>
    <w:bookmarkStart w:id="221"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0">
        <w:r>
          <w:rPr>
            <w:rStyle w:val="Hyperlink"/>
          </w:rPr>
          <w:t xml:space="preserve">https://doi.org/10.1086/202802</w:t>
        </w:r>
      </w:hyperlink>
      <w:r>
        <w:t xml:space="preserve">.</w:t>
      </w:r>
    </w:p>
    <w:bookmarkEnd w:id="221"/>
    <w:bookmarkStart w:id="222"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2"/>
    <w:bookmarkStart w:id="224"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3">
        <w:r>
          <w:rPr>
            <w:rStyle w:val="Hyperlink"/>
          </w:rPr>
          <w:t xml:space="preserve">https://doi.org/10.1146/annurev.an.23.100194.002411</w:t>
        </w:r>
      </w:hyperlink>
      <w:r>
        <w:t xml:space="preserve">.</w:t>
      </w:r>
    </w:p>
    <w:bookmarkEnd w:id="224"/>
    <w:bookmarkStart w:id="226"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5">
        <w:r>
          <w:rPr>
            <w:rStyle w:val="Hyperlink"/>
          </w:rPr>
          <w:t xml:space="preserve">https://doi.org/10.5281/zenodo.15397990</w:t>
        </w:r>
      </w:hyperlink>
      <w:r>
        <w:t xml:space="preserve">.</w:t>
      </w:r>
    </w:p>
    <w:bookmarkEnd w:id="226"/>
    <w:bookmarkStart w:id="228"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7">
        <w:r>
          <w:rPr>
            <w:rStyle w:val="Hyperlink"/>
          </w:rPr>
          <w:t xml:space="preserve">https://doi.org/10.2307/280511</w:t>
        </w:r>
      </w:hyperlink>
      <w:r>
        <w:t xml:space="preserve">.</w:t>
      </w:r>
    </w:p>
    <w:bookmarkEnd w:id="228"/>
    <w:bookmarkStart w:id="230"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9">
        <w:r>
          <w:rPr>
            <w:rStyle w:val="Hyperlink"/>
          </w:rPr>
          <w:t xml:space="preserve">https://doi.org/10.1038/s41467-024-51349-y</w:t>
        </w:r>
      </w:hyperlink>
      <w:r>
        <w:t xml:space="preserve">.</w:t>
      </w:r>
    </w:p>
    <w:bookmarkEnd w:id="230"/>
    <w:bookmarkStart w:id="232" w:name="ref-smith1992Design"/>
    <w:p>
      <w:pPr>
        <w:pStyle w:val="Bibliography"/>
      </w:pPr>
      <w:r>
        <w:t xml:space="preserve">[91]</w:t>
      </w:r>
      <w:r>
        <w:t xml:space="preserve"> </w:t>
      </w:r>
      <w:r>
        <w:t xml:space="preserve">	</w:t>
      </w:r>
      <w:r>
        <w:t xml:space="preserve">Smith C.</w:t>
      </w:r>
      <w:r>
        <w:t xml:space="preserve"> </w:t>
      </w:r>
      <w:hyperlink r:id="rId231">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w:t>
      </w:r>
    </w:p>
    <w:bookmarkEnd w:id="232"/>
    <w:bookmarkStart w:id="233"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3"/>
    <w:bookmarkStart w:id="235"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4">
        <w:r>
          <w:rPr>
            <w:rStyle w:val="Hyperlink"/>
          </w:rPr>
          <w:t xml:space="preserve">https://doi.org/10.1002/9780470773475.ch5</w:t>
        </w:r>
      </w:hyperlink>
      <w:r>
        <w:t xml:space="preserve">.</w:t>
      </w:r>
    </w:p>
    <w:bookmarkEnd w:id="235"/>
    <w:bookmarkStart w:id="237"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6">
        <w:r>
          <w:rPr>
            <w:rStyle w:val="Hyperlink"/>
          </w:rPr>
          <w:t xml:space="preserve">https://doi.org/10.1016/B978-0-12-564750-2.50020-2</w:t>
        </w:r>
      </w:hyperlink>
      <w:r>
        <w:t xml:space="preserve">.</w:t>
      </w:r>
    </w:p>
    <w:bookmarkEnd w:id="237"/>
    <w:bookmarkStart w:id="239"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8">
        <w:r>
          <w:rPr>
            <w:rStyle w:val="Hyperlink"/>
          </w:rPr>
          <w:t xml:space="preserve">https://doi.org/10.1080/00438243.1994.9980272</w:t>
        </w:r>
      </w:hyperlink>
      <w:r>
        <w:t xml:space="preserve">.</w:t>
      </w:r>
    </w:p>
    <w:bookmarkEnd w:id="239"/>
    <w:bookmarkStart w:id="241"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0">
        <w:r>
          <w:rPr>
            <w:rStyle w:val="Hyperlink"/>
          </w:rPr>
          <w:t xml:space="preserve">https://doi.org/10.1002/9781118253892.ch6</w:t>
        </w:r>
      </w:hyperlink>
      <w:r>
        <w:t xml:space="preserve">.</w:t>
      </w:r>
    </w:p>
    <w:bookmarkEnd w:id="241"/>
    <w:bookmarkStart w:id="243"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2">
        <w:r>
          <w:rPr>
            <w:rStyle w:val="Hyperlink"/>
          </w:rPr>
          <w:t xml:space="preserve">https://doi.org/10.2307/40035267</w:t>
        </w:r>
      </w:hyperlink>
      <w:r>
        <w:t xml:space="preserve">.</w:t>
      </w:r>
    </w:p>
    <w:bookmarkEnd w:id="243"/>
    <w:bookmarkStart w:id="244"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p>
    <w:bookmarkEnd w:id="244"/>
    <w:bookmarkStart w:id="246"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2"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1">
        <w:r>
          <w:rPr>
            <w:rStyle w:val="Hyperlink"/>
          </w:rPr>
          <w:t xml:space="preserve">https://doi.org/10.1093/oxfordhb/9780198854265.013.31</w:t>
        </w:r>
      </w:hyperlink>
      <w:r>
        <w:t xml:space="preserve">.</w:t>
      </w:r>
    </w:p>
    <w:bookmarkEnd w:id="292"/>
    <w:bookmarkStart w:id="293"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End w:id="298"/>
    <w:bookmarkEnd w:id="299"/>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2026-08-24T00:13:52Z</dcterms:created>
  <dcterms:modified xsi:type="dcterms:W3CDTF">2026-08-24T00:13:52Z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