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[23,28,29]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[32]</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[12,20,21,33]</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from the seriation package</w:t>
      </w:r>
      <w:r>
        <w:t xml:space="preserve"> </w:t>
      </w:r>
      <w:r>
        <w:t xml:space="preserve">[39]</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green.</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vertical black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[47]</w:t>
      </w:r>
      <w:r>
        <w:t xml:space="preserve">, and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0.5), betweenness (p = 0.6166), or component count (p = 0.5019).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[48–55]</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[4,55–66]</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[67]</w:t>
      </w:r>
      <w:r>
        <w:t xml:space="preserve">;</w:t>
      </w:r>
      <w:r>
        <w:t xml:space="preserve"> </w:t>
      </w:r>
      <w:r>
        <w:t xml:space="preserve">[68]</w:t>
      </w:r>
      <w:r>
        <w:t xml:space="preserve">;</w:t>
      </w:r>
      <w:r>
        <w:t xml:space="preserve"> </w:t>
      </w:r>
      <w:r>
        <w:t xml:space="preserve">[53]</w:t>
      </w:r>
      <w:r>
        <w:t xml:space="preserve">;</w:t>
      </w:r>
      <w:r>
        <w:t xml:space="preserve"> </w:t>
      </w:r>
      <w:r>
        <w:t xml:space="preserve">[69]</w:t>
      </w:r>
      <w:r>
        <w:t xml:space="preserve">;</w:t>
      </w:r>
      <w:r>
        <w:t xml:space="preserve"> </w:t>
      </w:r>
      <w:r>
        <w:t xml:space="preserve">[54]</w:t>
      </w:r>
      <w:r>
        <w:t xml:space="preserve">. Non-utilitarian mobility establishes regional social networks which facilitate the spread of information and the survival of hunter-gatherers in uncertain environments</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 The exchange and production of decorative items, such as objects with geometric signs, has been associated with non-utilitarian mobility and recognized as an indicator of social contact</w:t>
      </w:r>
      <w:r>
        <w:t xml:space="preserve"> </w:t>
      </w:r>
      <w:r>
        <w:t xml:space="preserve">[70]</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[79]</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[79]</w:t>
      </w:r>
      <w:r>
        <w:t xml:space="preserve">, including, in some cases, decorative objects</w:t>
      </w:r>
      <w:r>
        <w:t xml:space="preserve"> </w:t>
      </w:r>
      <w:r>
        <w:t xml:space="preserve">[75]</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[2,80–86]</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[87,88]</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-0.35, p = 0.061), indicating that aggregation candidates are less connected rather than merely decoupled from network hubs. The correlation with betweenness was not significant (ρ = -0.18, p = 0.349). Object count was positively correlated with degree centrality (degree: ρ = 0.35, p = 0.063328), indicating that hubs tend to be among the better-sampled sites. The elevated diversity identifying aggregation candidates did not differ significantly between the restricted and broad-range groups (Wilcoxon W = 59, p = 0.044), so this metric does not by itself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[89]</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[90–98]</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[89]</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[99]</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[99]</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[100–102]</w:t>
      </w:r>
      <w:r>
        <w:t xml:space="preserve">. Smaller populations are predicted to experience greater drift and reduced capacity to maintain complex cultural repertoires</w:t>
      </w:r>
      <w:r>
        <w:t xml:space="preserve"> </w:t>
      </w:r>
      <w:r>
        <w:t xml:space="preserve">[103]</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[104,105]</w:t>
      </w:r>
      <w:r>
        <w:t xml:space="preserve">, while more clustered networks promote localised conformist transmission and differentiation within subgroups</w:t>
      </w:r>
      <w:r>
        <w:t xml:space="preserve"> </w:t>
      </w:r>
      <w:r>
        <w:t xml:space="preserve">[106]</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[103,107]</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[108]</w:t>
      </w:r>
      <w:r>
        <w:t xml:space="preserve"> </w:t>
      </w:r>
      <w:r>
        <w:t xml:space="preserve">(sign sequences having protocuneiform-like information density, suggesting notational function) and</w:t>
      </w:r>
      <w:r>
        <w:t xml:space="preserve"> </w:t>
      </w:r>
      <w:r>
        <w:t xml:space="preserve">[109]</w:t>
      </w:r>
      <w:r>
        <w:t xml:space="preserve"> </w:t>
      </w:r>
      <w:r>
        <w:t xml:space="preserve">(some signs recording seasonal prey information). However, both hypotheses are contested:</w:t>
      </w:r>
      <w:r>
        <w:t xml:space="preserve"> </w:t>
      </w:r>
      <w:r>
        <w:t xml:space="preserve">[110]</w:t>
      </w:r>
      <w:r>
        <w:t xml:space="preserve"> </w:t>
      </w:r>
      <w:r>
        <w:t xml:space="preserve">note methodological issues in Bentz &amp; Dutkiewicz;</w:t>
      </w:r>
      <w:r>
        <w:t xml:space="preserve"> </w:t>
      </w:r>
      <w:r>
        <w:t xml:space="preserve">[111]</w:t>
      </w:r>
      <w:r>
        <w:t xml:space="preserve"> </w:t>
      </w:r>
      <w:r>
        <w:t xml:space="preserve">and</w:t>
      </w:r>
      <w:r>
        <w:t xml:space="preserve"> </w:t>
      </w:r>
      <w:r>
        <w:t xml:space="preserve">[112]</w:t>
      </w:r>
      <w:r>
        <w:t xml:space="preserve"> </w:t>
      </w:r>
      <w:r>
        <w:t xml:space="preserve">argue the lunar calendar hypothesis is untestable, circular, and selectively uses data;</w:t>
      </w:r>
      <w:r>
        <w:t xml:space="preserve"> </w:t>
      </w:r>
      <w:r>
        <w:t xml:space="preserve">[113]</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[3,81,114–117]</w:t>
      </w:r>
      <w:r>
        <w:t xml:space="preserve"> </w:t>
      </w:r>
      <w:r>
        <w:t xml:space="preserve">has used material culture analysis to reconstruct Upper Palaeolithic social networks, which have been argued to be a driver of cultural and evolutionary change</w:t>
      </w:r>
      <w:r>
        <w:t xml:space="preserve"> </w:t>
      </w:r>
      <w:r>
        <w:t xml:space="preserve">[2,74,118–122]</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[123]</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[80]</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[99]</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[124]</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[125]</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[108]</w:t>
      </w:r>
      <w:r>
        <w:t xml:space="preserve">.</w:t>
      </w:r>
    </w:p>
    <w:p>
      <w:pPr>
        <w:pStyle w:val="BodyText"/>
      </w:pPr>
      <w:r>
        <w:t xml:space="preserve">A further limitation concerns the effects of time-averaging on our network reconstructions.</w:t>
      </w:r>
      <w:r>
        <w:t xml:space="preserve"> </w:t>
      </w:r>
      <w:r>
        <w:t xml:space="preserve">[126]</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[69]</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9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[127,128]</w:t>
      </w:r>
      <w:r>
        <w:t xml:space="preserve">.</w:t>
      </w:r>
    </w:p>
    <w:bookmarkEnd w:id="61"/>
    <w:bookmarkStart w:id="282" w:name="references"/>
    <w:p>
      <w:pPr>
        <w:pStyle w:val="Heading1"/>
      </w:pPr>
      <w:r>
        <w:t xml:space="preserve">References</w:t>
      </w:r>
    </w:p>
    <w:bookmarkStart w:id="28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0"/>
    <w:bookmarkStart w:id="92"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1">
        <w:r>
          <w:rPr>
            <w:rStyle w:val="Hyperlink"/>
          </w:rPr>
          <w:t xml:space="preserve">https://doi.org/10.1371/journal.pone.0211562</w:t>
        </w:r>
      </w:hyperlink>
      <w:r>
        <w:t xml:space="preserve">.</w:t>
      </w:r>
    </w:p>
    <w:bookmarkEnd w:id="92"/>
    <w:bookmarkStart w:id="94"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3">
        <w:r>
          <w:rPr>
            <w:rStyle w:val="Hyperlink"/>
          </w:rPr>
          <w:t xml:space="preserve">https://doi.org/10.1016/j.jhevol.2012.10.001</w:t>
        </w:r>
      </w:hyperlink>
      <w:r>
        <w:t xml:space="preserve">.</w:t>
      </w:r>
    </w:p>
    <w:bookmarkEnd w:id="94"/>
    <w:bookmarkStart w:id="96"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5">
        <w:r>
          <w:rPr>
            <w:rStyle w:val="Hyperlink"/>
          </w:rPr>
          <w:t xml:space="preserve">https://doi.org/10.1016/j.quascirev.2021.106995</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7">
        <w:r>
          <w:rPr>
            <w:rStyle w:val="Hyperlink"/>
          </w:rPr>
          <w:t xml:space="preserve">https://doi.org/10.1371/journal.pone.0189241</w:t>
        </w:r>
      </w:hyperlink>
      <w:r>
        <w:t xml:space="preserve">.</w:t>
      </w:r>
    </w:p>
    <w:bookmarkEnd w:id="98"/>
    <w:bookmarkStart w:id="100"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99">
        <w:r>
          <w:rPr>
            <w:rStyle w:val="Hyperlink"/>
          </w:rPr>
          <w:t xml:space="preserve">https://doi.org/10.7485/QU65_2</w:t>
        </w:r>
      </w:hyperlink>
      <w:r>
        <w:t xml:space="preserve">.</w:t>
      </w:r>
    </w:p>
    <w:bookmarkEnd w:id="100"/>
    <w:bookmarkStart w:id="101"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1"/>
    <w:bookmarkStart w:id="103"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2">
        <w:r>
          <w:rPr>
            <w:rStyle w:val="Hyperlink"/>
          </w:rPr>
          <w:t xml:space="preserve">https://doi.org/10.1016/j.jhevol.2011.06.001</w:t>
        </w:r>
      </w:hyperlink>
      <w:r>
        <w:t xml:space="preserve">.</w:t>
      </w:r>
    </w:p>
    <w:bookmarkEnd w:id="103"/>
    <w:bookmarkStart w:id="105"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4">
        <w:r>
          <w:rPr>
            <w:rStyle w:val="Hyperlink"/>
          </w:rPr>
          <w:t xml:space="preserve">https://doi.org/10.1002/jqs.3223</w:t>
        </w:r>
      </w:hyperlink>
      <w:r>
        <w:t xml:space="preserve">.</w:t>
      </w:r>
    </w:p>
    <w:bookmarkEnd w:id="105"/>
    <w:bookmarkStart w:id="107"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6">
        <w:r>
          <w:rPr>
            <w:rStyle w:val="Hyperlink"/>
          </w:rPr>
          <w:t xml:space="preserve">https://doi.org/10.1007/3-211-38327-6_3</w:t>
        </w:r>
      </w:hyperlink>
      <w:r>
        <w:t xml:space="preserve">.</w:t>
      </w:r>
    </w:p>
    <w:bookmarkEnd w:id="107"/>
    <w:bookmarkStart w:id="109"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8">
        <w:r>
          <w:rPr>
            <w:rStyle w:val="Hyperlink"/>
          </w:rPr>
          <w:t xml:space="preserve">https://doi.org/10.1371/journal.pone.0194097</w:t>
        </w:r>
      </w:hyperlink>
      <w:r>
        <w:t xml:space="preserve">.</w:t>
      </w:r>
    </w:p>
    <w:bookmarkEnd w:id="109"/>
    <w:bookmarkStart w:id="111" w:name="ref-Dinnis_et_al_2019"/>
    <w:p>
      <w:pPr>
        <w:pStyle w:val="Bibliography"/>
      </w:pPr>
      <w:r>
        <w:t xml:space="preserve">[29]</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110">
        <w:r>
          <w:rPr>
            <w:rStyle w:val="Hyperlink"/>
          </w:rPr>
          <w:t xml:space="preserve">https://doi.org/10.1017/ppr.2019.5</w:t>
        </w:r>
      </w:hyperlink>
      <w:r>
        <w:t xml:space="preserve">.</w:t>
      </w:r>
    </w:p>
    <w:bookmarkEnd w:id="111"/>
    <w:bookmarkStart w:id="112"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2"/>
    <w:bookmarkStart w:id="114"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3">
        <w:r>
          <w:rPr>
            <w:rStyle w:val="Hyperlink"/>
          </w:rPr>
          <w:t xml:space="preserve">https://doi.org/10.4000/palethnologie.736</w:t>
        </w:r>
      </w:hyperlink>
      <w:r>
        <w:t xml:space="preserve">.</w:t>
      </w:r>
    </w:p>
    <w:bookmarkEnd w:id="114"/>
    <w:bookmarkStart w:id="116" w:name="ref-Schurch_Conard_2026"/>
    <w:p>
      <w:pPr>
        <w:pStyle w:val="Bibliography"/>
      </w:pPr>
      <w:r>
        <w:t xml:space="preserve">[32]</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5">
        <w:r>
          <w:rPr>
            <w:rStyle w:val="Hyperlink"/>
          </w:rPr>
          <w:t xml:space="preserve">https://doi.org/10.1007/s41982-025-00298-3</w:t>
        </w:r>
      </w:hyperlink>
      <w:r>
        <w:t xml:space="preserve">.</w:t>
      </w:r>
    </w:p>
    <w:bookmarkEnd w:id="116"/>
    <w:bookmarkStart w:id="118"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7">
        <w:r>
          <w:rPr>
            <w:rStyle w:val="Hyperlink"/>
          </w:rPr>
          <w:t xml:space="preserve">https://doi.org/10.1016/j.quascirev.2009.11.015</w:t>
        </w:r>
      </w:hyperlink>
      <w:r>
        <w:t xml:space="preserve">.</w:t>
      </w:r>
    </w:p>
    <w:bookmarkEnd w:id="118"/>
    <w:bookmarkStart w:id="120"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19">
        <w:r>
          <w:rPr>
            <w:rStyle w:val="Hyperlink"/>
          </w:rPr>
          <w:t xml:space="preserve">https://doi.org/10.1017/RDC.2020.95</w:t>
        </w:r>
      </w:hyperlink>
      <w:r>
        <w:t xml:space="preserve">.</w:t>
      </w:r>
    </w:p>
    <w:bookmarkEnd w:id="120"/>
    <w:bookmarkStart w:id="122"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1">
        <w:r>
          <w:rPr>
            <w:rStyle w:val="Hyperlink"/>
          </w:rPr>
          <w:t xml:space="preserve">https://doi.org/10.1007/s12520-018-0742-3</w:t>
        </w:r>
      </w:hyperlink>
      <w:r>
        <w:t xml:space="preserve">.</w:t>
      </w:r>
    </w:p>
    <w:bookmarkEnd w:id="122"/>
    <w:bookmarkStart w:id="124"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 https://doi.org/</w:t>
      </w:r>
      <w:hyperlink r:id="rId123">
        <w:r>
          <w:rPr>
            <w:rStyle w:val="Hyperlink"/>
          </w:rPr>
          <w:t xml:space="preserve">https://doi.org/10.1002/ajpa.1330350608</w:t>
        </w:r>
      </w:hyperlink>
      <w:r>
        <w:t xml:space="preserve">.</w:t>
      </w:r>
    </w:p>
    <w:bookmarkEnd w:id="124"/>
    <w:bookmarkStart w:id="126" w:name="ref-Vegan2001"/>
    <w:p>
      <w:pPr>
        <w:pStyle w:val="Bibliography"/>
      </w:pPr>
      <w:r>
        <w:t xml:space="preserve">[37]</w:t>
      </w:r>
      <w:r>
        <w:t xml:space="preserve"> </w:t>
      </w:r>
      <w:r>
        <w:t xml:space="preserve">	</w:t>
      </w:r>
      <w:r>
        <w:t xml:space="preserve">Oksanen J, Simpson GL, Blanchet FG, Kindt R, Legendre P, Minchin PR, et al. Vegan: Community ecology package 2001:25–31.</w:t>
      </w:r>
      <w:r>
        <w:t xml:space="preserve"> </w:t>
      </w:r>
      <w:hyperlink r:id="rId125">
        <w:r>
          <w:rPr>
            <w:rStyle w:val="Hyperlink"/>
          </w:rPr>
          <w:t xml:space="preserve">https://doi.org/10.32614/CRAN.package.vegan</w:t>
        </w:r>
      </w:hyperlink>
      <w:r>
        <w:t xml:space="preserve">.</w:t>
      </w:r>
    </w:p>
    <w:bookmarkEnd w:id="126"/>
    <w:bookmarkStart w:id="128"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7">
        <w:r>
          <w:rPr>
            <w:rStyle w:val="Hyperlink"/>
          </w:rPr>
          <w:t xml:space="preserve">https://doi.org/10.1371/journal.pone.0121166</w:t>
        </w:r>
      </w:hyperlink>
      <w:r>
        <w:t xml:space="preserve">.</w:t>
      </w:r>
    </w:p>
    <w:bookmarkEnd w:id="128"/>
    <w:bookmarkStart w:id="130" w:name="ref-seriation_pckge"/>
    <w:p>
      <w:pPr>
        <w:pStyle w:val="Bibliography"/>
      </w:pPr>
      <w:r>
        <w:t xml:space="preserve">[39]</w:t>
      </w:r>
      <w:r>
        <w:t xml:space="preserve"> </w:t>
      </w:r>
      <w:r>
        <w:t xml:space="preserve">	</w:t>
      </w:r>
      <w:r>
        <w:t xml:space="preserve">Hahsler M, Hornik K, Buchta C. Getting things in order: An introduction to the r package seriation. Journal of Statistical Software 2008;25:1–34.</w:t>
      </w:r>
      <w:r>
        <w:t xml:space="preserve"> </w:t>
      </w:r>
      <w:hyperlink r:id="rId129">
        <w:r>
          <w:rPr>
            <w:rStyle w:val="Hyperlink"/>
          </w:rPr>
          <w:t xml:space="preserve">https://doi.org/10.18637/jss.v025.i03</w:t>
        </w:r>
      </w:hyperlink>
      <w:r>
        <w:t xml:space="preserve">.</w:t>
      </w:r>
    </w:p>
    <w:bookmarkEnd w:id="130"/>
    <w:bookmarkStart w:id="132"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1">
        <w:r>
          <w:rPr>
            <w:rStyle w:val="Hyperlink"/>
          </w:rPr>
          <w:t xml:space="preserve">https://doi.org/10.1111/j.1502-3931.1988.tb01756.x</w:t>
        </w:r>
      </w:hyperlink>
      <w:r>
        <w:t xml:space="preserve">.</w:t>
      </w:r>
    </w:p>
    <w:bookmarkEnd w:id="132"/>
    <w:bookmarkStart w:id="134"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3">
        <w:r>
          <w:rPr>
            <w:rStyle w:val="Hyperlink"/>
          </w:rPr>
          <w:t xml:space="preserve">https://doi.org/10.1146/annurev-anthro-102116-041423</w:t>
        </w:r>
      </w:hyperlink>
      <w:r>
        <w:t xml:space="preserve">.</w:t>
      </w:r>
    </w:p>
    <w:bookmarkEnd w:id="134"/>
    <w:bookmarkStart w:id="136"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35">
        <w:r>
          <w:rPr>
            <w:rStyle w:val="Hyperlink"/>
          </w:rPr>
          <w:t xml:space="preserve">https://doi.org/10.1002/spe.4380211102</w:t>
        </w:r>
      </w:hyperlink>
      <w:r>
        <w:t xml:space="preserve">.</w:t>
      </w:r>
    </w:p>
    <w:bookmarkEnd w:id="136"/>
    <w:bookmarkStart w:id="138" w:name="ref-statnet_package"/>
    <w:p>
      <w:pPr>
        <w:pStyle w:val="Bibliography"/>
      </w:pPr>
      <w:r>
        <w:t xml:space="preserve">[43]</w:t>
      </w:r>
      <w:r>
        <w:t xml:space="preserve"> </w:t>
      </w:r>
      <w:r>
        <w:t xml:space="preserve">	</w:t>
      </w:r>
      <w:r>
        <w:t xml:space="preserve">Pavel N. Krivitsky MSH, Hunter DR, Butts CT, Bojanowski M, Klumb C, Goodreau SM, et al.</w:t>
      </w:r>
      <w:r>
        <w:t xml:space="preserve"> </w:t>
      </w:r>
      <w:hyperlink r:id="rId137">
        <w:r>
          <w:rPr>
            <w:rStyle w:val="Hyperlink"/>
          </w:rPr>
          <w:t xml:space="preserve">Statnet: Tools for the statistical modeling of network data</w:t>
        </w:r>
      </w:hyperlink>
      <w:r>
        <w:t xml:space="preserve"> </w:t>
      </w:r>
      <w:r>
        <w:t xml:space="preserve">2003–2024.</w:t>
      </w:r>
    </w:p>
    <w:bookmarkEnd w:id="138"/>
    <w:bookmarkStart w:id="140" w:name="ref-igraph_package"/>
    <w:p>
      <w:pPr>
        <w:pStyle w:val="Bibliography"/>
      </w:pPr>
      <w:r>
        <w:t xml:space="preserve">[44]</w:t>
      </w:r>
      <w:r>
        <w:t xml:space="preserve"> </w:t>
      </w:r>
      <w:r>
        <w:t xml:space="preserve">	</w:t>
      </w:r>
      <w:r>
        <w:t xml:space="preserve">Csardi G, Nepusz T.</w:t>
      </w:r>
      <w:r>
        <w:t xml:space="preserve"> </w:t>
      </w:r>
      <w:hyperlink r:id="rId139">
        <w:r>
          <w:rPr>
            <w:rStyle w:val="Hyperlink"/>
          </w:rPr>
          <w:t xml:space="preserve">The igraph software package for complex network research</w:t>
        </w:r>
      </w:hyperlink>
      <w:r>
        <w:t xml:space="preserve">. InterJournal 2006;Complex Systems:1695.</w:t>
      </w:r>
    </w:p>
    <w:bookmarkEnd w:id="140"/>
    <w:bookmarkStart w:id="142" w:name="ref-Anderson_2017"/>
    <w:p>
      <w:pPr>
        <w:pStyle w:val="Bibliography"/>
      </w:pPr>
      <w:r>
        <w:t xml:space="preserve">[45]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1">
        <w:r>
          <w:rPr>
            <w:rStyle w:val="Hyperlink"/>
          </w:rPr>
          <w:t xml:space="preserve">https://doi.org/10.1002/9781118445112.stat07841</w:t>
        </w:r>
      </w:hyperlink>
      <w:r>
        <w:t xml:space="preserve">.</w:t>
      </w:r>
    </w:p>
    <w:bookmarkEnd w:id="142"/>
    <w:bookmarkStart w:id="144"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3">
        <w:r>
          <w:rPr>
            <w:rStyle w:val="Hyperlink"/>
          </w:rPr>
          <w:t xml:space="preserve">https://doi.org/10.1016/j.evolhumbehav.2014.09.006</w:t>
        </w:r>
      </w:hyperlink>
      <w:r>
        <w:t xml:space="preserve">.</w:t>
      </w:r>
    </w:p>
    <w:bookmarkEnd w:id="144"/>
    <w:bookmarkStart w:id="145" w:name="ref-newman2004finding"/>
    <w:p>
      <w:pPr>
        <w:pStyle w:val="Bibliography"/>
      </w:pPr>
      <w:r>
        <w:t xml:space="preserve">[47]</w:t>
      </w:r>
      <w:r>
        <w:t xml:space="preserve"> </w:t>
      </w:r>
      <w:r>
        <w:t xml:space="preserve">	</w:t>
      </w:r>
      <w:r>
        <w:t xml:space="preserve">Newman ME, Girvan M. Finding and evaluating community structure in networks. Physical Review E 2004;69:026113.</w:t>
      </w:r>
    </w:p>
    <w:bookmarkEnd w:id="145"/>
    <w:bookmarkStart w:id="147" w:name="ref-Finlayson_Warren_2017"/>
    <w:p>
      <w:pPr>
        <w:pStyle w:val="Bibliography"/>
      </w:pPr>
      <w:r>
        <w:t xml:space="preserve">[48]</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[49]</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[50]</w:t>
      </w:r>
      <w:r>
        <w:t xml:space="preserve"> </w:t>
      </w:r>
      <w:r>
        <w:t xml:space="preserve">	</w:t>
      </w:r>
      <w:r>
        <w:t xml:space="preserve">Price TD, Brown JA. Aspects of hunter–gatherer complexity. In: Price TD, Brown JA, editors. Prehistoric hunters-gatherers, Academic Press; 1985, p. 3–20. https://doi.org/</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[51]</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[52]</w:t>
      </w:r>
      <w:r>
        <w:t xml:space="preserve"> </w:t>
      </w:r>
      <w:r>
        <w:t xml:space="preserve">	</w:t>
      </w:r>
      <w:r>
        <w:t xml:space="preserve">Pate F. Hunter-gatherer social complexity at roonka flat, south australia. The social archaeology of australian indigenous societies, Aboriginal Studies Press; 2006, p. 226–41.</w:t>
      </w:r>
    </w:p>
    <w:bookmarkEnd w:id="154"/>
    <w:bookmarkStart w:id="156" w:name="ref-Johnson_2014"/>
    <w:p>
      <w:pPr>
        <w:pStyle w:val="Bibliography"/>
      </w:pPr>
      <w:r>
        <w:t xml:space="preserve">[53]</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[54]</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[55]</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[56]</w:t>
      </w:r>
      <w:r>
        <w:t xml:space="preserve"> </w:t>
      </w:r>
      <w:r>
        <w:t xml:space="preserve">	</w:t>
      </w:r>
      <w:r>
        <w:t xml:space="preserve">Morwood MJ. The archaeology of social complexity in south-east queensland.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[57]</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[58]</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5"/>
    <w:bookmarkStart w:id="167" w:name="ref-Moore_2010"/>
    <w:p>
      <w:pPr>
        <w:pStyle w:val="Bibliography"/>
      </w:pPr>
      <w:r>
        <w:t xml:space="preserve">[59]</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[60]</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[61]</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[62]</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[63]</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3"/>
    <w:bookmarkStart w:id="175" w:name="ref-Tilley_1982"/>
    <w:p>
      <w:pPr>
        <w:pStyle w:val="Bibliography"/>
      </w:pPr>
      <w:r>
        <w:t xml:space="preserve">[64]</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[65]</w:t>
      </w:r>
      <w:r>
        <w:t xml:space="preserve"> </w:t>
      </w:r>
      <w:r>
        <w:t xml:space="preserve">	</w:t>
      </w:r>
      <w:r>
        <w:t xml:space="preserve">Hodder I.</w:t>
      </w:r>
      <w:r>
        <w:t xml:space="preserve"> </w:t>
      </w:r>
      <w:hyperlink r:id="rId176">
        <w:r>
          <w:rPr>
            <w:rStyle w:val="Hyperlink"/>
          </w:rPr>
          <w:t xml:space="preserve">Economic and social stress and material culture patterning</w:t>
        </w:r>
      </w:hyperlink>
      <w:r>
        <w:t xml:space="preserve">. American Antiquity 1979;44:446–54.</w:t>
      </w:r>
    </w:p>
    <w:bookmarkEnd w:id="177"/>
    <w:bookmarkStart w:id="179" w:name="ref-Hodder1977"/>
    <w:p>
      <w:pPr>
        <w:pStyle w:val="Bibliography"/>
      </w:pPr>
      <w:r>
        <w:t xml:space="preserve">[66]</w:t>
      </w:r>
      <w:r>
        <w:t xml:space="preserve"> </w:t>
      </w:r>
      <w:r>
        <w:t xml:space="preserve">	</w:t>
      </w:r>
      <w:r>
        <w:t xml:space="preserve">Hodder I.</w:t>
      </w:r>
      <w:r>
        <w:t xml:space="preserve"> </w:t>
      </w:r>
      <w:hyperlink r:id="rId178">
        <w:r>
          <w:rPr>
            <w:rStyle w:val="Hyperlink"/>
          </w:rPr>
          <w:t xml:space="preserve">The distribution of material culture items in the baringo district, western kenya</w:t>
        </w:r>
      </w:hyperlink>
      <w:r>
        <w:t xml:space="preserve">. Man 1977;12:239–69.</w:t>
      </w:r>
    </w:p>
    <w:bookmarkEnd w:id="179"/>
    <w:bookmarkStart w:id="180" w:name="ref-Binford_1990"/>
    <w:p>
      <w:pPr>
        <w:pStyle w:val="Bibliography"/>
      </w:pPr>
      <w:r>
        <w:t xml:space="preserve">[67]</w:t>
      </w:r>
      <w:r>
        <w:t xml:space="preserve"> </w:t>
      </w:r>
      <w:r>
        <w:t xml:space="preserve">	</w:t>
      </w:r>
      <w:r>
        <w:t xml:space="preserve">Binford LR. Mobility, housing, and environment: A comparative study. Journal of Anthropological Research 1990;46:119–52.</w:t>
      </w:r>
    </w:p>
    <w:bookmarkEnd w:id="180"/>
    <w:bookmarkStart w:id="181" w:name="ref-Kelly_1983"/>
    <w:p>
      <w:pPr>
        <w:pStyle w:val="Bibliography"/>
      </w:pPr>
      <w:r>
        <w:t xml:space="preserve">[68]</w:t>
      </w:r>
      <w:r>
        <w:t xml:space="preserve"> </w:t>
      </w:r>
      <w:r>
        <w:t xml:space="preserve">	</w:t>
      </w:r>
      <w:r>
        <w:t xml:space="preserve">Kelly RL. Hunter-gatherer mobility strategies. Journal of Anthropological Research 1983;39:277–306.</w:t>
      </w:r>
    </w:p>
    <w:bookmarkEnd w:id="181"/>
    <w:bookmarkStart w:id="183" w:name="ref-Padilla-Iglesias_Bischoff_2024"/>
    <w:p>
      <w:pPr>
        <w:pStyle w:val="Bibliography"/>
      </w:pPr>
      <w:r>
        <w:t xml:space="preserve">[69]</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2">
        <w:r>
          <w:rPr>
            <w:rStyle w:val="Hyperlink"/>
          </w:rPr>
          <w:t xml:space="preserve">https://doi.org/10.1016/j.jasrep.2024.104798</w:t>
        </w:r>
      </w:hyperlink>
      <w:r>
        <w:t xml:space="preserve">.</w:t>
      </w:r>
    </w:p>
    <w:bookmarkEnd w:id="183"/>
    <w:bookmarkStart w:id="185" w:name="ref-Whallon_2006"/>
    <w:p>
      <w:pPr>
        <w:pStyle w:val="Bibliography"/>
      </w:pPr>
      <w:r>
        <w:t xml:space="preserve">[70]</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4">
        <w:r>
          <w:rPr>
            <w:rStyle w:val="Hyperlink"/>
          </w:rPr>
          <w:t xml:space="preserve">https://doi.org/10.1016/j.jaa.2005.11.004</w:t>
        </w:r>
      </w:hyperlink>
      <w:r>
        <w:t xml:space="preserve">.</w:t>
      </w:r>
    </w:p>
    <w:bookmarkEnd w:id="185"/>
    <w:bookmarkStart w:id="186" w:name="ref-Fitzhugh_Phillips_Gjesfeld_2011"/>
    <w:p>
      <w:pPr>
        <w:pStyle w:val="Bibliography"/>
      </w:pPr>
      <w:r>
        <w:t xml:space="preserve">[71]</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6"/>
    <w:bookmarkStart w:id="188" w:name="ref-Lovis_Donahue_2011"/>
    <w:p>
      <w:pPr>
        <w:pStyle w:val="Bibliography"/>
      </w:pPr>
      <w:r>
        <w:t xml:space="preserve">[72]</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7">
        <w:r>
          <w:rPr>
            <w:rStyle w:val="Hyperlink"/>
          </w:rPr>
          <w:t xml:space="preserve">https://doi.org/10.2307/j.ctvdmwwz4.7</w:t>
        </w:r>
      </w:hyperlink>
      <w:r>
        <w:t xml:space="preserve">.</w:t>
      </w:r>
    </w:p>
    <w:bookmarkEnd w:id="188"/>
    <w:bookmarkStart w:id="190" w:name="ref-Hitchcock_Ebert_2011"/>
    <w:p>
      <w:pPr>
        <w:pStyle w:val="Bibliography"/>
      </w:pPr>
      <w:r>
        <w:t xml:space="preserve">[73]</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9">
        <w:r>
          <w:rPr>
            <w:rStyle w:val="Hyperlink"/>
          </w:rPr>
          <w:t xml:space="preserve">https://doi.org/10.2307/j.ctvdmwwz4.10</w:t>
        </w:r>
      </w:hyperlink>
      <w:r>
        <w:t xml:space="preserve">.</w:t>
      </w:r>
    </w:p>
    <w:bookmarkEnd w:id="190"/>
    <w:bookmarkStart w:id="192" w:name="ref-Romano_Lozano_Fern2022"/>
    <w:p>
      <w:pPr>
        <w:pStyle w:val="Bibliography"/>
      </w:pPr>
      <w:r>
        <w:t xml:space="preserve">[74]</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1">
        <w:r>
          <w:rPr>
            <w:rStyle w:val="Hyperlink"/>
          </w:rPr>
          <w:t xml:space="preserve">https://doi.org/10.1098/rstb.2020.0318</w:t>
        </w:r>
      </w:hyperlink>
      <w:r>
        <w:t xml:space="preserve">.</w:t>
      </w:r>
    </w:p>
    <w:bookmarkEnd w:id="192"/>
    <w:bookmarkStart w:id="194" w:name="ref-Kelly_2024"/>
    <w:p>
      <w:pPr>
        <w:pStyle w:val="Bibliography"/>
      </w:pPr>
      <w:r>
        <w:t xml:space="preserve">[75]</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3">
        <w:r>
          <w:rPr>
            <w:rStyle w:val="Hyperlink"/>
          </w:rPr>
          <w:t xml:space="preserve">https://doi.org/10.1111/tops.12762</w:t>
        </w:r>
      </w:hyperlink>
      <w:r>
        <w:t xml:space="preserve">.</w:t>
      </w:r>
    </w:p>
    <w:bookmarkEnd w:id="194"/>
    <w:bookmarkStart w:id="196" w:name="ref-Kinahan_2013"/>
    <w:p>
      <w:pPr>
        <w:pStyle w:val="Bibliography"/>
      </w:pPr>
      <w:r>
        <w:t xml:space="preserve">[76]</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5">
        <w:r>
          <w:rPr>
            <w:rStyle w:val="Hyperlink"/>
          </w:rPr>
          <w:t xml:space="preserve">https://doi.org/10.3213/2191-5784-10243</w:t>
        </w:r>
      </w:hyperlink>
      <w:r>
        <w:t xml:space="preserve">.</w:t>
      </w:r>
    </w:p>
    <w:bookmarkEnd w:id="196"/>
    <w:bookmarkStart w:id="198" w:name="ref-Newlander_2012"/>
    <w:p>
      <w:pPr>
        <w:pStyle w:val="Bibliography"/>
      </w:pPr>
      <w:r>
        <w:t xml:space="preserve">[77]</w:t>
      </w:r>
      <w:r>
        <w:t xml:space="preserve"> </w:t>
      </w:r>
      <w:r>
        <w:t xml:space="preserve">	</w:t>
      </w:r>
      <w:r>
        <w:t xml:space="preserve">Newlander KS.</w:t>
      </w:r>
      <w:r>
        <w:t xml:space="preserve"> </w:t>
      </w:r>
      <w:hyperlink r:id="rId197">
        <w:r>
          <w:rPr>
            <w:rStyle w:val="Hyperlink"/>
          </w:rPr>
          <w:t xml:space="preserve">Exchange, embedded procurement, and hunter-gatherer mobility: A case study from the north american great basin</w:t>
        </w:r>
      </w:hyperlink>
      <w:r>
        <w:t xml:space="preserve">. Ph.D. University of Michigan, 2012.</w:t>
      </w:r>
    </w:p>
    <w:bookmarkEnd w:id="198"/>
    <w:bookmarkStart w:id="200" w:name="ref-Iizuka_Ferguson_Izuho_2022"/>
    <w:p>
      <w:pPr>
        <w:pStyle w:val="Bibliography"/>
      </w:pPr>
      <w:r>
        <w:t xml:space="preserve">[78]</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9">
        <w:r>
          <w:rPr>
            <w:rStyle w:val="Hyperlink"/>
          </w:rPr>
          <w:t xml:space="preserve">https://doi.org/10.1371/journal.pone.0265329</w:t>
        </w:r>
      </w:hyperlink>
      <w:r>
        <w:t xml:space="preserve">.</w:t>
      </w:r>
    </w:p>
    <w:bookmarkEnd w:id="200"/>
    <w:bookmarkStart w:id="202" w:name="ref-conkley_agg"/>
    <w:p>
      <w:pPr>
        <w:pStyle w:val="Bibliography"/>
      </w:pPr>
      <w:r>
        <w:t xml:space="preserve">[79]</w:t>
      </w:r>
      <w:r>
        <w:t xml:space="preserve"> </w:t>
      </w:r>
      <w:r>
        <w:t xml:space="preserve">	</w:t>
      </w:r>
      <w:r>
        <w:t xml:space="preserve">Conkey M, Beltran A, Beltrán A, Clark GA, Echegaray JG, Echegaray JG, et al.</w:t>
      </w:r>
      <w:r>
        <w:t xml:space="preserve"> </w:t>
      </w:r>
      <w:hyperlink r:id="rId201">
        <w:r>
          <w:rPr>
            <w:rStyle w:val="Hyperlink"/>
          </w:rPr>
          <w:t xml:space="preserve">The identification of prehistoric hunter-gatherer aggregation sites: The case of altamira [and comments and reply]</w:t>
        </w:r>
      </w:hyperlink>
      <w:r>
        <w:t xml:space="preserve">. Current Anthropology 1980;21:609–30.</w:t>
      </w:r>
    </w:p>
    <w:bookmarkEnd w:id="202"/>
    <w:bookmarkStart w:id="204" w:name="ref-Maher_Conkey_2019"/>
    <w:p>
      <w:pPr>
        <w:pStyle w:val="Bibliography"/>
      </w:pPr>
      <w:r>
        <w:t xml:space="preserve">[80]</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3">
        <w:r>
          <w:rPr>
            <w:rStyle w:val="Hyperlink"/>
          </w:rPr>
          <w:t xml:space="preserve">https://doi.org/10.1086/701523</w:t>
        </w:r>
      </w:hyperlink>
      <w:r>
        <w:t xml:space="preserve">.</w:t>
      </w:r>
    </w:p>
    <w:bookmarkEnd w:id="204"/>
    <w:bookmarkStart w:id="205" w:name="ref-bahn1982inter"/>
    <w:p>
      <w:pPr>
        <w:pStyle w:val="Bibliography"/>
      </w:pPr>
      <w:r>
        <w:t xml:space="preserve">[81]</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5"/>
    <w:bookmarkStart w:id="207" w:name="ref-Bourdier_2013"/>
    <w:p>
      <w:pPr>
        <w:pStyle w:val="Bibliography"/>
      </w:pPr>
      <w:r>
        <w:t xml:space="preserve">[82]</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6">
        <w:r>
          <w:rPr>
            <w:rStyle w:val="Hyperlink"/>
          </w:rPr>
          <w:t xml:space="preserve">https://doi.org/10.1016/j.jaa.2013.05.005</w:t>
        </w:r>
      </w:hyperlink>
      <w:r>
        <w:t xml:space="preserve">.</w:t>
      </w:r>
    </w:p>
    <w:bookmarkEnd w:id="207"/>
    <w:bookmarkStart w:id="209" w:name="ref-Svoboda_2013"/>
    <w:p>
      <w:pPr>
        <w:pStyle w:val="Bibliography"/>
      </w:pPr>
      <w:r>
        <w:t xml:space="preserve">[83]</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8">
        <w:r>
          <w:rPr>
            <w:rStyle w:val="Hyperlink"/>
          </w:rPr>
          <w:t xml:space="preserve">https://doi.org/10.4000/palethnologie.4945</w:t>
        </w:r>
      </w:hyperlink>
      <w:r>
        <w:t xml:space="preserve">.</w:t>
      </w:r>
    </w:p>
    <w:bookmarkEnd w:id="209"/>
    <w:bookmarkStart w:id="210" w:name="ref-white1992rethinking"/>
    <w:p>
      <w:pPr>
        <w:pStyle w:val="Bibliography"/>
      </w:pPr>
      <w:r>
        <w:t xml:space="preserve">[84]</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10"/>
    <w:bookmarkStart w:id="211" w:name="X79d7c52b9cdbe72fc1b94e51c6ee6057d0c4a50"/>
    <w:p>
      <w:pPr>
        <w:pStyle w:val="Bibliography"/>
      </w:pPr>
      <w:r>
        <w:t xml:space="preserve">[85]</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1"/>
    <w:bookmarkStart w:id="213" w:name="ref-montet-white1994"/>
    <w:p>
      <w:pPr>
        <w:pStyle w:val="Bibliography"/>
      </w:pPr>
      <w:r>
        <w:t xml:space="preserve">[86]</w:t>
      </w:r>
      <w:r>
        <w:t xml:space="preserve"> </w:t>
      </w:r>
      <w:r>
        <w:t xml:space="preserve">	</w:t>
      </w:r>
      <w:r>
        <w:t xml:space="preserve">Montet-White A.</w:t>
      </w:r>
      <w:r>
        <w:t xml:space="preserve"> </w:t>
      </w:r>
      <w:hyperlink r:id="rId212">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3"/>
    <w:bookmarkStart w:id="215" w:name="ref-Frerebeau_2025"/>
    <w:p>
      <w:pPr>
        <w:pStyle w:val="Bibliography"/>
      </w:pPr>
      <w:r>
        <w:t xml:space="preserve">[87]</w:t>
      </w:r>
      <w:r>
        <w:t xml:space="preserve"> </w:t>
      </w:r>
      <w:r>
        <w:t xml:space="preserve">	</w:t>
      </w:r>
      <w:r>
        <w:t xml:space="preserve">Frerebeau N. Tabula: Analysis and visualization of archaeological count data 2025.</w:t>
      </w:r>
      <w:r>
        <w:t xml:space="preserve"> </w:t>
      </w:r>
      <w:hyperlink r:id="rId214">
        <w:r>
          <w:rPr>
            <w:rStyle w:val="Hyperlink"/>
          </w:rPr>
          <w:t xml:space="preserve">https://doi.org/10.5281/zenodo.15397990</w:t>
        </w:r>
      </w:hyperlink>
      <w:r>
        <w:t xml:space="preserve">.</w:t>
      </w:r>
    </w:p>
    <w:bookmarkEnd w:id="215"/>
    <w:bookmarkStart w:id="217" w:name="ref-Kintigh_1984"/>
    <w:p>
      <w:pPr>
        <w:pStyle w:val="Bibliography"/>
      </w:pPr>
      <w:r>
        <w:t xml:space="preserve">[88]</w:t>
      </w:r>
      <w:r>
        <w:t xml:space="preserve"> </w:t>
      </w:r>
      <w:r>
        <w:t xml:space="preserve">	</w:t>
      </w:r>
      <w:r>
        <w:t xml:space="preserve">Kintigh KW. Measuring archaeological diversity by comparison with simulated assemblages. American Antiquity 1984;49:44–54.</w:t>
      </w:r>
      <w:r>
        <w:t xml:space="preserve"> </w:t>
      </w:r>
      <w:hyperlink r:id="rId216">
        <w:r>
          <w:rPr>
            <w:rStyle w:val="Hyperlink"/>
          </w:rPr>
          <w:t xml:space="preserve">https://doi.org/10.2307/280511</w:t>
        </w:r>
      </w:hyperlink>
      <w:r>
        <w:t xml:space="preserve">.</w:t>
      </w:r>
    </w:p>
    <w:bookmarkEnd w:id="217"/>
    <w:bookmarkStart w:id="219" w:name="X8c17deb08b87fbfa26556dda630532ff62c8bd1"/>
    <w:p>
      <w:pPr>
        <w:pStyle w:val="Bibliography"/>
      </w:pPr>
      <w:r>
        <w:t xml:space="preserve">[89]</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8">
        <w:r>
          <w:rPr>
            <w:rStyle w:val="Hyperlink"/>
          </w:rPr>
          <w:t xml:space="preserve">https://doi.org/10.1038/s41467-024-51349-y</w:t>
        </w:r>
      </w:hyperlink>
      <w:r>
        <w:t xml:space="preserve">.</w:t>
      </w:r>
    </w:p>
    <w:bookmarkEnd w:id="219"/>
    <w:bookmarkStart w:id="221" w:name="ref-smith1992Design"/>
    <w:p>
      <w:pPr>
        <w:pStyle w:val="Bibliography"/>
      </w:pPr>
      <w:r>
        <w:t xml:space="preserve">[90]</w:t>
      </w:r>
      <w:r>
        <w:t xml:space="preserve"> </w:t>
      </w:r>
      <w:r>
        <w:t xml:space="preserve">	</w:t>
      </w:r>
      <w:r>
        <w:t xml:space="preserve">Smith C.</w:t>
      </w:r>
      <w:r>
        <w:t xml:space="preserve"> </w:t>
      </w:r>
      <w:hyperlink r:id="rId220">
        <w:r>
          <w:rPr>
            <w:rStyle w:val="Hyperlink"/>
          </w:rPr>
          <w:t xml:space="preserve">Designed dreaming: Assessing the relationship between style, social structure and environment in aboriginal australia</w:t>
        </w:r>
      </w:hyperlink>
      <w:r>
        <w:t xml:space="preserve">. Australian Archaeology 1992:51–1.</w:t>
      </w:r>
    </w:p>
    <w:bookmarkEnd w:id="221"/>
    <w:bookmarkStart w:id="222" w:name="ref-hays1993symbol"/>
    <w:p>
      <w:pPr>
        <w:pStyle w:val="Bibliography"/>
      </w:pPr>
      <w:r>
        <w:t xml:space="preserve">[91]</w:t>
      </w:r>
      <w:r>
        <w:t xml:space="preserve"> </w:t>
      </w:r>
      <w:r>
        <w:t xml:space="preserve">	</w:t>
      </w:r>
      <w:r>
        <w:t xml:space="preserve">Hays KA. When is a symbol archaeologically meaningful? Meaning, function, and prehistoric visual arts. Archaeological Theory: Who Sets the Agenda 1993:81–92.</w:t>
      </w:r>
    </w:p>
    <w:bookmarkEnd w:id="222"/>
    <w:bookmarkStart w:id="223" w:name="ref-McDonald_Veth_Lilley_2006"/>
    <w:p>
      <w:pPr>
        <w:pStyle w:val="Bibliography"/>
      </w:pPr>
      <w:r>
        <w:t xml:space="preserve">[92]</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3"/>
    <w:bookmarkStart w:id="225" w:name="ref-Lourandos_1985"/>
    <w:p>
      <w:pPr>
        <w:pStyle w:val="Bibliography"/>
      </w:pPr>
      <w:r>
        <w:t xml:space="preserve">[93]</w:t>
      </w:r>
      <w:r>
        <w:t xml:space="preserve"> </w:t>
      </w:r>
      <w:r>
        <w:t xml:space="preserve">	</w:t>
      </w:r>
      <w:r>
        <w:t xml:space="preserve">Lourandos H. 15 - intensification and australian prehistory. In: Price TD, Brown JA, editors. Prehistoric hunters-gatherers, Academic Press; 1985, p. 385–423. https://doi.org/</w:t>
      </w:r>
      <w:hyperlink r:id="rId224">
        <w:r>
          <w:rPr>
            <w:rStyle w:val="Hyperlink"/>
          </w:rPr>
          <w:t xml:space="preserve">https://doi.org/10.1016/B978-0-12-564750-2.50020-2</w:t>
        </w:r>
      </w:hyperlink>
      <w:r>
        <w:t xml:space="preserve">.</w:t>
      </w:r>
    </w:p>
    <w:bookmarkEnd w:id="225"/>
    <w:bookmarkStart w:id="227" w:name="ref-barton_clark_cohen1994"/>
    <w:p>
      <w:pPr>
        <w:pStyle w:val="Bibliography"/>
      </w:pPr>
      <w:r>
        <w:t xml:space="preserve">[94]</w:t>
      </w:r>
      <w:r>
        <w:t xml:space="preserve"> </w:t>
      </w:r>
      <w:r>
        <w:t xml:space="preserve">	</w:t>
      </w:r>
      <w:r>
        <w:t xml:space="preserve">Barton CM, Clark GA, Cohen AE.</w:t>
      </w:r>
      <w:r>
        <w:t xml:space="preserve"> </w:t>
      </w:r>
      <w:hyperlink r:id="rId226">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7"/>
    <w:bookmarkStart w:id="228" w:name="ref-mcdonald2012social"/>
    <w:p>
      <w:pPr>
        <w:pStyle w:val="Bibliography"/>
      </w:pPr>
      <w:r>
        <w:t xml:space="preserve">[95]</w:t>
      </w:r>
      <w:r>
        <w:t xml:space="preserve"> </w:t>
      </w:r>
      <w:r>
        <w:t xml:space="preserve">	</w:t>
      </w:r>
      <w:r>
        <w:t xml:space="preserve">McDonald J, Veth P. The social dynamics of aggregation and dispersal in the western desert. A Companion to Rock Art 2012:90–102.</w:t>
      </w:r>
    </w:p>
    <w:bookmarkEnd w:id="228"/>
    <w:bookmarkStart w:id="229" w:name="ref-bernardini2005reconsidering"/>
    <w:p>
      <w:pPr>
        <w:pStyle w:val="Bibliography"/>
      </w:pPr>
      <w:r>
        <w:t xml:space="preserve">[96]</w:t>
      </w:r>
      <w:r>
        <w:t xml:space="preserve"> </w:t>
      </w:r>
      <w:r>
        <w:t xml:space="preserve">	</w:t>
      </w:r>
      <w:r>
        <w:t xml:space="preserve">Bernardini W. Reconsidering spatial and temporal aspects of prehistoric cultural identity: A case study from the american southwest. American Antiquity 2005;70:31–54.</w:t>
      </w:r>
    </w:p>
    <w:bookmarkEnd w:id="229"/>
    <w:bookmarkStart w:id="230" w:name="ref-wiessner1984reconsidering"/>
    <w:p>
      <w:pPr>
        <w:pStyle w:val="Bibliography"/>
      </w:pPr>
      <w:r>
        <w:t xml:space="preserve">[97]</w:t>
      </w:r>
      <w:r>
        <w:t xml:space="preserve"> </w:t>
      </w:r>
      <w:r>
        <w:t xml:space="preserve">	</w:t>
      </w:r>
      <w:r>
        <w:t xml:space="preserve">Wiessner P. Reconsidering the behavioral basis for style: A case study among the kalahari san. Journal of Anthropological Archaeology 1984;3:190–234.</w:t>
      </w:r>
    </w:p>
    <w:bookmarkEnd w:id="230"/>
    <w:bookmarkStart w:id="232" w:name="ref-smith1992"/>
    <w:p>
      <w:pPr>
        <w:pStyle w:val="Bibliography"/>
      </w:pPr>
      <w:r>
        <w:t xml:space="preserve">[98]</w:t>
      </w:r>
      <w:r>
        <w:t xml:space="preserve"> </w:t>
      </w:r>
      <w:r>
        <w:t xml:space="preserve">	</w:t>
      </w:r>
      <w:r>
        <w:t xml:space="preserve">Smith C.</w:t>
      </w:r>
      <w:r>
        <w:t xml:space="preserve"> </w:t>
      </w:r>
      <w:hyperlink r:id="rId231">
        <w:r>
          <w:rPr>
            <w:rStyle w:val="Hyperlink"/>
          </w:rPr>
          <w:t xml:space="preserve">Colonising with style: Reviewing the nexus between rock art, territorially and the colonisation and occupation of sahul</w:t>
        </w:r>
      </w:hyperlink>
      <w:r>
        <w:t xml:space="preserve">. Australian Archaeology 1992:34–42.</w:t>
      </w:r>
    </w:p>
    <w:bookmarkEnd w:id="232"/>
    <w:bookmarkStart w:id="234" w:name="X4fed35d53d406ce17aea32f9d6f163fcb563519"/>
    <w:p>
      <w:pPr>
        <w:pStyle w:val="Bibliography"/>
      </w:pPr>
      <w:r>
        <w:t xml:space="preserve">[99]</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3">
        <w:r>
          <w:rPr>
            <w:rStyle w:val="Hyperlink"/>
          </w:rPr>
          <w:t xml:space="preserve">https://doi.org/10.1007/978-4-431-55363-2_8</w:t>
        </w:r>
      </w:hyperlink>
      <w:r>
        <w:t xml:space="preserve">.</w:t>
      </w:r>
    </w:p>
    <w:bookmarkEnd w:id="234"/>
    <w:bookmarkStart w:id="235" w:name="ref-Cavalli_Sforza_Feldman_1981"/>
    <w:p>
      <w:pPr>
        <w:pStyle w:val="Bibliography"/>
      </w:pPr>
      <w:r>
        <w:t xml:space="preserve">[100]</w:t>
      </w:r>
      <w:r>
        <w:t xml:space="preserve"> </w:t>
      </w:r>
      <w:r>
        <w:t xml:space="preserve">	</w:t>
      </w:r>
      <w:r>
        <w:t xml:space="preserve">Cavalli-Sforza LL, Feldman MW. Cultural transmission and evolution: A quantitative approach. Princeton University Press; 1981.</w:t>
      </w:r>
    </w:p>
    <w:bookmarkEnd w:id="235"/>
    <w:bookmarkStart w:id="236" w:name="ref-Boyd_Richerson_1985"/>
    <w:p>
      <w:pPr>
        <w:pStyle w:val="Bibliography"/>
      </w:pPr>
      <w:r>
        <w:t xml:space="preserve">[101]</w:t>
      </w:r>
      <w:r>
        <w:t xml:space="preserve"> </w:t>
      </w:r>
      <w:r>
        <w:t xml:space="preserve">	</w:t>
      </w:r>
      <w:r>
        <w:t xml:space="preserve">Boyd R, Richerson PJ. Culture and the evolutionary process. University of Chicago Press; 1985.</w:t>
      </w:r>
    </w:p>
    <w:bookmarkEnd w:id="236"/>
    <w:bookmarkStart w:id="237" w:name="ref-Richerson_Boyd_2005"/>
    <w:p>
      <w:pPr>
        <w:pStyle w:val="Bibliography"/>
      </w:pPr>
      <w:r>
        <w:t xml:space="preserve">[102]</w:t>
      </w:r>
      <w:r>
        <w:t xml:space="preserve"> </w:t>
      </w:r>
      <w:r>
        <w:t xml:space="preserve">	</w:t>
      </w:r>
      <w:r>
        <w:t xml:space="preserve">Richerson PJ, Boyd R. Not by genes alone: How culture transformed human evolution. University of Chicago Press; 2005.</w:t>
      </w:r>
    </w:p>
    <w:bookmarkEnd w:id="237"/>
    <w:bookmarkStart w:id="238" w:name="ref-Henrich_2004"/>
    <w:p>
      <w:pPr>
        <w:pStyle w:val="Bibliography"/>
      </w:pPr>
      <w:r>
        <w:t xml:space="preserve">[103]</w:t>
      </w:r>
      <w:r>
        <w:t xml:space="preserve"> </w:t>
      </w:r>
      <w:r>
        <w:t xml:space="preserve">	</w:t>
      </w:r>
      <w:r>
        <w:t xml:space="preserve">Henrich J. Demography and cultural evolution: How adaptive cultural processes can produce maladaptive losses—the tasmanian case. American Antiquity 2004;44:185–201.</w:t>
      </w:r>
    </w:p>
    <w:bookmarkEnd w:id="238"/>
    <w:bookmarkStart w:id="239" w:name="ref-Migliano_2020"/>
    <w:p>
      <w:pPr>
        <w:pStyle w:val="Bibliography"/>
      </w:pPr>
      <w:r>
        <w:t xml:space="preserve">[104]</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9"/>
    <w:bookmarkStart w:id="240" w:name="ref-Allen_2020"/>
    <w:p>
      <w:pPr>
        <w:pStyle w:val="Bibliography"/>
      </w:pPr>
      <w:r>
        <w:t xml:space="preserve">[105]</w:t>
      </w:r>
      <w:r>
        <w:t xml:space="preserve"> </w:t>
      </w:r>
      <w:r>
        <w:t xml:space="preserve">	</w:t>
      </w:r>
      <w:r>
        <w:t xml:space="preserve">Allen J. A multilevel analytical framework for studying cultural evolution in prehistoric hunter–gatherer societies. Biological Reviews 2020;59:2527–46.</w:t>
      </w:r>
    </w:p>
    <w:bookmarkEnd w:id="240"/>
    <w:bookmarkStart w:id="241" w:name="ref-Buchanan_Hamilton_2023"/>
    <w:p>
      <w:pPr>
        <w:pStyle w:val="Bibliography"/>
      </w:pPr>
      <w:r>
        <w:t xml:space="preserve">[106]</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1"/>
    <w:bookmarkStart w:id="242" w:name="ref-Eerkens_Lipo_2005"/>
    <w:p>
      <w:pPr>
        <w:pStyle w:val="Bibliography"/>
      </w:pPr>
      <w:r>
        <w:t xml:space="preserve">[107]</w:t>
      </w:r>
      <w:r>
        <w:t xml:space="preserve"> </w:t>
      </w:r>
      <w:r>
        <w:t xml:space="preserve">	</w:t>
      </w:r>
      <w:r>
        <w:t xml:space="preserve">Eerkens JW, Lipo CP. Cultural transmission and the evolution of material culture: Modeling the coefficient of variation. American Antiquity 2005;48:1–21.</w:t>
      </w:r>
    </w:p>
    <w:bookmarkEnd w:id="242"/>
    <w:bookmarkStart w:id="243" w:name="ref-Bentz_Dutkiewicz_2025"/>
    <w:p>
      <w:pPr>
        <w:pStyle w:val="Bibliography"/>
      </w:pPr>
      <w:r>
        <w:t xml:space="preserve">[108]</w:t>
      </w:r>
      <w:r>
        <w:t xml:space="preserve"> </w:t>
      </w:r>
      <w:r>
        <w:t xml:space="preserve">	</w:t>
      </w:r>
      <w:r>
        <w:t xml:space="preserve">Bentz C, Dutkiewicz E. Humans 40,000 y ago developed a system of conventional signs. Proceedings of the National Academy of Sciences 2025:1–8.</w:t>
      </w:r>
    </w:p>
    <w:bookmarkEnd w:id="243"/>
    <w:bookmarkStart w:id="244" w:name="ref-Bacon_2023"/>
    <w:p>
      <w:pPr>
        <w:pStyle w:val="Bibliography"/>
      </w:pPr>
      <w:r>
        <w:t xml:space="preserve">[109]</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4"/>
    <w:bookmarkStart w:id="246" w:name="Xa4990169aeb885a690070ab4fd90972c31994f8"/>
    <w:p>
      <w:pPr>
        <w:pStyle w:val="Bibliography"/>
      </w:pPr>
      <w:r>
        <w:t xml:space="preserve">[110]</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5">
        <w:r>
          <w:rPr>
            <w:rStyle w:val="Hyperlink"/>
          </w:rPr>
          <w:t xml:space="preserve">https://doi.org/10.2139/ssrn.7053279</w:t>
        </w:r>
      </w:hyperlink>
      <w:r>
        <w:t xml:space="preserve">.</w:t>
      </w:r>
    </w:p>
    <w:bookmarkEnd w:id="246"/>
    <w:bookmarkStart w:id="248" w:name="X8ea620419c64d551554c48b7075c9934881930b"/>
    <w:p>
      <w:pPr>
        <w:pStyle w:val="Bibliography"/>
      </w:pPr>
      <w:r>
        <w:t xml:space="preserve">[111]</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7">
        <w:r>
          <w:rPr>
            <w:rStyle w:val="Hyperlink"/>
          </w:rPr>
          <w:t xml:space="preserve">https://doi.org/10.1007/s41982-023-00158-8</w:t>
        </w:r>
      </w:hyperlink>
      <w:r>
        <w:t xml:space="preserve">.</w:t>
      </w:r>
    </w:p>
    <w:bookmarkEnd w:id="248"/>
    <w:bookmarkStart w:id="250" w:name="ref-Magli_2024"/>
    <w:p>
      <w:pPr>
        <w:pStyle w:val="Bibliography"/>
      </w:pPr>
      <w:r>
        <w:t xml:space="preserve">[112]</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9">
        <w:r>
          <w:rPr>
            <w:rStyle w:val="Hyperlink"/>
          </w:rPr>
          <w:t xml:space="preserve">https://doi.org/10.1093/mind/fzae011</w:t>
        </w:r>
      </w:hyperlink>
      <w:r>
        <w:t xml:space="preserve">.</w:t>
      </w:r>
    </w:p>
    <w:bookmarkEnd w:id="250"/>
    <w:bookmarkStart w:id="252" w:name="ref-Nowell_2024_evidence"/>
    <w:p>
      <w:pPr>
        <w:pStyle w:val="Bibliography"/>
      </w:pPr>
      <w:r>
        <w:t xml:space="preserve">[113]</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1">
        <w:r>
          <w:rPr>
            <w:rStyle w:val="Hyperlink"/>
          </w:rPr>
          <w:t xml:space="preserve">https://doi.org/10.1017/S0959774324000155</w:t>
        </w:r>
      </w:hyperlink>
      <w:r>
        <w:t xml:space="preserve">.</w:t>
      </w:r>
    </w:p>
    <w:bookmarkEnd w:id="252"/>
    <w:bookmarkStart w:id="254" w:name="ref-Horiuchi_Takakura_2019"/>
    <w:p>
      <w:pPr>
        <w:pStyle w:val="Bibliography"/>
      </w:pPr>
      <w:r>
        <w:t xml:space="preserve">[114]</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3">
        <w:r>
          <w:rPr>
            <w:rStyle w:val="Hyperlink"/>
          </w:rPr>
          <w:t xml:space="preserve">https://doi.org/10.1007/978-981-13-8980-1_12</w:t>
        </w:r>
      </w:hyperlink>
      <w:r>
        <w:t xml:space="preserve">.</w:t>
      </w:r>
    </w:p>
    <w:bookmarkEnd w:id="254"/>
    <w:bookmarkStart w:id="255" w:name="ref-Rogers_2013"/>
    <w:p>
      <w:pPr>
        <w:pStyle w:val="Bibliography"/>
      </w:pPr>
      <w:r>
        <w:t xml:space="preserve">[115]</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5"/>
    <w:bookmarkStart w:id="257" w:name="X94f875be1b7e5d23641daff5d53857bec24e739"/>
    <w:p>
      <w:pPr>
        <w:pStyle w:val="Bibliography"/>
      </w:pPr>
      <w:r>
        <w:t xml:space="preserve">[116]</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6">
        <w:r>
          <w:rPr>
            <w:rStyle w:val="Hyperlink"/>
          </w:rPr>
          <w:t xml:space="preserve">https://doi.org/10.1016/j.jasrep.2021.103118</w:t>
        </w:r>
      </w:hyperlink>
      <w:r>
        <w:t xml:space="preserve">.</w:t>
      </w:r>
    </w:p>
    <w:bookmarkEnd w:id="257"/>
    <w:bookmarkStart w:id="259" w:name="ref-Gamble_1982"/>
    <w:p>
      <w:pPr>
        <w:pStyle w:val="Bibliography"/>
      </w:pPr>
      <w:r>
        <w:t xml:space="preserve">[117]</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8">
        <w:r>
          <w:rPr>
            <w:rStyle w:val="Hyperlink"/>
          </w:rPr>
          <w:t xml:space="preserve">https://doi.org/10.2307/2802103</w:t>
        </w:r>
      </w:hyperlink>
      <w:r>
        <w:t xml:space="preserve">.</w:t>
      </w:r>
    </w:p>
    <w:bookmarkEnd w:id="259"/>
    <w:bookmarkStart w:id="261" w:name="Xba346573845225b1b1d5ef358e2fea0d893a789"/>
    <w:p>
      <w:pPr>
        <w:pStyle w:val="Bibliography"/>
      </w:pPr>
      <w:r>
        <w:t xml:space="preserve">[118]</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60">
        <w:r>
          <w:rPr>
            <w:rStyle w:val="Hyperlink"/>
          </w:rPr>
          <w:t xml:space="preserve">https://doi.org/10.1016/j.quascirev.2018.12.011</w:t>
        </w:r>
      </w:hyperlink>
      <w:r>
        <w:t xml:space="preserve">.</w:t>
      </w:r>
    </w:p>
    <w:bookmarkEnd w:id="261"/>
    <w:bookmarkStart w:id="263" w:name="ref-Creanza_Kolodny_Feldman_2017"/>
    <w:p>
      <w:pPr>
        <w:pStyle w:val="Bibliography"/>
      </w:pPr>
      <w:r>
        <w:t xml:space="preserve">[119]</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2">
        <w:r>
          <w:rPr>
            <w:rStyle w:val="Hyperlink"/>
          </w:rPr>
          <w:t xml:space="preserve">https://doi.org/10.1098/rsif.2017.0171</w:t>
        </w:r>
      </w:hyperlink>
      <w:r>
        <w:t xml:space="preserve">.</w:t>
      </w:r>
    </w:p>
    <w:bookmarkEnd w:id="263"/>
    <w:bookmarkStart w:id="265" w:name="ref-Cullen_1996"/>
    <w:p>
      <w:pPr>
        <w:pStyle w:val="Bibliography"/>
      </w:pPr>
      <w:r>
        <w:t xml:space="preserve">[120]</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4">
        <w:r>
          <w:rPr>
            <w:rStyle w:val="Hyperlink"/>
          </w:rPr>
          <w:t xml:space="preserve">https://doi.org/10.1007/978-1-4757-9945-3_4</w:t>
        </w:r>
      </w:hyperlink>
      <w:r>
        <w:t xml:space="preserve">.</w:t>
      </w:r>
    </w:p>
    <w:bookmarkEnd w:id="265"/>
    <w:bookmarkStart w:id="267" w:name="ref-Hill_Wood_Baggio_Hurtado_Boyd_2014"/>
    <w:p>
      <w:pPr>
        <w:pStyle w:val="Bibliography"/>
      </w:pPr>
      <w:r>
        <w:t xml:space="preserve">[121]</w:t>
      </w:r>
      <w:r>
        <w:t xml:space="preserve"> </w:t>
      </w:r>
      <w:r>
        <w:t xml:space="preserve">	</w:t>
      </w:r>
      <w:r>
        <w:t xml:space="preserve">Hill KR, Wood BM, Baggio J, Hurtado AM, Boyd RT. Hunter-gatherer inter-band interaction rates: Implications for cumulative culture. PLOS ONE 2014;9:1–9.</w:t>
      </w:r>
      <w:r>
        <w:t xml:space="preserve"> </w:t>
      </w:r>
      <w:hyperlink r:id="rId266">
        <w:r>
          <w:rPr>
            <w:rStyle w:val="Hyperlink"/>
          </w:rPr>
          <w:t xml:space="preserve">https://doi.org/10.1371/journal.pone.0102806</w:t>
        </w:r>
      </w:hyperlink>
      <w:r>
        <w:t xml:space="preserve">.</w:t>
      </w:r>
    </w:p>
    <w:bookmarkEnd w:id="267"/>
    <w:bookmarkStart w:id="269" w:name="ref-Derex_Boyd_2016"/>
    <w:p>
      <w:pPr>
        <w:pStyle w:val="Bibliography"/>
      </w:pPr>
      <w:r>
        <w:t xml:space="preserve">[122]</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8">
        <w:r>
          <w:rPr>
            <w:rStyle w:val="Hyperlink"/>
          </w:rPr>
          <w:t xml:space="preserve">https://doi.org/10.1073/pnas.1518798113</w:t>
        </w:r>
      </w:hyperlink>
      <w:r>
        <w:t xml:space="preserve">.</w:t>
      </w:r>
    </w:p>
    <w:bookmarkEnd w:id="269"/>
    <w:bookmarkStart w:id="271"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70">
        <w:r>
          <w:rPr>
            <w:rStyle w:val="Hyperlink"/>
          </w:rPr>
          <w:t xml:space="preserve">https://doi.org/10.1093/oxfordhb/9780198854265.013.31</w:t>
        </w:r>
      </w:hyperlink>
      <w:r>
        <w:t xml:space="preserve">.</w:t>
      </w:r>
    </w:p>
    <w:bookmarkEnd w:id="271"/>
    <w:bookmarkStart w:id="272" w:name="ref-Von_Petzinger_2009"/>
    <w:p>
      <w:pPr>
        <w:pStyle w:val="Bibliography"/>
      </w:pPr>
      <w:r>
        <w:t xml:space="preserve">[124]</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2"/>
    <w:bookmarkStart w:id="274" w:name="ref-Herskind2023"/>
    <w:p>
      <w:pPr>
        <w:pStyle w:val="Bibliography"/>
      </w:pPr>
      <w:r>
        <w:t xml:space="preserve">[125]</w:t>
      </w:r>
      <w:r>
        <w:t xml:space="preserve"> </w:t>
      </w:r>
      <w:r>
        <w:t xml:space="preserve">	</w:t>
      </w:r>
      <w:r>
        <w:t xml:space="preserve">Platz HLL. A case for idle graffiti. Hunter Gatherer Research 2023;9:59–93.</w:t>
      </w:r>
      <w:r>
        <w:t xml:space="preserve"> </w:t>
      </w:r>
      <w:hyperlink r:id="rId273">
        <w:r>
          <w:rPr>
            <w:rStyle w:val="Hyperlink"/>
          </w:rPr>
          <w:t xml:space="preserve">https://doi.org/10.3828/hgr.2023.12</w:t>
        </w:r>
      </w:hyperlink>
      <w:r>
        <w:t xml:space="preserve">.</w:t>
      </w:r>
    </w:p>
    <w:bookmarkEnd w:id="274"/>
    <w:bookmarkStart w:id="276" w:name="X42e36537dda68556aeacf852410efd6ac3bb1ca"/>
    <w:p>
      <w:pPr>
        <w:pStyle w:val="Bibliography"/>
      </w:pPr>
      <w:r>
        <w:t xml:space="preserve">[126]</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5">
        <w:r>
          <w:rPr>
            <w:rStyle w:val="Hyperlink"/>
          </w:rPr>
          <w:t xml:space="preserve">https://doi.org/10.1007/s10816-023-09608-7</w:t>
        </w:r>
      </w:hyperlink>
      <w:r>
        <w:t xml:space="preserve">.</w:t>
      </w:r>
    </w:p>
    <w:bookmarkEnd w:id="276"/>
    <w:bookmarkStart w:id="278" w:name="ref-Marwick2017"/>
    <w:p>
      <w:pPr>
        <w:pStyle w:val="Bibliography"/>
      </w:pPr>
      <w:r>
        <w:t xml:space="preserve">[127]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7">
        <w:r>
          <w:rPr>
            <w:rStyle w:val="Hyperlink"/>
          </w:rPr>
          <w:t xml:space="preserve">https://doi.org/10.1007/s10816-015-9272-9</w:t>
        </w:r>
      </w:hyperlink>
      <w:r>
        <w:t xml:space="preserve">.</w:t>
      </w:r>
    </w:p>
    <w:bookmarkEnd w:id="278"/>
    <w:bookmarkStart w:id="280" w:name="ref-Marwick_2025"/>
    <w:p>
      <w:pPr>
        <w:pStyle w:val="Bibliography"/>
      </w:pPr>
      <w:r>
        <w:t xml:space="preserve">[128]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9">
        <w:r>
          <w:rPr>
            <w:rStyle w:val="Hyperlink"/>
          </w:rPr>
          <w:t xml:space="preserve">https://doi.org/10.1016/j.jas.2025.106281</w:t>
        </w:r>
      </w:hyperlink>
      <w:r>
        <w:t xml:space="preserve">.</w:t>
      </w:r>
    </w:p>
    <w:bookmarkEnd w:id="280"/>
    <w:bookmarkEnd w:id="281"/>
    <w:bookmarkEnd w:id="28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226" Target="http://www.jstor.org/stable/124852" TargetMode="External" /><Relationship Type="http://schemas.openxmlformats.org/officeDocument/2006/relationships/hyperlink" Id="rId212" Target="http://www.jstor.org/stable/2156023" TargetMode="External" /><Relationship Type="http://schemas.openxmlformats.org/officeDocument/2006/relationships/hyperlink" Id="rId201" Target="http://www.jstor.org/stable/2741828" TargetMode="External" /><Relationship Type="http://schemas.openxmlformats.org/officeDocument/2006/relationships/hyperlink" Id="rId176" Target="http://www.jstor.org/stable/279544" TargetMode="External" /><Relationship Type="http://schemas.openxmlformats.org/officeDocument/2006/relationships/hyperlink" Id="rId178" Target="http://www.jstor.org/stable/2800797" TargetMode="External" /><Relationship Type="http://schemas.openxmlformats.org/officeDocument/2006/relationships/hyperlink" Id="rId231" Target="http://www.jstor.org/stable/40287092" TargetMode="External" /><Relationship Type="http://schemas.openxmlformats.org/officeDocument/2006/relationships/hyperlink" Id="rId22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1" Target="https://doi.org/10.1002/9781118445112.stat07841" TargetMode="External" /><Relationship Type="http://schemas.openxmlformats.org/officeDocument/2006/relationships/hyperlink" Id="rId123"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5"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4"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3" Target="https://doi.org/10.1007/978-4-431-55363-2_8" TargetMode="External" /><Relationship Type="http://schemas.openxmlformats.org/officeDocument/2006/relationships/hyperlink" Id="rId253"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277" Target="https://doi.org/10.1007/s10816-015-9272-9" TargetMode="External" /><Relationship Type="http://schemas.openxmlformats.org/officeDocument/2006/relationships/hyperlink" Id="rId275" Target="https://doi.org/10.1007/s10816-023-09608-7" TargetMode="External" /><Relationship Type="http://schemas.openxmlformats.org/officeDocument/2006/relationships/hyperlink" Id="rId121" Target="https://doi.org/10.1007/s12520-018-0742-3" TargetMode="External" /><Relationship Type="http://schemas.openxmlformats.org/officeDocument/2006/relationships/hyperlink" Id="rId247" Target="https://doi.org/10.1007/s41982-023-00158-8" TargetMode="External" /><Relationship Type="http://schemas.openxmlformats.org/officeDocument/2006/relationships/hyperlink" Id="rId115" Target="https://doi.org/10.1007/s41982-025-00298-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4" Target="https://doi.org/10.1016/B978-0-12-564750-2.50020-2" TargetMode="External" /><Relationship Type="http://schemas.openxmlformats.org/officeDocument/2006/relationships/hyperlink" Id="rId143"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4" Target="https://doi.org/10.1016/j.jaa.2005.11.004" TargetMode="External" /><Relationship Type="http://schemas.openxmlformats.org/officeDocument/2006/relationships/hyperlink" Id="rId20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9" Target="https://doi.org/10.1016/j.jas.2025.106281" TargetMode="External" /><Relationship Type="http://schemas.openxmlformats.org/officeDocument/2006/relationships/hyperlink" Id="rId256"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3" Target="https://doi.org/10.1016/j.jhevol.2012.10.001" TargetMode="External" /><Relationship Type="http://schemas.openxmlformats.org/officeDocument/2006/relationships/hyperlink" Id="rId15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7" Target="https://doi.org/10.1016/j.quascirev.2009.11.015" TargetMode="External" /><Relationship Type="http://schemas.openxmlformats.org/officeDocument/2006/relationships/hyperlink" Id="rId260" Target="https://doi.org/10.1016/j.quascirev.2018.12.011" TargetMode="External" /><Relationship Type="http://schemas.openxmlformats.org/officeDocument/2006/relationships/hyperlink" Id="rId95"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9"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51" Target="https://doi.org/10.1017/S0959774324000155" TargetMode="External" /><Relationship Type="http://schemas.openxmlformats.org/officeDocument/2006/relationships/hyperlink" Id="rId110" Target="https://doi.org/10.1017/ppr.2019.5" TargetMode="External" /><Relationship Type="http://schemas.openxmlformats.org/officeDocument/2006/relationships/hyperlink" Id="rId21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8" Target="https://doi.org/10.1073/pnas.1518798113" TargetMode="External" /><Relationship Type="http://schemas.openxmlformats.org/officeDocument/2006/relationships/hyperlink" Id="rId203" Target="https://doi.org/10.1086/701523" TargetMode="External" /><Relationship Type="http://schemas.openxmlformats.org/officeDocument/2006/relationships/hyperlink" Id="rId249" Target="https://doi.org/10.1093/mind/fzae011" TargetMode="External" /><Relationship Type="http://schemas.openxmlformats.org/officeDocument/2006/relationships/hyperlink" Id="rId270" Target="https://doi.org/10.1093/oxfordhb/9780198854265.013.31" TargetMode="External" /><Relationship Type="http://schemas.openxmlformats.org/officeDocument/2006/relationships/hyperlink" Id="rId262"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131"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13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66" Target="https://doi.org/10.1371/journal.pone.0102806" TargetMode="External" /><Relationship Type="http://schemas.openxmlformats.org/officeDocument/2006/relationships/hyperlink" Id="rId127"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1"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9" Target="https://doi.org/10.18637/jss.v025.i03" TargetMode="External" /><Relationship Type="http://schemas.openxmlformats.org/officeDocument/2006/relationships/hyperlink" Id="rId245" Target="https://doi.org/10.2139/ssrn.7053279" TargetMode="External" /><Relationship Type="http://schemas.openxmlformats.org/officeDocument/2006/relationships/hyperlink" Id="rId258"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163"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195" Target="https://doi.org/10.3213/2191-5784-10243" TargetMode="External" /><Relationship Type="http://schemas.openxmlformats.org/officeDocument/2006/relationships/hyperlink" Id="rId125" Target="https://doi.org/10.32614/CRAN.package.vegan" TargetMode="External" /><Relationship Type="http://schemas.openxmlformats.org/officeDocument/2006/relationships/hyperlink" Id="rId273" Target="https://doi.org/10.3828/hgr.2023.12" TargetMode="External" /><Relationship Type="http://schemas.openxmlformats.org/officeDocument/2006/relationships/hyperlink" Id="rId208" Target="https://doi.org/10.4000/palethnologie.4945" TargetMode="External" /><Relationship Type="http://schemas.openxmlformats.org/officeDocument/2006/relationships/hyperlink" Id="rId113" Target="https://doi.org/10.4000/palethnologie.736" TargetMode="External" /><Relationship Type="http://schemas.openxmlformats.org/officeDocument/2006/relationships/hyperlink" Id="rId214"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9" Target="https://igraph.org" TargetMode="External" /><Relationship Type="http://schemas.openxmlformats.org/officeDocument/2006/relationships/hyperlink" Id="rId137" Target="https://statnet.org"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226" Target="http://www.jstor.org/stable/124852" TargetMode="External" /><Relationship Type="http://schemas.openxmlformats.org/officeDocument/2006/relationships/hyperlink" Id="rId212" Target="http://www.jstor.org/stable/2156023" TargetMode="External" /><Relationship Type="http://schemas.openxmlformats.org/officeDocument/2006/relationships/hyperlink" Id="rId201" Target="http://www.jstor.org/stable/2741828" TargetMode="External" /><Relationship Type="http://schemas.openxmlformats.org/officeDocument/2006/relationships/hyperlink" Id="rId176" Target="http://www.jstor.org/stable/279544" TargetMode="External" /><Relationship Type="http://schemas.openxmlformats.org/officeDocument/2006/relationships/hyperlink" Id="rId178" Target="http://www.jstor.org/stable/2800797" TargetMode="External" /><Relationship Type="http://schemas.openxmlformats.org/officeDocument/2006/relationships/hyperlink" Id="rId231" Target="http://www.jstor.org/stable/40287092" TargetMode="External" /><Relationship Type="http://schemas.openxmlformats.org/officeDocument/2006/relationships/hyperlink" Id="rId22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1" Target="https://doi.org/10.1002/9781118445112.stat07841" TargetMode="External" /><Relationship Type="http://schemas.openxmlformats.org/officeDocument/2006/relationships/hyperlink" Id="rId123"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5"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4"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3" Target="https://doi.org/10.1007/978-4-431-55363-2_8" TargetMode="External" /><Relationship Type="http://schemas.openxmlformats.org/officeDocument/2006/relationships/hyperlink" Id="rId253"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277" Target="https://doi.org/10.1007/s10816-015-9272-9" TargetMode="External" /><Relationship Type="http://schemas.openxmlformats.org/officeDocument/2006/relationships/hyperlink" Id="rId275" Target="https://doi.org/10.1007/s10816-023-09608-7" TargetMode="External" /><Relationship Type="http://schemas.openxmlformats.org/officeDocument/2006/relationships/hyperlink" Id="rId121" Target="https://doi.org/10.1007/s12520-018-0742-3" TargetMode="External" /><Relationship Type="http://schemas.openxmlformats.org/officeDocument/2006/relationships/hyperlink" Id="rId247" Target="https://doi.org/10.1007/s41982-023-00158-8" TargetMode="External" /><Relationship Type="http://schemas.openxmlformats.org/officeDocument/2006/relationships/hyperlink" Id="rId115" Target="https://doi.org/10.1007/s41982-025-00298-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4" Target="https://doi.org/10.1016/B978-0-12-564750-2.50020-2" TargetMode="External" /><Relationship Type="http://schemas.openxmlformats.org/officeDocument/2006/relationships/hyperlink" Id="rId143"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4" Target="https://doi.org/10.1016/j.jaa.2005.11.004" TargetMode="External" /><Relationship Type="http://schemas.openxmlformats.org/officeDocument/2006/relationships/hyperlink" Id="rId20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9" Target="https://doi.org/10.1016/j.jas.2025.106281" TargetMode="External" /><Relationship Type="http://schemas.openxmlformats.org/officeDocument/2006/relationships/hyperlink" Id="rId256"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3" Target="https://doi.org/10.1016/j.jhevol.2012.10.001" TargetMode="External" /><Relationship Type="http://schemas.openxmlformats.org/officeDocument/2006/relationships/hyperlink" Id="rId15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7" Target="https://doi.org/10.1016/j.quascirev.2009.11.015" TargetMode="External" /><Relationship Type="http://schemas.openxmlformats.org/officeDocument/2006/relationships/hyperlink" Id="rId260" Target="https://doi.org/10.1016/j.quascirev.2018.12.011" TargetMode="External" /><Relationship Type="http://schemas.openxmlformats.org/officeDocument/2006/relationships/hyperlink" Id="rId95"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9"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51" Target="https://doi.org/10.1017/S0959774324000155" TargetMode="External" /><Relationship Type="http://schemas.openxmlformats.org/officeDocument/2006/relationships/hyperlink" Id="rId110" Target="https://doi.org/10.1017/ppr.2019.5" TargetMode="External" /><Relationship Type="http://schemas.openxmlformats.org/officeDocument/2006/relationships/hyperlink" Id="rId21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8" Target="https://doi.org/10.1073/pnas.1518798113" TargetMode="External" /><Relationship Type="http://schemas.openxmlformats.org/officeDocument/2006/relationships/hyperlink" Id="rId203" Target="https://doi.org/10.1086/701523" TargetMode="External" /><Relationship Type="http://schemas.openxmlformats.org/officeDocument/2006/relationships/hyperlink" Id="rId249" Target="https://doi.org/10.1093/mind/fzae011" TargetMode="External" /><Relationship Type="http://schemas.openxmlformats.org/officeDocument/2006/relationships/hyperlink" Id="rId270" Target="https://doi.org/10.1093/oxfordhb/9780198854265.013.31" TargetMode="External" /><Relationship Type="http://schemas.openxmlformats.org/officeDocument/2006/relationships/hyperlink" Id="rId262"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131"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13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66" Target="https://doi.org/10.1371/journal.pone.0102806" TargetMode="External" /><Relationship Type="http://schemas.openxmlformats.org/officeDocument/2006/relationships/hyperlink" Id="rId127"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1"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9" Target="https://doi.org/10.18637/jss.v025.i03" TargetMode="External" /><Relationship Type="http://schemas.openxmlformats.org/officeDocument/2006/relationships/hyperlink" Id="rId245" Target="https://doi.org/10.2139/ssrn.7053279" TargetMode="External" /><Relationship Type="http://schemas.openxmlformats.org/officeDocument/2006/relationships/hyperlink" Id="rId258"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163"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195" Target="https://doi.org/10.3213/2191-5784-10243" TargetMode="External" /><Relationship Type="http://schemas.openxmlformats.org/officeDocument/2006/relationships/hyperlink" Id="rId125" Target="https://doi.org/10.32614/CRAN.package.vegan" TargetMode="External" /><Relationship Type="http://schemas.openxmlformats.org/officeDocument/2006/relationships/hyperlink" Id="rId273" Target="https://doi.org/10.3828/hgr.2023.12" TargetMode="External" /><Relationship Type="http://schemas.openxmlformats.org/officeDocument/2006/relationships/hyperlink" Id="rId208" Target="https://doi.org/10.4000/palethnologie.4945" TargetMode="External" /><Relationship Type="http://schemas.openxmlformats.org/officeDocument/2006/relationships/hyperlink" Id="rId113" Target="https://doi.org/10.4000/palethnologie.736" TargetMode="External" /><Relationship Type="http://schemas.openxmlformats.org/officeDocument/2006/relationships/hyperlink" Id="rId214"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9" Target="https://igraph.org" TargetMode="External" /><Relationship Type="http://schemas.openxmlformats.org/officeDocument/2006/relationships/hyperlink" Id="rId137" Target="https://statnet.org"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2026-08-06T07:21:19Z</dcterms:created>
  <dcterms:modified xsi:type="dcterms:W3CDTF">2026-08-06T07:21:19Z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