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5,</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sec-overview"/>
    <w:p>
      <w:pPr>
        <w:pStyle w:val="Heading2"/>
      </w:pPr>
      <w:r>
        <w:t xml:space="preserve">S2.1 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because their assemblages are too mixed to assign to a single phase reliably: Spy</w:t>
      </w:r>
      <w:r>
        <w:t xml:space="preserve"> </w:t>
      </w:r>
      <w:r>
        <w:t xml:space="preserve">[8,9]</w:t>
      </w:r>
      <w:r>
        <w:t xml:space="preserve"> </w:t>
      </w:r>
      <w:r>
        <w:t xml:space="preserve">and El Castillo.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[10]</w:t>
      </w:r>
      <w:r>
        <w:t xml:space="preserve">. We detail the rationale and procedure for assigning archaeological sites to Aurignacian phases further below.</w:t>
      </w:r>
    </w:p>
    <w:bookmarkEnd w:id="21"/>
    <w:bookmarkStart w:id="22" w:name="sec-data-pipeline"/>
    <w:p>
      <w:pPr>
        <w:pStyle w:val="Heading2"/>
      </w:pPr>
      <w:r>
        <w:t xml:space="preserve">S2.2 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 Date parsing handles both ends of date ranges, routes OSL ages around radiocarbon calibration, and uses IntCal20 explicitly. The default</w:t>
      </w:r>
      <w:r>
        <w:t xml:space="preserve"> </w:t>
      </w:r>
      <w:r>
        <w:rPr>
          <w:rStyle w:val="VerbatimChar"/>
        </w:rPr>
        <w:t xml:space="preserve">date_variant = "midpoint"</w:t>
      </w:r>
      <w:r>
        <w:t xml:space="preserve"> </w:t>
      </w:r>
      <w:r>
        <w:t xml:space="preserve">is used here; sensitivity to variant choice is explored in Supplement S1.</w:t>
      </w:r>
    </w:p>
    <w:p>
      <w:pPr>
        <w:pStyle w:val="TableCaption"/>
      </w:pPr>
      <w:r>
        <w:t xml:space="preserve">Retained sites with object counts and assignment basis.</w:t>
      </w:r>
    </w:p>
    <w:tbl>
      <w:tblPr>
        <w:tblStyle w:val="Table"/>
        <w:tblW w:type="pct" w:w="5000"/>
        <w:tblLook w:firstRow="1" w:lastRow="0" w:firstColumn="0" w:lastColumn="0" w:noHBand="0" w:noVBand="0" w:val="0020"/>
        <w:jc w:val="start"/>
        <w:tblLayout w:type="fixed"/>
        <w:tblCaption w:val="Retained sites with object counts and assignment basis."/>
      </w:tblPr>
      <w:tblGrid>
        <w:gridCol w:w="887"/>
        <w:gridCol w:w="230"/>
        <w:gridCol w:w="262"/>
        <w:gridCol w:w="328"/>
        <w:gridCol w:w="361"/>
        <w:gridCol w:w="5849"/>
      </w:tblGrid>
      <w:tr>
        <w:trPr>
          <w:tblHeader w:val="true"/>
        </w:trPr>
        <w:tc>
          <w:tcPr/>
          <w:p>
            <w:pPr>
              <w:pStyle w:val="Compact"/>
              <w:jc w:val="left"/>
            </w:pPr>
            <w:r>
              <w:t xml:space="preserve">site_name</w:t>
            </w:r>
          </w:p>
        </w:tc>
        <w:tc>
          <w:tcPr/>
          <w:p>
            <w:pPr>
              <w:pStyle w:val="Compact"/>
              <w:jc w:val="left"/>
            </w:pPr>
            <w:r>
              <w:t xml:space="preserve">phase2</w:t>
            </w:r>
          </w:p>
        </w:tc>
        <w:tc>
          <w:tcPr/>
          <w:p>
            <w:pPr>
              <w:pStyle w:val="Compact"/>
              <w:jc w:val="right"/>
            </w:pPr>
            <w:r>
              <w:t xml:space="preserve">objects</w:t>
            </w:r>
          </w:p>
        </w:tc>
        <w:tc>
          <w:tcPr/>
          <w:p>
            <w:pPr>
              <w:pStyle w:val="Compact"/>
              <w:jc w:val="right"/>
            </w:pPr>
            <w:r>
              <w:t xml:space="preserve">median_bp</w:t>
            </w:r>
          </w:p>
        </w:tc>
        <w:tc>
          <w:tcPr/>
          <w:p>
            <w:pPr>
              <w:pStyle w:val="Compact"/>
              <w:jc w:val="left"/>
            </w:pPr>
            <w:r>
              <w:t xml:space="preserve">assignment</w:t>
            </w:r>
          </w:p>
        </w:tc>
        <w:tc>
          <w:tcPr/>
          <w:p>
            <w:pPr>
              <w:pStyle w:val="Compact"/>
              <w:jc w:val="left"/>
            </w:pPr>
            <w:r>
              <w:t xml:space="preserve">basis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40127</w:t>
            </w:r>
          </w:p>
        </w:tc>
        <w:tc>
          <w:tcPr/>
          <w:p>
            <w:pPr>
              <w:pStyle w:val="Compact"/>
              <w:jc w:val="left"/>
            </w:pPr>
            <w:r>
              <w:t xml:space="preserve">technology</w:t>
            </w:r>
          </w:p>
        </w:tc>
        <w:tc>
          <w:tcPr/>
          <w:p>
            <w:pPr>
              <w:pStyle w:val="Compact"/>
              <w:jc w:val="left"/>
            </w:pPr>
            <w:r>
              <w:t xml:space="preserve">Early Aurignacian</w:t>
            </w:r>
            <w:r>
              <w:t xml:space="preserve"> </w:t>
            </w:r>
            <w:r>
              <w:t xml:space="preserve">[1,2]</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c>
          <w:tcPr/>
          <w:p>
            <w:pPr>
              <w:pStyle w:val="Compact"/>
              <w:jc w:val="right"/>
            </w:pPr>
            <w:r>
              <w:t xml:space="preserve">38235</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c>
          <w:tcPr/>
          <w:p>
            <w:pPr>
              <w:pStyle w:val="Compact"/>
              <w:jc w:val="right"/>
            </w:pPr>
            <w:r>
              <w:t xml:space="preserve">35872</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c>
          <w:tcPr/>
          <w:p>
            <w:pPr>
              <w:pStyle w:val="Compact"/>
              <w:jc w:val="right"/>
            </w:pPr>
            <w:r>
              <w:t xml:space="preserve">39413</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42561</w:t>
            </w:r>
          </w:p>
        </w:tc>
        <w:tc>
          <w:tcPr/>
          <w:p>
            <w:pPr>
              <w:pStyle w:val="Compact"/>
              <w:jc w:val="left"/>
            </w:pPr>
            <w:r>
              <w:t xml:space="preserve">date</w:t>
            </w:r>
          </w:p>
        </w:tc>
        <w:tc>
          <w:tcPr/>
          <w:p>
            <w:pPr>
              <w:pStyle w:val="Compact"/>
              <w:jc w:val="left"/>
            </w:pPr>
            <w:r>
              <w:t xml:space="preserve">MedianBP &gt; 39,799 (Protoaurignacian throughout sequence</w:t>
            </w:r>
            <w:r>
              <w:t xml:space="preserve"> </w:t>
            </w:r>
            <w:r>
              <w:t xml:space="preserve">[11,12]</w:t>
            </w:r>
            <w:r>
              <w:t xml:space="preserve">)</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c>
          <w:tcPr/>
          <w:p>
            <w:pPr>
              <w:pStyle w:val="Compact"/>
              <w:jc w:val="right"/>
            </w:pPr>
            <w:r>
              <w:t xml:space="preserve">35908</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41007</w:t>
            </w:r>
          </w:p>
        </w:tc>
        <w:tc>
          <w:tcPr/>
          <w:p>
            <w:pPr>
              <w:pStyle w:val="Compact"/>
              <w:jc w:val="left"/>
            </w:pPr>
            <w:r>
              <w:t xml:space="preserve">technology</w:t>
            </w:r>
          </w:p>
        </w:tc>
        <w:tc>
          <w:tcPr/>
          <w:p>
            <w:pPr>
              <w:pStyle w:val="Compact"/>
              <w:jc w:val="left"/>
            </w:pPr>
            <w:r>
              <w:t xml:space="preserve">Proto-Aurignacian, layer Cjn2</w:t>
            </w:r>
            <w:r>
              <w:t xml:space="preserve"> </w:t>
            </w:r>
            <w:r>
              <w:t xml:space="preserve">[13]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c>
          <w:tcPr/>
          <w:p>
            <w:pPr>
              <w:pStyle w:val="Compact"/>
              <w:jc w:val="right"/>
            </w:pPr>
            <w:r>
              <w:t xml:space="preserve">40747</w:t>
            </w:r>
          </w:p>
        </w:tc>
        <w:tc>
          <w:tcPr/>
          <w:p>
            <w:pPr>
              <w:pStyle w:val="Compact"/>
              <w:jc w:val="left"/>
            </w:pPr>
            <w:r>
              <w:t xml:space="preserve">technology</w:t>
            </w:r>
          </w:p>
        </w:tc>
        <w:tc>
          <w:tcPr/>
          <w:p>
            <w:pPr>
              <w:pStyle w:val="Compact"/>
              <w:jc w:val="left"/>
            </w:pPr>
            <w:r>
              <w:t xml:space="preserve">Early Aurignacian</w:t>
            </w:r>
            <w:r>
              <w:t xml:space="preserve"> </w:t>
            </w:r>
            <w:r>
              <w:t xml:space="preserve">[5]</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c>
          <w:tcPr/>
          <w:p>
            <w:pPr>
              <w:pStyle w:val="Compact"/>
              <w:jc w:val="right"/>
            </w:pPr>
            <w:r>
              <w:t xml:space="preserve">41146</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38509</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c>
          <w:tcPr/>
          <w:p>
            <w:pPr>
              <w:pStyle w:val="Compact"/>
              <w:jc w:val="right"/>
            </w:pPr>
            <w:r>
              <w:t xml:space="preserve">39718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c>
          <w:tcPr/>
          <w:p>
            <w:pPr>
              <w:pStyle w:val="Compact"/>
              <w:jc w:val="right"/>
            </w:pPr>
            <w:r>
              <w:t xml:space="preserve">35538</w:t>
            </w:r>
          </w:p>
        </w:tc>
        <w:tc>
          <w:tcPr/>
          <w:p>
            <w:pPr>
              <w:pStyle w:val="Compact"/>
              <w:jc w:val="left"/>
            </w:pPr>
            <w:r>
              <w:t xml:space="preserve">technology</w:t>
            </w:r>
          </w:p>
        </w:tc>
        <w:tc>
          <w:tcPr/>
          <w:p>
            <w:pPr>
              <w:pStyle w:val="Compact"/>
              <w:jc w:val="left"/>
            </w:pPr>
            <w:r>
              <w:t xml:space="preserve">Layer-level split: AH V Early Aurignacian (Aur-P1); AH IV, III and II-series Evolved/Late Aurignacian (Aur-P2)</w:t>
            </w:r>
            <w:r>
              <w:t xml:space="preserve"> </w:t>
            </w:r>
            <w:r>
              <w:t xml:space="preserve">[5–7]</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40329</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c>
          <w:tcPr/>
          <w:p>
            <w:pPr>
              <w:pStyle w:val="Compact"/>
              <w:jc w:val="right"/>
            </w:pPr>
            <w:r>
              <w:t xml:space="preserve">37200</w:t>
            </w:r>
          </w:p>
        </w:tc>
        <w:tc>
          <w:tcPr/>
          <w:p>
            <w:pPr>
              <w:pStyle w:val="Compact"/>
              <w:jc w:val="left"/>
            </w:pPr>
            <w:r>
              <w:t xml:space="preserve">technology</w:t>
            </w:r>
          </w:p>
        </w:tc>
        <w:tc>
          <w:tcPr/>
          <w:p>
            <w:pPr>
              <w:pStyle w:val="Compact"/>
              <w:jc w:val="left"/>
            </w:pPr>
            <w:r>
              <w:t xml:space="preserve">Early Aurignacian</w:t>
            </w:r>
            <w:r>
              <w:t xml:space="preserve"> </w:t>
            </w:r>
            <w:r>
              <w:t xml:space="preserve">[3]</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35544</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41575</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c>
          <w:tcPr/>
          <w:p>
            <w:pPr>
              <w:pStyle w:val="Compact"/>
              <w:jc w:val="right"/>
            </w:pPr>
            <w:r>
              <w:t xml:space="preserve">40037</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33093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c>
          <w:tcPr/>
          <w:p>
            <w:pPr>
              <w:pStyle w:val="Compact"/>
              <w:jc w:val="right"/>
            </w:pPr>
            <w:r>
              <w:t xml:space="preserve">40091</w:t>
            </w:r>
          </w:p>
        </w:tc>
        <w:tc>
          <w:tcPr/>
          <w:p>
            <w:pPr>
              <w:pStyle w:val="Compact"/>
              <w:jc w:val="left"/>
            </w:pPr>
            <w:r>
              <w:t xml:space="preserve">technology</w:t>
            </w:r>
          </w:p>
        </w:tc>
        <w:tc>
          <w:tcPr/>
          <w:p>
            <w:pPr>
              <w:pStyle w:val="Compact"/>
              <w:jc w:val="left"/>
            </w:pPr>
            <w:r>
              <w:t xml:space="preserve">Evolved Aurignacian</w:t>
            </w:r>
            <w:r>
              <w:t xml:space="preserve"> </w:t>
            </w:r>
            <w:r>
              <w:t xml:space="preserve">[14]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44778</w:t>
            </w:r>
          </w:p>
        </w:tc>
        <w:tc>
          <w:tcPr/>
          <w:p>
            <w:pPr>
              <w:pStyle w:val="Compact"/>
              <w:jc w:val="left"/>
            </w:pPr>
            <w:r>
              <w:t xml:space="preserve">date</w:t>
            </w:r>
          </w:p>
        </w:tc>
        <w:tc>
          <w:tcPr/>
          <w:p>
            <w:pPr>
              <w:pStyle w:val="Compact"/>
              <w:jc w:val="left"/>
            </w:pPr>
            <w:r>
              <w:t xml:space="preserve">MedianBP &gt; 39,799</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c>
          <w:tcPr/>
          <w:p>
            <w:pPr>
              <w:pStyle w:val="Compact"/>
              <w:jc w:val="right"/>
            </w:pPr>
            <w:r>
              <w:t xml:space="preserve">39256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34773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c>
          <w:tcPr/>
          <w:p>
            <w:pPr>
              <w:pStyle w:val="Compact"/>
              <w:jc w:val="right"/>
            </w:pPr>
            <w:r>
              <w:t xml:space="preserve">38896</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c>
          <w:tcPr/>
          <w:p>
            <w:pPr>
              <w:pStyle w:val="Compact"/>
              <w:jc w:val="right"/>
            </w:pPr>
            <w:r>
              <w:t xml:space="preserve">32893</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c>
          <w:tcPr/>
          <w:p>
            <w:pPr>
              <w:pStyle w:val="Compact"/>
              <w:jc w:val="right"/>
            </w:pPr>
            <w:r>
              <w:t xml:space="preserve">38392</w:t>
            </w:r>
          </w:p>
        </w:tc>
        <w:tc>
          <w:tcPr/>
          <w:p>
            <w:pPr>
              <w:pStyle w:val="Compact"/>
              <w:jc w:val="left"/>
            </w:pPr>
            <w:r>
              <w:t xml:space="preserve">date</w:t>
            </w:r>
          </w:p>
        </w:tc>
        <w:tc>
          <w:tcPr/>
          <w:p>
            <w:pPr>
              <w:pStyle w:val="Compact"/>
              <w:jc w:val="left"/>
            </w:pPr>
            <w:r>
              <w:t xml:space="preserve">MedianBP 37,799–39,799</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c>
          <w:tcPr/>
          <w:p>
            <w:pPr>
              <w:pStyle w:val="Compact"/>
              <w:jc w:val="right"/>
            </w:pPr>
            <w:r>
              <w:t xml:space="preserve">37615</w:t>
            </w:r>
          </w:p>
        </w:tc>
        <w:tc>
          <w:tcPr/>
          <w:p>
            <w:pPr>
              <w:pStyle w:val="Compact"/>
              <w:jc w:val="left"/>
            </w:pPr>
            <w:r>
              <w:t xml:space="preserve">date</w:t>
            </w:r>
          </w:p>
        </w:tc>
        <w:tc>
          <w:tcPr/>
          <w:p>
            <w:pPr>
              <w:pStyle w:val="Compact"/>
              <w:jc w:val="left"/>
            </w:pPr>
            <w:r>
              <w:t xml:space="preserve">MedianBP 31,999–37,799</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c>
          <w:tcPr/>
          <w:p>
            <w:pPr>
              <w:pStyle w:val="Compact"/>
              <w:jc w:val="right"/>
            </w:pPr>
            <w:r>
              <w:t xml:space="preserve">40840</w:t>
            </w:r>
          </w:p>
        </w:tc>
        <w:tc>
          <w:tcPr/>
          <w:p>
            <w:pPr>
              <w:pStyle w:val="Compact"/>
              <w:jc w:val="left"/>
            </w:pPr>
            <w:r>
              <w:t xml:space="preserve">technology</w:t>
            </w:r>
          </w:p>
        </w:tc>
        <w:tc>
          <w:tcPr/>
          <w:p>
            <w:pPr>
              <w:pStyle w:val="Compact"/>
              <w:jc w:val="left"/>
            </w:pPr>
            <w:r>
              <w:t xml:space="preserve">Early Aurignacian</w:t>
            </w:r>
            <w:r>
              <w:t xml:space="preserve"> </w:t>
            </w:r>
            <w:r>
              <w:t xml:space="preserve">[5,10]</w:t>
            </w:r>
          </w:p>
        </w:tc>
      </w:tr>
    </w:tbl>
    <w:bookmarkEnd w:id="22"/>
    <w:bookmarkStart w:id="33" w:name="sec-literature-findings"/>
    <w:p>
      <w:pPr>
        <w:pStyle w:val="Heading2"/>
      </w:pPr>
      <w:r>
        <w:t xml:space="preserve">S2.3 Key literature findings</w:t>
      </w:r>
    </w:p>
    <w:bookmarkStart w:id="23"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[5]</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[6]</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[7]</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3"/>
    <w:bookmarkStart w:id="24" w:name="X929d947406c212d8f968cd52856f51a1bb90040"/>
    <w:p>
      <w:pPr>
        <w:pStyle w:val="Heading3"/>
      </w:pPr>
      <w:r>
        <w:t xml:space="preserve">Geissenklösterle → Early Aurignacian (Aur-P1)</w:t>
      </w:r>
    </w:p>
    <w:p>
      <w:pPr>
        <w:numPr>
          <w:ilvl w:val="0"/>
          <w:numId w:val="1002"/>
        </w:numPr>
        <w:pStyle w:val="Compact"/>
      </w:pPr>
      <w:r>
        <w:t xml:space="preserve">[5]</w:t>
      </w:r>
      <w:r>
        <w:t xml:space="preserve"> </w:t>
      </w:r>
      <w:r>
        <w:t xml:space="preserve">: The Geissenklösterle Aurignacian (AH III and II) is assigned to the Early Aurignacian on technological grounds.</w:t>
      </w:r>
    </w:p>
    <w:p>
      <w:pPr>
        <w:numPr>
          <w:ilvl w:val="0"/>
          <w:numId w:val="1002"/>
        </w:numPr>
        <w:pStyle w:val="Compact"/>
      </w:pPr>
      <w:r>
        <w:t xml:space="preserve">[15]</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[16]</w:t>
      </w:r>
      <w:r>
        <w:t xml:space="preserve">, but this conflicts with the site’s own radiocarbon chronology and is not adopted here; the weight of the technological and stratigraphic evidence keeps both layers in Aur-P1.</w:t>
      </w:r>
    </w:p>
    <w:bookmarkEnd w:id="24"/>
    <w:bookmarkStart w:id="25"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[10]</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[17]</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5"/>
    <w:bookmarkStart w:id="26" w:name="fumane-protoaurignacian"/>
    <w:p>
      <w:pPr>
        <w:pStyle w:val="Heading3"/>
      </w:pPr>
      <w:r>
        <w:t xml:space="preserve">Fumane → Protoaurignacian</w:t>
      </w:r>
    </w:p>
    <w:p>
      <w:pPr>
        <w:numPr>
          <w:ilvl w:val="0"/>
          <w:numId w:val="1004"/>
        </w:numPr>
        <w:pStyle w:val="Compact"/>
      </w:pPr>
      <w:r>
        <w:t xml:space="preserve">[11]</w:t>
      </w:r>
      <w:r>
        <w:t xml:space="preserve"> </w:t>
      </w:r>
      <w:r>
        <w:t xml:space="preserve">: Protoaurignacian techno-typology persists throughout sequence at Fumane (A2-A1 through D3).</w:t>
      </w:r>
    </w:p>
    <w:p>
      <w:pPr>
        <w:numPr>
          <w:ilvl w:val="0"/>
          <w:numId w:val="1004"/>
        </w:numPr>
        <w:pStyle w:val="Compact"/>
      </w:pPr>
      <w:r>
        <w:t xml:space="preserve">[12]</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6"/>
    <w:bookmarkStart w:id="27" w:name="la-ferrassie-early-aurignacian"/>
    <w:p>
      <w:pPr>
        <w:pStyle w:val="Heading3"/>
      </w:pPr>
      <w:r>
        <w:t xml:space="preserve">La Ferrassie → Early Aurignacian</w:t>
      </w:r>
    </w:p>
    <w:p>
      <w:pPr>
        <w:numPr>
          <w:ilvl w:val="0"/>
          <w:numId w:val="1005"/>
        </w:numPr>
        <w:pStyle w:val="Compact"/>
      </w:pPr>
      <w:r>
        <w:t xml:space="preserve">[3]</w:t>
      </w:r>
      <w:r>
        <w:t xml:space="preserve"> </w:t>
      </w:r>
      <w:r>
        <w:t xml:space="preserve">: Technological attribution places La Ferrassie in the Early Aurignacian.</w:t>
      </w:r>
    </w:p>
    <w:bookmarkEnd w:id="27"/>
    <w:bookmarkStart w:id="28"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8"/>
    <w:bookmarkStart w:id="29" w:name="mladeč-evolved-aurignacian"/>
    <w:p>
      <w:pPr>
        <w:pStyle w:val="Heading3"/>
      </w:pPr>
      <w:r>
        <w:t xml:space="preserve">Mladeč → Evolved Aurignacian</w:t>
      </w:r>
    </w:p>
    <w:p>
      <w:pPr>
        <w:numPr>
          <w:ilvl w:val="0"/>
          <w:numId w:val="1007"/>
        </w:numPr>
        <w:pStyle w:val="Compact"/>
      </w:pPr>
      <w:r>
        <w:t xml:space="preserve">[14]</w:t>
      </w:r>
      <w:r>
        <w:t xml:space="preserve"> </w:t>
      </w:r>
      <w:r>
        <w:t xml:space="preserve">: Technological and typological analysis assigns Mladeč to the Evolved Aurignacian.</w:t>
      </w:r>
    </w:p>
    <w:p>
      <w:pPr>
        <w:numPr>
          <w:ilvl w:val="0"/>
          <w:numId w:val="1007"/>
        </w:numPr>
        <w:pStyle w:val="Compact"/>
      </w:pPr>
      <w:r>
        <w:t xml:space="preserve">[4]</w:t>
      </w:r>
      <w:r>
        <w:t xml:space="preserve"> </w:t>
      </w:r>
      <w:r>
        <w:t xml:space="preserve">: Direct AMS dates of ~31 ka ¹⁴C BP (~35–36 ka cal BP) support an Evolved Aurignacian attribution.</w:t>
      </w:r>
    </w:p>
    <w:bookmarkEnd w:id="29"/>
    <w:bookmarkStart w:id="30" w:name="spy-excluded"/>
    <w:p>
      <w:pPr>
        <w:pStyle w:val="Heading3"/>
      </w:pPr>
      <w:r>
        <w:t xml:space="preserve">Spy → Excluded</w:t>
      </w:r>
    </w:p>
    <w:p>
      <w:pPr>
        <w:numPr>
          <w:ilvl w:val="0"/>
          <w:numId w:val="1008"/>
        </w:numPr>
        <w:pStyle w:val="Compact"/>
      </w:pPr>
      <w:r>
        <w:t xml:space="preserve">[8]</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[9]</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0"/>
    <w:bookmarkStart w:id="31" w:name="gatzarria-proto-aurignacian"/>
    <w:p>
      <w:pPr>
        <w:pStyle w:val="Heading3"/>
      </w:pPr>
      <w:r>
        <w:t xml:space="preserve">Gatzarria → Proto-Aurignacian</w:t>
      </w:r>
    </w:p>
    <w:p>
      <w:pPr>
        <w:numPr>
          <w:ilvl w:val="0"/>
          <w:numId w:val="1009"/>
        </w:numPr>
        <w:pStyle w:val="Compact"/>
      </w:pPr>
      <w:r>
        <w:t xml:space="preserve">[13]</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1"/>
    <w:bookmarkStart w:id="32"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2"/>
    <w:bookmarkEnd w:id="33"/>
    <w:bookmarkStart w:id="49" w:name="sec-site-status"/>
    <w:p>
      <w:pPr>
        <w:pStyle w:val="Heading2"/>
      </w:pPr>
      <w:r>
        <w:t xml:space="preserve">S2.4 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0" w:firstColumn="0" w:lastColumn="0" w:noHBand="0" w:noVBand="0" w:val="0020"/>
        <w:jc w:val="start"/>
        <w:tblCaption w:val="Sites and object counts after phase reclassification (Aur-P1 = Proto/Early, Aur-P2 = Evolved/Late)."/>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Phase</w:t>
            </w:r>
          </w:p>
        </w:tc>
        <w:tc>
          <w:tcPr/>
          <w:p>
            <w:pPr>
              <w:pStyle w:val="Compact"/>
              <w:jc w:val="right"/>
            </w:pPr>
            <w:r>
              <w:t xml:space="preserve">Objects</w:t>
            </w:r>
          </w:p>
        </w:tc>
      </w:tr>
      <w:tr>
        <w:tc>
          <w:tcPr/>
          <w:p>
            <w:pPr>
              <w:pStyle w:val="Compact"/>
              <w:jc w:val="left"/>
            </w:pPr>
            <w:r>
              <w:t xml:space="preserve">Abri Pataud</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Blanchard</w:t>
            </w:r>
          </w:p>
        </w:tc>
        <w:tc>
          <w:tcPr/>
          <w:p>
            <w:pPr>
              <w:pStyle w:val="Compact"/>
              <w:jc w:val="left"/>
            </w:pPr>
            <w:r>
              <w:t xml:space="preserve">Aur-P1</w:t>
            </w:r>
          </w:p>
        </w:tc>
        <w:tc>
          <w:tcPr/>
          <w:p>
            <w:pPr>
              <w:pStyle w:val="Compact"/>
              <w:jc w:val="right"/>
            </w:pPr>
            <w:r>
              <w:t xml:space="preserve">18</w:t>
            </w:r>
          </w:p>
        </w:tc>
      </w:tr>
      <w:tr>
        <w:tc>
          <w:tcPr/>
          <w:p>
            <w:pPr>
              <w:pStyle w:val="Compact"/>
              <w:jc w:val="left"/>
            </w:pPr>
            <w:r>
              <w:t xml:space="preserve">Bockstein-Törle</w:t>
            </w:r>
          </w:p>
        </w:tc>
        <w:tc>
          <w:tcPr/>
          <w:p>
            <w:pPr>
              <w:pStyle w:val="Compact"/>
              <w:jc w:val="left"/>
            </w:pPr>
            <w:r>
              <w:t xml:space="preserve">Aur-P2</w:t>
            </w:r>
          </w:p>
        </w:tc>
        <w:tc>
          <w:tcPr/>
          <w:p>
            <w:pPr>
              <w:pStyle w:val="Compact"/>
              <w:jc w:val="right"/>
            </w:pPr>
            <w:r>
              <w:t xml:space="preserve">3</w:t>
            </w:r>
          </w:p>
        </w:tc>
      </w:tr>
      <w:tr>
        <w:tc>
          <w:tcPr/>
          <w:p>
            <w:pPr>
              <w:pStyle w:val="Compact"/>
              <w:jc w:val="left"/>
            </w:pPr>
            <w:r>
              <w:t xml:space="preserve">Castanet</w:t>
            </w:r>
          </w:p>
        </w:tc>
        <w:tc>
          <w:tcPr/>
          <w:p>
            <w:pPr>
              <w:pStyle w:val="Compact"/>
              <w:jc w:val="left"/>
            </w:pPr>
            <w:r>
              <w:t xml:space="preserve">Aur-P1</w:t>
            </w:r>
          </w:p>
        </w:tc>
        <w:tc>
          <w:tcPr/>
          <w:p>
            <w:pPr>
              <w:pStyle w:val="Compact"/>
              <w:jc w:val="right"/>
            </w:pPr>
            <w:r>
              <w:t xml:space="preserve">21</w:t>
            </w:r>
          </w:p>
        </w:tc>
      </w:tr>
      <w:tr>
        <w:tc>
          <w:tcPr/>
          <w:p>
            <w:pPr>
              <w:pStyle w:val="Compact"/>
              <w:jc w:val="left"/>
            </w:pPr>
            <w:r>
              <w:t xml:space="preserve">Cellier</w:t>
            </w:r>
          </w:p>
        </w:tc>
        <w:tc>
          <w:tcPr/>
          <w:p>
            <w:pPr>
              <w:pStyle w:val="Compact"/>
              <w:jc w:val="left"/>
            </w:pPr>
            <w:r>
              <w:t xml:space="preserve">Aur-P1</w:t>
            </w:r>
          </w:p>
        </w:tc>
        <w:tc>
          <w:tcPr/>
          <w:p>
            <w:pPr>
              <w:pStyle w:val="Compact"/>
              <w:jc w:val="right"/>
            </w:pPr>
            <w:r>
              <w:t xml:space="preserve">28</w:t>
            </w:r>
          </w:p>
        </w:tc>
      </w:tr>
      <w:tr>
        <w:tc>
          <w:tcPr/>
          <w:p>
            <w:pPr>
              <w:pStyle w:val="Compact"/>
              <w:jc w:val="left"/>
            </w:pPr>
            <w:r>
              <w:t xml:space="preserve">Fumane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Gargas</w:t>
            </w:r>
          </w:p>
        </w:tc>
        <w:tc>
          <w:tcPr/>
          <w:p>
            <w:pPr>
              <w:pStyle w:val="Compact"/>
              <w:jc w:val="left"/>
            </w:pPr>
            <w:r>
              <w:t xml:space="preserve">Aur-P2</w:t>
            </w:r>
          </w:p>
        </w:tc>
        <w:tc>
          <w:tcPr/>
          <w:p>
            <w:pPr>
              <w:pStyle w:val="Compact"/>
              <w:jc w:val="right"/>
            </w:pPr>
            <w:r>
              <w:t xml:space="preserve">11</w:t>
            </w:r>
          </w:p>
        </w:tc>
      </w:tr>
      <w:tr>
        <w:tc>
          <w:tcPr/>
          <w:p>
            <w:pPr>
              <w:pStyle w:val="Compact"/>
              <w:jc w:val="left"/>
            </w:pPr>
            <w:r>
              <w:t xml:space="preserve">Gatzarria</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Geissenklösterle</w:t>
            </w:r>
          </w:p>
        </w:tc>
        <w:tc>
          <w:tcPr/>
          <w:p>
            <w:pPr>
              <w:pStyle w:val="Compact"/>
              <w:jc w:val="left"/>
            </w:pPr>
            <w:r>
              <w:t xml:space="preserve">Aur-P1</w:t>
            </w:r>
          </w:p>
        </w:tc>
        <w:tc>
          <w:tcPr/>
          <w:p>
            <w:pPr>
              <w:pStyle w:val="Compact"/>
              <w:jc w:val="right"/>
            </w:pPr>
            <w:r>
              <w:t xml:space="preserve">30</w:t>
            </w:r>
          </w:p>
        </w:tc>
      </w:tr>
      <w:tr>
        <w:tc>
          <w:tcPr/>
          <w:p>
            <w:pPr>
              <w:pStyle w:val="Compact"/>
              <w:jc w:val="left"/>
            </w:pPr>
            <w:r>
              <w:t xml:space="preserve">Grotte de la Verpillière I</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Grotte du Renne</w:t>
            </w:r>
          </w:p>
        </w:tc>
        <w:tc>
          <w:tcPr/>
          <w:p>
            <w:pPr>
              <w:pStyle w:val="Compact"/>
              <w:jc w:val="left"/>
            </w:pPr>
            <w:r>
              <w:t xml:space="preserve">Aur-P1</w:t>
            </w:r>
          </w:p>
        </w:tc>
        <w:tc>
          <w:tcPr/>
          <w:p>
            <w:pPr>
              <w:pStyle w:val="Compact"/>
              <w:jc w:val="right"/>
            </w:pPr>
            <w:r>
              <w:t xml:space="preserve">7</w:t>
            </w:r>
          </w:p>
        </w:tc>
      </w:tr>
      <w:tr>
        <w:tc>
          <w:tcPr/>
          <w:p>
            <w:pPr>
              <w:pStyle w:val="Compact"/>
              <w:jc w:val="left"/>
            </w:pPr>
            <w:r>
              <w:t xml:space="preserve">Grottes de Fonds-de-Forêt</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Hohle Fels</w:t>
            </w:r>
          </w:p>
        </w:tc>
        <w:tc>
          <w:tcPr/>
          <w:p>
            <w:pPr>
              <w:pStyle w:val="Compact"/>
              <w:jc w:val="left"/>
            </w:pPr>
            <w:r>
              <w:t xml:space="preserve">Aur-P1</w:t>
            </w:r>
          </w:p>
        </w:tc>
        <w:tc>
          <w:tcPr/>
          <w:p>
            <w:pPr>
              <w:pStyle w:val="Compact"/>
              <w:jc w:val="right"/>
            </w:pPr>
            <w:r>
              <w:t xml:space="preserve">20</w:t>
            </w:r>
          </w:p>
        </w:tc>
      </w:tr>
      <w:tr>
        <w:tc>
          <w:tcPr/>
          <w:p>
            <w:pPr>
              <w:pStyle w:val="Compact"/>
              <w:jc w:val="left"/>
            </w:pPr>
            <w:r>
              <w:t xml:space="preserve">Hohle Fels</w:t>
            </w:r>
          </w:p>
        </w:tc>
        <w:tc>
          <w:tcPr/>
          <w:p>
            <w:pPr>
              <w:pStyle w:val="Compact"/>
              <w:jc w:val="left"/>
            </w:pPr>
            <w:r>
              <w:t xml:space="preserve">Aur-P2</w:t>
            </w:r>
          </w:p>
        </w:tc>
        <w:tc>
          <w:tcPr/>
          <w:p>
            <w:pPr>
              <w:pStyle w:val="Compact"/>
              <w:jc w:val="right"/>
            </w:pPr>
            <w:r>
              <w:t xml:space="preserve">29</w:t>
            </w:r>
          </w:p>
        </w:tc>
      </w:tr>
      <w:tr>
        <w:tc>
          <w:tcPr/>
          <w:p>
            <w:pPr>
              <w:pStyle w:val="Compact"/>
              <w:jc w:val="left"/>
            </w:pPr>
            <w:r>
              <w:t xml:space="preserve">Hohlenstein-Stadel</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La Ferrassie</w:t>
            </w:r>
          </w:p>
        </w:tc>
        <w:tc>
          <w:tcPr/>
          <w:p>
            <w:pPr>
              <w:pStyle w:val="Compact"/>
              <w:jc w:val="left"/>
            </w:pPr>
            <w:r>
              <w:t xml:space="preserve">Aur-P1</w:t>
            </w:r>
          </w:p>
        </w:tc>
        <w:tc>
          <w:tcPr/>
          <w:p>
            <w:pPr>
              <w:pStyle w:val="Compact"/>
              <w:jc w:val="right"/>
            </w:pPr>
            <w:r>
              <w:t xml:space="preserve">22</w:t>
            </w:r>
          </w:p>
        </w:tc>
      </w:tr>
      <w:tr>
        <w:tc>
          <w:tcPr/>
          <w:p>
            <w:pPr>
              <w:pStyle w:val="Compact"/>
              <w:jc w:val="left"/>
            </w:pPr>
            <w:r>
              <w:t xml:space="preserve">La Viña</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Labeko Koba</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Cottés</w:t>
            </w:r>
          </w:p>
        </w:tc>
        <w:tc>
          <w:tcPr/>
          <w:p>
            <w:pPr>
              <w:pStyle w:val="Compact"/>
              <w:jc w:val="left"/>
            </w:pPr>
            <w:r>
              <w:t xml:space="preserve">Aur-P1</w:t>
            </w:r>
          </w:p>
        </w:tc>
        <w:tc>
          <w:tcPr/>
          <w:p>
            <w:pPr>
              <w:pStyle w:val="Compact"/>
              <w:jc w:val="right"/>
            </w:pPr>
            <w:r>
              <w:t xml:space="preserve">2</w:t>
            </w:r>
          </w:p>
        </w:tc>
      </w:tr>
      <w:tr>
        <w:tc>
          <w:tcPr/>
          <w:p>
            <w:pPr>
              <w:pStyle w:val="Compact"/>
              <w:jc w:val="left"/>
            </w:pPr>
            <w:r>
              <w:t xml:space="preserve">Les Rois</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Mladeč</w:t>
            </w:r>
          </w:p>
        </w:tc>
        <w:tc>
          <w:tcPr/>
          <w:p>
            <w:pPr>
              <w:pStyle w:val="Compact"/>
              <w:jc w:val="left"/>
            </w:pPr>
            <w:r>
              <w:t xml:space="preserve">Aur-P2</w:t>
            </w:r>
          </w:p>
        </w:tc>
        <w:tc>
          <w:tcPr/>
          <w:p>
            <w:pPr>
              <w:pStyle w:val="Compact"/>
              <w:jc w:val="right"/>
            </w:pPr>
            <w:r>
              <w:t xml:space="preserve">4</w:t>
            </w:r>
          </w:p>
        </w:tc>
      </w:tr>
      <w:tr>
        <w:tc>
          <w:tcPr/>
          <w:p>
            <w:pPr>
              <w:pStyle w:val="Compact"/>
              <w:jc w:val="left"/>
            </w:pPr>
            <w:r>
              <w:t xml:space="preserve">Pod Hradem</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Riparo Bombrini</w:t>
            </w:r>
          </w:p>
        </w:tc>
        <w:tc>
          <w:tcPr/>
          <w:p>
            <w:pPr>
              <w:pStyle w:val="Compact"/>
              <w:jc w:val="left"/>
            </w:pPr>
            <w:r>
              <w:t xml:space="preserve">Aur-P1</w:t>
            </w:r>
          </w:p>
        </w:tc>
        <w:tc>
          <w:tcPr/>
          <w:p>
            <w:pPr>
              <w:pStyle w:val="Compact"/>
              <w:jc w:val="right"/>
            </w:pPr>
            <w:r>
              <w:t xml:space="preserve">3</w:t>
            </w:r>
          </w:p>
        </w:tc>
      </w:tr>
      <w:tr>
        <w:tc>
          <w:tcPr/>
          <w:p>
            <w:pPr>
              <w:pStyle w:val="Compact"/>
              <w:jc w:val="left"/>
            </w:pPr>
            <w:r>
              <w:t xml:space="preserve">Sirgenstein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Solutré</w:t>
            </w:r>
          </w:p>
        </w:tc>
        <w:tc>
          <w:tcPr/>
          <w:p>
            <w:pPr>
              <w:pStyle w:val="Compact"/>
              <w:jc w:val="left"/>
            </w:pPr>
            <w:r>
              <w:t xml:space="preserve">Aur-P1</w:t>
            </w:r>
          </w:p>
        </w:tc>
        <w:tc>
          <w:tcPr/>
          <w:p>
            <w:pPr>
              <w:pStyle w:val="Compact"/>
              <w:jc w:val="right"/>
            </w:pPr>
            <w:r>
              <w:t xml:space="preserve">4</w:t>
            </w:r>
          </w:p>
        </w:tc>
      </w:tr>
      <w:tr>
        <w:tc>
          <w:tcPr/>
          <w:p>
            <w:pPr>
              <w:pStyle w:val="Compact"/>
              <w:jc w:val="left"/>
            </w:pPr>
            <w:r>
              <w:t xml:space="preserve">Trou Magrite</w:t>
            </w:r>
          </w:p>
        </w:tc>
        <w:tc>
          <w:tcPr/>
          <w:p>
            <w:pPr>
              <w:pStyle w:val="Compact"/>
              <w:jc w:val="left"/>
            </w:pPr>
            <w:r>
              <w:t xml:space="preserve">Aur-P2</w:t>
            </w:r>
          </w:p>
        </w:tc>
        <w:tc>
          <w:tcPr/>
          <w:p>
            <w:pPr>
              <w:pStyle w:val="Compact"/>
              <w:jc w:val="right"/>
            </w:pPr>
            <w:r>
              <w:t xml:space="preserve">12</w:t>
            </w:r>
          </w:p>
        </w:tc>
      </w:tr>
      <w:tr>
        <w:tc>
          <w:tcPr/>
          <w:p>
            <w:pPr>
              <w:pStyle w:val="Compact"/>
              <w:jc w:val="left"/>
            </w:pPr>
            <w:r>
              <w:t xml:space="preserve">Trou al’Wesse</w:t>
            </w:r>
          </w:p>
        </w:tc>
        <w:tc>
          <w:tcPr/>
          <w:p>
            <w:pPr>
              <w:pStyle w:val="Compact"/>
              <w:jc w:val="left"/>
            </w:pPr>
            <w:r>
              <w:t xml:space="preserve">Aur-P1</w:t>
            </w:r>
          </w:p>
        </w:tc>
        <w:tc>
          <w:tcPr/>
          <w:p>
            <w:pPr>
              <w:pStyle w:val="Compact"/>
              <w:jc w:val="right"/>
            </w:pPr>
            <w:r>
              <w:t xml:space="preserve">1</w:t>
            </w:r>
          </w:p>
        </w:tc>
      </w:tr>
      <w:tr>
        <w:tc>
          <w:tcPr/>
          <w:p>
            <w:pPr>
              <w:pStyle w:val="Compact"/>
              <w:jc w:val="left"/>
            </w:pPr>
            <w:r>
              <w:t xml:space="preserve">Vindija Cave</w:t>
            </w:r>
          </w:p>
        </w:tc>
        <w:tc>
          <w:tcPr/>
          <w:p>
            <w:pPr>
              <w:pStyle w:val="Compact"/>
              <w:jc w:val="left"/>
            </w:pPr>
            <w:r>
              <w:t xml:space="preserve">Aur-P2</w:t>
            </w:r>
          </w:p>
        </w:tc>
        <w:tc>
          <w:tcPr/>
          <w:p>
            <w:pPr>
              <w:pStyle w:val="Compact"/>
              <w:jc w:val="right"/>
            </w:pPr>
            <w:r>
              <w:t xml:space="preserve">1</w:t>
            </w:r>
          </w:p>
        </w:tc>
      </w:tr>
      <w:tr>
        <w:tc>
          <w:tcPr/>
          <w:p>
            <w:pPr>
              <w:pStyle w:val="Compact"/>
              <w:jc w:val="left"/>
            </w:pPr>
            <w:r>
              <w:t xml:space="preserve">Vogelherd</w:t>
            </w:r>
          </w:p>
        </w:tc>
        <w:tc>
          <w:tcPr/>
          <w:p>
            <w:pPr>
              <w:pStyle w:val="Compact"/>
              <w:jc w:val="left"/>
            </w:pPr>
            <w:r>
              <w:t xml:space="preserve">Aur-P1</w:t>
            </w:r>
          </w:p>
        </w:tc>
        <w:tc>
          <w:tcPr/>
          <w:p>
            <w:pPr>
              <w:pStyle w:val="Compact"/>
              <w:jc w:val="right"/>
            </w:pPr>
            <w:r>
              <w:t xml:space="preserve">173</w:t>
            </w:r>
          </w:p>
        </w:tc>
      </w:tr>
    </w:tbl>
    <w:bookmarkStart w:id="35"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0" w:lastRow="0" w:firstColumn="0" w:lastColumn="0" w:noHBand="0" w:noVBand="0" w:val="0000"/>
        <w:jc w:val="start"/>
        <w:tblLayout w:type="fixed"/>
      </w:tblPr>
      <w:tblGrid>
        <w:gridCol w:w="7920"/>
      </w:tblGrid>
      <w:tr>
        <w:tc>
          <w:tcPr/>
          <w:bookmarkStart w:id="34" w:name="tbl-tech-aurp1"/>
          <w:p>
            <w:pPr>
              <w:jc w:val="center"/>
            </w:pPr>
            <w:pPr>
              <w:jc w:val="start"/>
              <w:spacing w:before="200"/>
              <w:pStyle w:val="ImageCaption"/>
            </w:pPr>
            <w:r>
              <w:t xml:space="preserve">Table S 1: Aur-P1 sites assigned by technology rather than radiocarbon date.</w:t>
            </w:r>
          </w:p>
          <w:tbl>
            <w:tblPr>
              <w:tblStyle w:val="Table"/>
              <w:tblW w:type="pct" w:w="5000"/>
              <w:tblLook w:firstRow="1" w:lastRow="0" w:firstColumn="0" w:lastColumn="0" w:noHBand="0" w:noVBand="0" w:val="0020"/>
              <w:jc w:val="start"/>
              <w:tblLayout w:type="fixed"/>
            </w:tblPr>
            <w:tblGrid>
              <w:gridCol w:w="663"/>
              <w:gridCol w:w="312"/>
              <w:gridCol w:w="694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Vogelherd</w:t>
                  </w:r>
                </w:p>
              </w:tc>
              <w:tc>
                <w:tcPr/>
                <w:p>
                  <w:pPr>
                    <w:pStyle w:val="Compact"/>
                    <w:jc w:val="right"/>
                    <w:jc w:val="center"/>
                  </w:pPr>
                  <w:r>
                    <w:t xml:space="preserve">173</w:t>
                  </w:r>
                </w:p>
              </w:tc>
              <w:tc>
                <w:tcPr/>
                <w:p>
                  <w:pPr>
                    <w:pStyle w:val="Compact"/>
                    <w:jc w:val="left"/>
                    <w:jc w:val="center"/>
                  </w:pPr>
                  <w:r>
                    <w:t xml:space="preserve">Early Aurignacian</w:t>
                  </w:r>
                  <w:r>
                    <w:t xml:space="preserve"> </w:t>
                  </w:r>
                  <w:r>
                    <w:t xml:space="preserve">[5,10]</w:t>
                  </w:r>
                </w:p>
              </w:tc>
            </w:tr>
            <w:tr>
              <w:tc>
                <w:tcPr/>
                <w:p>
                  <w:pPr>
                    <w:pStyle w:val="Compact"/>
                    <w:jc w:val="left"/>
                    <w:jc w:val="center"/>
                  </w:pPr>
                  <w:r>
                    <w:t xml:space="preserve">Geissenklösterle</w:t>
                  </w:r>
                </w:p>
              </w:tc>
              <w:tc>
                <w:tcPr/>
                <w:p>
                  <w:pPr>
                    <w:pStyle w:val="Compact"/>
                    <w:jc w:val="right"/>
                    <w:jc w:val="center"/>
                  </w:pPr>
                  <w:r>
                    <w:t xml:space="preserve">30</w:t>
                  </w:r>
                </w:p>
              </w:tc>
              <w:tc>
                <w:tcPr/>
                <w:p>
                  <w:pPr>
                    <w:pStyle w:val="Compact"/>
                    <w:jc w:val="left"/>
                    <w:jc w:val="center"/>
                  </w:pPr>
                  <w:r>
                    <w:t xml:space="preserve">Early Aurignacian</w:t>
                  </w:r>
                  <w:r>
                    <w:t xml:space="preserve"> </w:t>
                  </w:r>
                  <w:r>
                    <w:t xml:space="preserve">[5]</w:t>
                  </w:r>
                </w:p>
              </w:tc>
            </w:tr>
            <w:tr>
              <w:tc>
                <w:tcPr/>
                <w:p>
                  <w:pPr>
                    <w:pStyle w:val="Compact"/>
                    <w:jc w:val="left"/>
                    <w:jc w:val="center"/>
                  </w:pPr>
                  <w:r>
                    <w:t xml:space="preserve">La Ferrassie</w:t>
                  </w:r>
                </w:p>
              </w:tc>
              <w:tc>
                <w:tcPr/>
                <w:p>
                  <w:pPr>
                    <w:pStyle w:val="Compact"/>
                    <w:jc w:val="right"/>
                    <w:jc w:val="center"/>
                  </w:pPr>
                  <w:r>
                    <w:t xml:space="preserve">22</w:t>
                  </w:r>
                </w:p>
              </w:tc>
              <w:tc>
                <w:tcPr/>
                <w:p>
                  <w:pPr>
                    <w:pStyle w:val="Compact"/>
                    <w:jc w:val="left"/>
                    <w:jc w:val="center"/>
                  </w:pPr>
                  <w:r>
                    <w:t xml:space="preserve">Early Aurignacian</w:t>
                  </w:r>
                  <w:r>
                    <w:t xml:space="preserve"> </w:t>
                  </w:r>
                  <w:r>
                    <w:t xml:space="preserve">[3]</w:t>
                  </w:r>
                </w:p>
              </w:tc>
            </w:tr>
            <w:tr>
              <w:tc>
                <w:tcPr/>
                <w:p>
                  <w:pPr>
                    <w:pStyle w:val="Compact"/>
                    <w:jc w:val="left"/>
                    <w:jc w:val="center"/>
                  </w:pPr>
                  <w:r>
                    <w:t xml:space="preserve">Hohle Fels</w:t>
                  </w:r>
                </w:p>
              </w:tc>
              <w:tc>
                <w:tcPr/>
                <w:p>
                  <w:pPr>
                    <w:pStyle w:val="Compact"/>
                    <w:jc w:val="right"/>
                    <w:jc w:val="center"/>
                  </w:pPr>
                  <w:r>
                    <w:t xml:space="preserve">20</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Abri Pataud</w:t>
                  </w:r>
                </w:p>
              </w:tc>
              <w:tc>
                <w:tcPr/>
                <w:p>
                  <w:pPr>
                    <w:pStyle w:val="Compact"/>
                    <w:jc w:val="right"/>
                    <w:jc w:val="center"/>
                  </w:pPr>
                  <w:r>
                    <w:t xml:space="preserve">3</w:t>
                  </w:r>
                </w:p>
              </w:tc>
              <w:tc>
                <w:tcPr/>
                <w:p>
                  <w:pPr>
                    <w:pStyle w:val="Compact"/>
                    <w:jc w:val="left"/>
                    <w:jc w:val="center"/>
                  </w:pPr>
                  <w:r>
                    <w:t xml:space="preserve">Early Aurignacian</w:t>
                  </w:r>
                  <w:r>
                    <w:t xml:space="preserve"> </w:t>
                  </w:r>
                  <w:r>
                    <w:t xml:space="preserve">[1,2]</w:t>
                  </w:r>
                </w:p>
              </w:tc>
            </w:tr>
            <w:tr>
              <w:tc>
                <w:tcPr/>
                <w:p>
                  <w:pPr>
                    <w:pStyle w:val="Compact"/>
                    <w:jc w:val="left"/>
                    <w:jc w:val="center"/>
                  </w:pPr>
                  <w:r>
                    <w:t xml:space="preserve">Gatzarria</w:t>
                  </w:r>
                </w:p>
              </w:tc>
              <w:tc>
                <w:tcPr/>
                <w:p>
                  <w:pPr>
                    <w:pStyle w:val="Compact"/>
                    <w:jc w:val="right"/>
                    <w:jc w:val="center"/>
                  </w:pPr>
                  <w:r>
                    <w:t xml:space="preserve">3</w:t>
                  </w:r>
                </w:p>
              </w:tc>
              <w:tc>
                <w:tcPr/>
                <w:p>
                  <w:pPr>
                    <w:pStyle w:val="Compact"/>
                    <w:jc w:val="left"/>
                    <w:jc w:val="center"/>
                  </w:pPr>
                  <w:r>
                    <w:t xml:space="preserve">Proto-Aurignacian, layer Cjn2</w:t>
                  </w:r>
                  <w:r>
                    <w:t xml:space="preserve"> </w:t>
                  </w:r>
                  <w:r>
                    <w:t xml:space="preserve">[13]</w:t>
                  </w:r>
                </w:p>
              </w:tc>
            </w:tr>
          </w:tbl>
          <w:bookmarkEnd w:id="34"/>
          <w:p/>
        </w:tc>
      </w:tr>
    </w:tbl>
    <w:bookmarkEnd w:id="35"/>
    <w:bookmarkStart w:id="37" w:name="X076eb53732cccd673d661c39585e38c9b7c9759"/>
    <w:p>
      <w:pPr>
        <w:pStyle w:val="Heading3"/>
      </w:pPr>
      <w:r>
        <w:t xml:space="preserve">Aur-P2 (Evolved/Late) — technology-based assignment</w:t>
      </w:r>
    </w:p>
    <w:tbl>
      <w:tblPr>
        <w:tblStyle w:val="Table"/>
        <w:tblW w:type="pct" w:w="5000"/>
        <w:tblLook w:firstRow="0" w:lastRow="0" w:firstColumn="0" w:lastColumn="0" w:noHBand="0" w:noVBand="0" w:val="0000"/>
        <w:jc w:val="start"/>
        <w:tblLayout w:type="fixed"/>
      </w:tblPr>
      <w:tblGrid>
        <w:gridCol w:w="7920"/>
      </w:tblGrid>
      <w:tr>
        <w:tc>
          <w:tcPr/>
          <w:bookmarkStart w:id="36" w:name="tbl-tech-aurp2"/>
          <w:p>
            <w:pPr>
              <w:jc w:val="center"/>
            </w:pPr>
            <w:pPr>
              <w:jc w:val="start"/>
              <w:spacing w:before="200"/>
              <w:pStyle w:val="ImageCaption"/>
            </w:pPr>
            <w:r>
              <w:t xml:space="preserve">Table S 2: Aur-P2 sites assigned by technology rather than radiocarbon date.</w:t>
            </w:r>
          </w:p>
          <w:tbl>
            <w:tblPr>
              <w:tblStyle w:val="Table"/>
              <w:tblW w:type="pct" w:w="5000"/>
              <w:tblLook w:firstRow="1" w:lastRow="0" w:firstColumn="0" w:lastColumn="0" w:noHBand="0" w:noVBand="0" w:val="0020"/>
              <w:jc w:val="start"/>
              <w:tblLayout w:type="fixed"/>
            </w:tblPr>
            <w:tblGrid>
              <w:gridCol w:w="442"/>
              <w:gridCol w:w="321"/>
              <w:gridCol w:w="7156"/>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Hohle Fels</w:t>
                  </w:r>
                </w:p>
              </w:tc>
              <w:tc>
                <w:tcPr/>
                <w:p>
                  <w:pPr>
                    <w:pStyle w:val="Compact"/>
                    <w:jc w:val="right"/>
                    <w:jc w:val="center"/>
                  </w:pPr>
                  <w:r>
                    <w:t xml:space="preserve">29</w:t>
                  </w:r>
                </w:p>
              </w:tc>
              <w:tc>
                <w:tcPr/>
                <w:p>
                  <w:pPr>
                    <w:pStyle w:val="Compact"/>
                    <w:jc w:val="left"/>
                    <w:jc w:val="center"/>
                  </w:pPr>
                  <w:r>
                    <w:t xml:space="preserve">Layer-level split: AH V Early Aurignacian (Aur-P1); AH IV, III and II-series Evolved/Late Aurignacian (Aur-P2)</w:t>
                  </w:r>
                  <w:r>
                    <w:t xml:space="preserve"> </w:t>
                  </w:r>
                  <w:r>
                    <w:t xml:space="preserve">[5–7]</w:t>
                  </w:r>
                </w:p>
              </w:tc>
            </w:tr>
            <w:tr>
              <w:tc>
                <w:tcPr/>
                <w:p>
                  <w:pPr>
                    <w:pStyle w:val="Compact"/>
                    <w:jc w:val="left"/>
                    <w:jc w:val="center"/>
                  </w:pPr>
                  <w:r>
                    <w:t xml:space="preserve">Mladeč</w:t>
                  </w:r>
                </w:p>
              </w:tc>
              <w:tc>
                <w:tcPr/>
                <w:p>
                  <w:pPr>
                    <w:pStyle w:val="Compact"/>
                    <w:jc w:val="right"/>
                    <w:jc w:val="center"/>
                  </w:pPr>
                  <w:r>
                    <w:t xml:space="preserve">4</w:t>
                  </w:r>
                </w:p>
              </w:tc>
              <w:tc>
                <w:tcPr/>
                <w:p>
                  <w:pPr>
                    <w:pStyle w:val="Compact"/>
                    <w:jc w:val="left"/>
                    <w:jc w:val="center"/>
                  </w:pPr>
                  <w:r>
                    <w:t xml:space="preserve">Evolved Aurignacian</w:t>
                  </w:r>
                  <w:r>
                    <w:t xml:space="preserve"> </w:t>
                  </w:r>
                  <w:r>
                    <w:t xml:space="preserve">[14]</w:t>
                  </w:r>
                </w:p>
              </w:tc>
            </w:tr>
          </w:tbl>
          <w:bookmarkEnd w:id="36"/>
          <w:p/>
        </w:tc>
      </w:tr>
    </w:tbl>
    <w:bookmarkEnd w:id="37"/>
    <w:bookmarkStart w:id="39" w:name="excluded-due-to-mixing"/>
    <w:p>
      <w:pPr>
        <w:pStyle w:val="Heading3"/>
      </w:pPr>
      <w:r>
        <w:t xml:space="preserve">Excluded due to mixing</w:t>
      </w:r>
    </w:p>
    <w:tbl>
      <w:tblPr>
        <w:tblStyle w:val="Table"/>
        <w:tblW w:type="pct" w:w="5000"/>
        <w:tblLook w:firstRow="0" w:lastRow="0" w:firstColumn="0" w:lastColumn="0" w:noHBand="0" w:noVBand="0" w:val="0000"/>
        <w:jc w:val="start"/>
        <w:tblLayout w:type="fixed"/>
      </w:tblPr>
      <w:tblGrid>
        <w:gridCol w:w="7920"/>
      </w:tblGrid>
      <w:tr>
        <w:tc>
          <w:tcPr/>
          <w:bookmarkStart w:id="38" w:name="tbl-excluded"/>
          <w:p>
            <w:pPr>
              <w:jc w:val="center"/>
            </w:pPr>
            <w:pPr>
              <w:jc w:val="start"/>
              <w:spacing w:before="200"/>
              <w:pStyle w:val="ImageCaption"/>
            </w:pPr>
            <w:r>
              <w:t xml:space="preserve">Table S 3: Sites excluded from the analysis because of mixed/contaminated assemblages.</w:t>
            </w:r>
          </w:p>
          <w:tbl>
            <w:tblPr>
              <w:tblStyle w:val="Table"/>
              <w:tblW w:type="pct" w:w="5000"/>
              <w:tblLook w:firstRow="1" w:lastRow="0" w:firstColumn="0" w:lastColumn="0" w:noHBand="0" w:noVBand="0" w:val="0020"/>
              <w:jc w:val="start"/>
              <w:tblLayout w:type="fixed"/>
            </w:tblPr>
            <w:tblGrid>
              <w:gridCol w:w="779"/>
              <w:gridCol w:w="519"/>
              <w:gridCol w:w="6621"/>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El Castillo</w:t>
                  </w:r>
                </w:p>
              </w:tc>
              <w:tc>
                <w:tcPr/>
                <w:p>
                  <w:pPr>
                    <w:pStyle w:val="Compact"/>
                    <w:jc w:val="right"/>
                    <w:jc w:val="center"/>
                  </w:pPr>
                  <w:r>
                    <w:t xml:space="preserve">3</w:t>
                  </w:r>
                </w:p>
              </w:tc>
              <w:tc>
                <w:tcPr/>
                <w:p>
                  <w:pPr>
                    <w:pStyle w:val="Compact"/>
                    <w:jc w:val="left"/>
                    <w:jc w:val="center"/>
                  </w:pPr>
                  <w:r>
                    <w:t xml:space="preserve">Mixed/contaminated layers preclude reliable assignment</w:t>
                  </w:r>
                </w:p>
              </w:tc>
            </w:tr>
            <w:tr>
              <w:tc>
                <w:tcPr/>
                <w:p>
                  <w:pPr>
                    <w:pStyle w:val="Compact"/>
                    <w:jc w:val="left"/>
                    <w:jc w:val="center"/>
                  </w:pPr>
                  <w:r>
                    <w:t xml:space="preserve">Spy</w:t>
                  </w:r>
                </w:p>
              </w:tc>
              <w:tc>
                <w:tcPr/>
                <w:p>
                  <w:pPr>
                    <w:pStyle w:val="Compact"/>
                    <w:jc w:val="right"/>
                    <w:jc w:val="center"/>
                  </w:pPr>
                  <w:r>
                    <w:t xml:space="preserve">25</w:t>
                  </w:r>
                </w:p>
              </w:tc>
              <w:tc>
                <w:tcPr/>
                <w:p>
                  <w:pPr>
                    <w:pStyle w:val="Compact"/>
                    <w:jc w:val="left"/>
                    <w:jc w:val="center"/>
                  </w:pPr>
                  <w:r>
                    <w:t xml:space="preserve">Mixed assemblage, no single Proto-Aurignacian attribution</w:t>
                  </w:r>
                  <w:r>
                    <w:t xml:space="preserve"> </w:t>
                  </w:r>
                  <w:r>
                    <w:t xml:space="preserve">[8,9,18]</w:t>
                  </w:r>
                </w:p>
              </w:tc>
            </w:tr>
          </w:tbl>
          <w:bookmarkEnd w:id="38"/>
          <w:p/>
        </w:tc>
      </w:tr>
    </w:tbl>
    <w:bookmarkEnd w:id="39"/>
    <w:bookmarkStart w:id="42" w:name="X66c9cc182233bd002ab6e072ce477517bb113a6"/>
    <w:p>
      <w:pPr>
        <w:pStyle w:val="Heading3"/>
      </w:pPr>
      <w:r>
        <w:t xml:space="preserve">Sites excluded for date parsing (Category B + C)</w:t>
      </w:r>
    </w:p>
    <w:p>
      <w:pPr>
        <w:pStyle w:val="FirstParagraph"/>
      </w:pPr>
      <w:r>
        <w:t xml:space="preserve">Twenty-seven sites are excluded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(27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We cannot be confident of the correct approach to calibrate these ages, so we exclude them.</w:t>
      </w:r>
    </w:p>
    <w:tbl>
      <w:tblPr>
        <w:tblStyle w:val="Table"/>
        <w:tblW w:type="pct" w:w="5000"/>
        <w:tblLook w:firstRow="0" w:lastRow="0" w:firstColumn="0" w:lastColumn="0" w:noHBand="0" w:noVBand="0" w:val="0000"/>
        <w:jc w:val="start"/>
        <w:tblLayout w:type="fixed"/>
      </w:tblPr>
      <w:tblGrid>
        <w:gridCol w:w="7920"/>
      </w:tblGrid>
      <w:tr>
        <w:tc>
          <w:tcPr/>
          <w:bookmarkStart w:id="40" w:name="tbl-date-excluded"/>
          <w:p>
            <w:pPr>
              <w:jc w:val="center"/>
            </w:pPr>
            <w:pPr>
              <w:jc w:val="start"/>
              <w:spacing w:before="200"/>
              <w:pStyle w:val="ImageCaption"/>
            </w:pPr>
            <w:r>
              <w:t xml:space="preserve">Table S 4: 27 sites excluded during the date-parsing/calibration step: 16 Category B (no date string) and 11 Category C (unparseable date string).</w:t>
            </w:r>
          </w:p>
          <w:tbl>
            <w:tblPr>
              <w:tblStyle w:val="Table"/>
              <w:tblW w:type="pct" w:w="5000"/>
              <w:tblLook w:firstRow="1" w:lastRow="0" w:firstColumn="0" w:lastColumn="0" w:noHBand="0" w:noVBand="0" w:val="0020"/>
              <w:jc w:val="start"/>
              <w:tblLayout w:type="fixed"/>
            </w:tblPr>
            <w:tblGrid>
              <w:gridCol w:w="1474"/>
              <w:gridCol w:w="491"/>
              <w:gridCol w:w="436"/>
              <w:gridCol w:w="819"/>
              <w:gridCol w:w="4697"/>
            </w:tblGrid>
            <w:tr>
              <w:trPr>
                <w:tblHeader w:val="true"/>
              </w:trPr>
              <w:tc>
                <w:tcPr/>
                <w:p>
                  <w:pPr>
                    <w:pStyle w:val="Compact"/>
                    <w:jc w:val="left"/>
                    <w:jc w:val="center"/>
                  </w:pPr>
                  <w:r>
                    <w:t xml:space="preserve">Site</w:t>
                  </w:r>
                </w:p>
              </w:tc>
              <w:tc>
                <w:tcPr/>
                <w:p>
                  <w:pPr>
                    <w:pStyle w:val="Compact"/>
                    <w:jc w:val="left"/>
                    <w:jc w:val="center"/>
                  </w:pPr>
                  <w:r>
                    <w:t xml:space="preserve">Category</w:t>
                  </w:r>
                </w:p>
              </w:tc>
              <w:tc>
                <w:tcPr/>
                <w:p>
                  <w:pPr>
                    <w:pStyle w:val="Compact"/>
                    <w:jc w:val="right"/>
                    <w:jc w:val="center"/>
                  </w:pPr>
                  <w:r>
                    <w:t xml:space="preserve">Objects</w:t>
                  </w:r>
                </w:p>
              </w:tc>
              <w:tc>
                <w:tcPr/>
                <w:p>
                  <w:pPr>
                    <w:pStyle w:val="Compact"/>
                    <w:jc w:val="right"/>
                    <w:jc w:val="center"/>
                  </w:pPr>
                  <w:r>
                    <w:t xml:space="preserve">Signed objects</w:t>
                  </w:r>
                </w:p>
              </w:tc>
              <w:tc>
                <w:tcPr/>
                <w:p>
                  <w:pPr>
                    <w:pStyle w:val="Compact"/>
                    <w:jc w:val="left"/>
                    <w:jc w:val="center"/>
                  </w:pPr>
                  <w:r>
                    <w:t xml:space="preserve">Exemption reason</w:t>
                  </w:r>
                </w:p>
              </w:tc>
            </w:tr>
            <w:tr>
              <w:tc>
                <w:tcPr/>
                <w:p>
                  <w:pPr>
                    <w:pStyle w:val="Compact"/>
                    <w:jc w:val="left"/>
                    <w:jc w:val="center"/>
                  </w:pPr>
                  <w:r>
                    <w:t xml:space="preserve">Abri de Laussel</w:t>
                  </w:r>
                </w:p>
              </w:tc>
              <w:tc>
                <w:tcPr/>
                <w:p>
                  <w:pPr>
                    <w:pStyle w:val="Compact"/>
                    <w:jc w:val="left"/>
                    <w:jc w:val="center"/>
                  </w:pPr>
                  <w:r>
                    <w:t xml:space="preserve">B</w:t>
                  </w:r>
                </w:p>
              </w:tc>
              <w:tc>
                <w:tcPr/>
                <w:p>
                  <w:pPr>
                    <w:pStyle w:val="Compact"/>
                    <w:jc w:val="right"/>
                    <w:jc w:val="center"/>
                  </w:pPr>
                  <w:r>
                    <w:t xml:space="preserve">6</w:t>
                  </w:r>
                </w:p>
              </w:tc>
              <w:tc>
                <w:tcPr/>
                <w:p>
                  <w:pPr>
                    <w:pStyle w:val="Compact"/>
                    <w:jc w:val="right"/>
                    <w:jc w:val="center"/>
                  </w:pPr>
                  <w:r>
                    <w:t xml:space="preserve">5</w:t>
                  </w:r>
                </w:p>
              </w:tc>
              <w:tc>
                <w:tcPr/>
                <w:p>
                  <w:pPr>
                    <w:pStyle w:val="Compact"/>
                    <w:jc w:val="left"/>
                    <w:jc w:val="center"/>
                  </w:pPr>
                  <w:r>
                    <w:t xml:space="preserve">No date_bp_max_min; signed objects from deep Dordogne Late Aurignacian context</w:t>
                  </w:r>
                </w:p>
              </w:tc>
            </w:tr>
            <w:tr>
              <w:tc>
                <w:tcPr/>
                <w:p>
                  <w:pPr>
                    <w:pStyle w:val="Compact"/>
                    <w:jc w:val="left"/>
                    <w:jc w:val="center"/>
                  </w:pPr>
                  <w:r>
                    <w:t xml:space="preserve">Abri Lartet/Gorge d’Enfer</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multiple Aurignacian levels reported by historical excavations</w:t>
                  </w:r>
                </w:p>
              </w:tc>
            </w:tr>
            <w:tr>
              <w:tc>
                <w:tcPr/>
                <w:p>
                  <w:pPr>
                    <w:pStyle w:val="Compact"/>
                    <w:jc w:val="left"/>
                    <w:jc w:val="center"/>
                  </w:pPr>
                  <w:r>
                    <w:t xml:space="preserve">Abri du Poisson</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single object from historical excavation</w:t>
                  </w:r>
                </w:p>
              </w:tc>
            </w:tr>
            <w:tr>
              <w:tc>
                <w:tcPr/>
                <w:p>
                  <w:pPr>
                    <w:pStyle w:val="Compact"/>
                    <w:jc w:val="left"/>
                    <w:jc w:val="center"/>
                  </w:pPr>
                  <w:r>
                    <w:t xml:space="preserve">Aurignac</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isolated Italian Early Aurignacian find with no associated dating</w:t>
                  </w:r>
                </w:p>
              </w:tc>
            </w:tr>
            <w:tr>
              <w:tc>
                <w:tcPr/>
                <w:p>
                  <w:pPr>
                    <w:pStyle w:val="Compact"/>
                    <w:jc w:val="left"/>
                    <w:jc w:val="center"/>
                  </w:pPr>
                  <w:r>
                    <w:t xml:space="preserve">d’Engihoul</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 Swiss site with published chronology but no SignBase date entry</w:t>
                  </w:r>
                </w:p>
              </w:tc>
            </w:tr>
            <w:tr>
              <w:tc>
                <w:tcPr/>
                <w:p>
                  <w:pPr>
                    <w:pStyle w:val="Compact"/>
                    <w:jc w:val="left"/>
                    <w:jc w:val="center"/>
                  </w:pPr>
                  <w:r>
                    <w:t xml:space="preserve">El Rascaño</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Göpfelsteinhöhle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Kvasice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La Souquette</w:t>
                  </w:r>
                </w:p>
              </w:tc>
              <w:tc>
                <w:tcPr/>
                <w:p>
                  <w:pPr>
                    <w:pStyle w:val="Compact"/>
                    <w:jc w:val="left"/>
                    <w:jc w:val="center"/>
                  </w:pPr>
                  <w:r>
                    <w:t xml:space="preserve">B</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Le Terme Pialat</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Lhotka</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Otaslavice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Slatinice</w:t>
                  </w:r>
                </w:p>
              </w:tc>
              <w:tc>
                <w:tcPr/>
                <w:p>
                  <w:pPr>
                    <w:pStyle w:val="Compact"/>
                    <w:jc w:val="left"/>
                    <w:jc w:val="center"/>
                  </w:pPr>
                  <w:r>
                    <w:t xml:space="preserve">B</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No date_bp_max_min</w:t>
                  </w:r>
                </w:p>
              </w:tc>
            </w:tr>
            <w:tr>
              <w:tc>
                <w:tcPr/>
                <w:p>
                  <w:pPr>
                    <w:pStyle w:val="Compact"/>
                    <w:jc w:val="left"/>
                    <w:jc w:val="center"/>
                  </w:pPr>
                  <w:r>
                    <w:t xml:space="preserve">Nová Dědina</w:t>
                  </w:r>
                </w:p>
              </w:tc>
              <w:tc>
                <w:tcPr/>
                <w:p>
                  <w:pPr>
                    <w:pStyle w:val="Compact"/>
                    <w:jc w:val="left"/>
                    <w:jc w:val="center"/>
                  </w:pPr>
                  <w:r>
                    <w:t xml:space="preserve">B</w:t>
                  </w:r>
                </w:p>
              </w:tc>
              <w:tc>
                <w:tcPr/>
                <w:p>
                  <w:pPr>
                    <w:pStyle w:val="Compact"/>
                    <w:jc w:val="right"/>
                    <w:jc w:val="center"/>
                  </w:pPr>
                  <w:r>
                    <w:t xml:space="preserve">4</w:t>
                  </w:r>
                </w:p>
              </w:tc>
              <w:tc>
                <w:tcPr/>
                <w:p>
                  <w:pPr>
                    <w:pStyle w:val="Compact"/>
                    <w:jc w:val="right"/>
                    <w:jc w:val="center"/>
                  </w:pPr>
                  <w:r>
                    <w:t xml:space="preserve">3</w:t>
                  </w:r>
                </w:p>
              </w:tc>
              <w:tc>
                <w:tcPr/>
                <w:p>
                  <w:pPr>
                    <w:pStyle w:val="Compact"/>
                    <w:jc w:val="left"/>
                    <w:jc w:val="center"/>
                  </w:pPr>
                  <w:r>
                    <w:t xml:space="preserve">No date_bp_max_min; Late Aurignacian assemblage with 3 artifacts</w:t>
                  </w:r>
                </w:p>
              </w:tc>
            </w:tr>
            <w:tr>
              <w:tc>
                <w:tcPr/>
                <w:p>
                  <w:pPr>
                    <w:pStyle w:val="Compact"/>
                    <w:jc w:val="left"/>
                    <w:jc w:val="center"/>
                  </w:pPr>
                  <w:r>
                    <w:t xml:space="preserve">Menton/Grottes du Grimaldi</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2</w:t>
                  </w:r>
                </w:p>
              </w:tc>
              <w:tc>
                <w:tcPr/>
                <w:p>
                  <w:pPr>
                    <w:pStyle w:val="Compact"/>
                    <w:jc w:val="left"/>
                    <w:jc w:val="center"/>
                  </w:pPr>
                  <w:r>
                    <w:t xml:space="preserve">No date_bp_max_min</w:t>
                  </w:r>
                </w:p>
              </w:tc>
            </w:tr>
            <w:tr>
              <w:tc>
                <w:tcPr/>
                <w:p>
                  <w:pPr>
                    <w:pStyle w:val="Compact"/>
                    <w:jc w:val="left"/>
                    <w:jc w:val="center"/>
                  </w:pPr>
                  <w:r>
                    <w:t xml:space="preserve">Žlutava</w:t>
                  </w:r>
                </w:p>
              </w:tc>
              <w:tc>
                <w:tcPr/>
                <w:p>
                  <w:pPr>
                    <w:pStyle w:val="Compact"/>
                    <w:jc w:val="left"/>
                    <w:jc w:val="center"/>
                  </w:pPr>
                  <w:r>
                    <w:t xml:space="preserve">B</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No date_bp_max_min</w:t>
                  </w:r>
                </w:p>
              </w:tc>
            </w:tr>
            <w:tr>
              <w:tc>
                <w:tcPr/>
                <w:p>
                  <w:pPr>
                    <w:pStyle w:val="Compact"/>
                    <w:jc w:val="left"/>
                    <w:jc w:val="center"/>
                  </w:pPr>
                  <w:r>
                    <w:t xml:space="preserve">Grotte de Goyet</w:t>
                  </w:r>
                </w:p>
              </w:tc>
              <w:tc>
                <w:tcPr/>
                <w:p>
                  <w:pPr>
                    <w:pStyle w:val="Compact"/>
                    <w:jc w:val="left"/>
                    <w:jc w:val="center"/>
                  </w:pPr>
                  <w:r>
                    <w:t xml:space="preserve">C</w:t>
                  </w:r>
                </w:p>
              </w:tc>
              <w:tc>
                <w:tcPr/>
                <w:p>
                  <w:pPr>
                    <w:pStyle w:val="Compact"/>
                    <w:jc w:val="right"/>
                    <w:jc w:val="center"/>
                  </w:pPr>
                  <w:r>
                    <w:t xml:space="preserve">13</w:t>
                  </w:r>
                </w:p>
              </w:tc>
              <w:tc>
                <w:tcPr/>
                <w:p>
                  <w:pPr>
                    <w:pStyle w:val="Compact"/>
                    <w:jc w:val="right"/>
                    <w:jc w:val="center"/>
                  </w:pPr>
                  <w:r>
                    <w:t xml:space="preserve">12</w:t>
                  </w:r>
                </w:p>
              </w:tc>
              <w:tc>
                <w:tcPr/>
                <w:p>
                  <w:pPr>
                    <w:pStyle w:val="Compact"/>
                    <w:jc w:val="left"/>
                    <w:jc w:val="center"/>
                  </w:pPr>
                  <w:r>
                    <w:t xml:space="preserve">No date_bp_max_min</w:t>
                  </w:r>
                </w:p>
              </w:tc>
            </w:tr>
            <w:tr>
              <w:tc>
                <w:tcPr/>
                <w:p>
                  <w:pPr>
                    <w:pStyle w:val="Compact"/>
                    <w:jc w:val="left"/>
                    <w:jc w:val="center"/>
                  </w:pPr>
                  <w:r>
                    <w:t xml:space="preserve">Maisières-Canal</w:t>
                  </w:r>
                </w:p>
              </w:tc>
              <w:tc>
                <w:tcPr/>
                <w:p>
                  <w:pPr>
                    <w:pStyle w:val="Compact"/>
                    <w:jc w:val="left"/>
                    <w:jc w:val="center"/>
                  </w:pPr>
                  <w:r>
                    <w:t xml:space="preserve">C</w:t>
                  </w:r>
                </w:p>
              </w:tc>
              <w:tc>
                <w:tcPr/>
                <w:p>
                  <w:pPr>
                    <w:pStyle w:val="Compact"/>
                    <w:jc w:val="right"/>
                    <w:jc w:val="center"/>
                  </w:pPr>
                  <w:r>
                    <w:t xml:space="preserve">7</w:t>
                  </w:r>
                </w:p>
              </w:tc>
              <w:tc>
                <w:tcPr/>
                <w:p>
                  <w:pPr>
                    <w:pStyle w:val="Compact"/>
                    <w:jc w:val="right"/>
                    <w:jc w:val="center"/>
                  </w:pPr>
                  <w:r>
                    <w:t xml:space="preserve">5</w:t>
                  </w:r>
                </w:p>
              </w:tc>
              <w:tc>
                <w:tcPr/>
                <w:p>
                  <w:pPr>
                    <w:pStyle w:val="Compact"/>
                    <w:jc w:val="left"/>
                    <w:jc w:val="center"/>
                  </w:pPr>
                  <w:r>
                    <w:t xml:space="preserve">No date_bp_max_min</w:t>
                  </w:r>
                </w:p>
              </w:tc>
            </w:tr>
            <w:tr>
              <w:tc>
                <w:tcPr/>
                <w:p>
                  <w:pPr>
                    <w:pStyle w:val="Compact"/>
                    <w:jc w:val="left"/>
                    <w:jc w:val="center"/>
                  </w:pPr>
                  <w:r>
                    <w:t xml:space="preserve">Brassempouy</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35160-33140 uncalibratable</w:t>
                  </w:r>
                </w:p>
              </w:tc>
            </w:tr>
            <w:tr>
              <w:tc>
                <w:tcPr/>
                <w:p>
                  <w:pPr>
                    <w:pStyle w:val="Compact"/>
                    <w:jc w:val="left"/>
                    <w:jc w:val="center"/>
                  </w:pPr>
                  <w:r>
                    <w:t xml:space="preserve">Istállóskő Cave</w:t>
                  </w:r>
                </w:p>
              </w:tc>
              <w:tc>
                <w:tcPr/>
                <w:p>
                  <w:pPr>
                    <w:pStyle w:val="Compact"/>
                    <w:jc w:val="left"/>
                    <w:jc w:val="center"/>
                  </w:pPr>
                  <w:r>
                    <w:t xml:space="preserve">C</w:t>
                  </w:r>
                </w:p>
              </w:tc>
              <w:tc>
                <w:tcPr/>
                <w:p>
                  <w:pPr>
                    <w:pStyle w:val="Compact"/>
                    <w:jc w:val="right"/>
                    <w:jc w:val="center"/>
                  </w:pPr>
                  <w:r>
                    <w:t xml:space="preserve">3</w:t>
                  </w:r>
                </w:p>
              </w:tc>
              <w:tc>
                <w:tcPr/>
                <w:p>
                  <w:pPr>
                    <w:pStyle w:val="Compact"/>
                    <w:jc w:val="right"/>
                    <w:jc w:val="center"/>
                  </w:pPr>
                  <w:r>
                    <w:t xml:space="preserve">3</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Le Trou Du Renard</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No date_bp_max_min in parsed form; AMS date range 35000-32000 lacks error field</w:t>
                  </w:r>
                </w:p>
              </w:tc>
            </w:tr>
            <w:tr>
              <w:tc>
                <w:tcPr/>
                <w:p>
                  <w:pPr>
                    <w:pStyle w:val="Compact"/>
                    <w:jc w:val="left"/>
                    <w:jc w:val="center"/>
                  </w:pPr>
                  <w:r>
                    <w:t xml:space="preserve">Tuto de Camalhot</w:t>
                  </w:r>
                </w:p>
              </w:tc>
              <w:tc>
                <w:tcPr/>
                <w:p>
                  <w:pPr>
                    <w:pStyle w:val="Compact"/>
                    <w:jc w:val="left"/>
                    <w:jc w:val="center"/>
                  </w:pPr>
                  <w:r>
                    <w:t xml:space="preserve">C</w:t>
                  </w:r>
                </w:p>
              </w:tc>
              <w:tc>
                <w:tcPr/>
                <w:p>
                  <w:pPr>
                    <w:pStyle w:val="Compact"/>
                    <w:jc w:val="right"/>
                    <w:jc w:val="center"/>
                  </w:pPr>
                  <w:r>
                    <w:t xml:space="preserve">2</w:t>
                  </w:r>
                </w:p>
              </w:tc>
              <w:tc>
                <w:tcPr/>
                <w:p>
                  <w:pPr>
                    <w:pStyle w:val="Compact"/>
                    <w:jc w:val="right"/>
                    <w:jc w:val="center"/>
                  </w:pPr>
                  <w:r>
                    <w:t xml:space="preserve">2</w:t>
                  </w:r>
                </w:p>
              </w:tc>
              <w:tc>
                <w:tcPr/>
                <w:p>
                  <w:pPr>
                    <w:pStyle w:val="Compact"/>
                    <w:jc w:val="left"/>
                    <w:jc w:val="center"/>
                  </w:pPr>
                  <w:r>
                    <w:t xml:space="preserve">Date string lacks ± error notation; C14 date range 33000-32000 uncalibratable</w:t>
                  </w:r>
                </w:p>
              </w:tc>
            </w:tr>
            <w:tr>
              <w:tc>
                <w:tcPr/>
                <w:p>
                  <w:pPr>
                    <w:pStyle w:val="Compact"/>
                    <w:jc w:val="left"/>
                    <w:jc w:val="center"/>
                  </w:pPr>
                  <w:r>
                    <w:t xml:space="preserve">Peskő Cave</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single value 34750 uncalibratable</w:t>
                  </w:r>
                </w:p>
              </w:tc>
            </w:tr>
            <w:tr>
              <w:tc>
                <w:tcPr/>
                <w:p>
                  <w:pPr>
                    <w:pStyle w:val="Compact"/>
                    <w:jc w:val="left"/>
                    <w:jc w:val="center"/>
                  </w:pPr>
                  <w:r>
                    <w:t xml:space="preserve">Shelter Birów IV</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AMS date range 38300-33500 uncalibratable</w:t>
                  </w:r>
                </w:p>
              </w:tc>
            </w:tr>
            <w:tr>
              <w:tc>
                <w:tcPr/>
                <w:p>
                  <w:pPr>
                    <w:pStyle w:val="Compact"/>
                    <w:jc w:val="left"/>
                    <w:jc w:val="center"/>
                  </w:pPr>
                  <w:r>
                    <w:t xml:space="preserve">Wildscheuer</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Hornos de la Pena</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r>
              <w:tc>
                <w:tcPr/>
                <w:p>
                  <w:pPr>
                    <w:pStyle w:val="Compact"/>
                    <w:jc w:val="left"/>
                    <w:jc w:val="center"/>
                  </w:pPr>
                  <w:r>
                    <w:t xml:space="preserve">Breitenbach</w:t>
                  </w:r>
                </w:p>
              </w:tc>
              <w:tc>
                <w:tcPr/>
                <w:p>
                  <w:pPr>
                    <w:pStyle w:val="Compact"/>
                    <w:jc w:val="left"/>
                    <w:jc w:val="center"/>
                  </w:pPr>
                  <w:r>
                    <w:t xml:space="preserve">C</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Date string lacks ± error notation; C14 date range 34000-30000 uncalibratable</w:t>
                  </w:r>
                </w:p>
              </w:tc>
            </w:tr>
          </w:tbl>
          <w:bookmarkEnd w:id="40"/>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1" w:name="tbl-excluded-summary"/>
          <w:p>
            <w:pPr>
              <w:jc w:val="center"/>
            </w:pPr>
            <w:pPr>
              <w:jc w:val="start"/>
              <w:spacing w:before="200"/>
              <w:pStyle w:val="ImageCaption"/>
            </w:pPr>
            <w:r>
              <w:t xml:space="preserve">Table S 5</w:t>
            </w:r>
          </w:p>
          <w:p>
            <w:pPr>
              <w:pStyle w:val="SourceCode"/>
              <w:jc w:val="center"/>
            </w:pPr>
            <w:r>
              <w:rPr>
                <w:rStyle w:val="VerbatimChar"/>
              </w:rPr>
              <w:t xml:space="preserve">**Summary:** 27 sites with 65 total objects (59 signed) failed date parsing. </w:t>
            </w:r>
          </w:p>
          <w:bookmarkEnd w:id="41"/>
        </w:tc>
      </w:tr>
    </w:tbl>
    <w:bookmarkEnd w:id="42"/>
    <w:bookmarkStart w:id="44"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0" w:lastRow="0" w:firstColumn="0" w:lastColumn="0" w:noHBand="0" w:noVBand="0" w:val="0000"/>
        <w:jc w:val="start"/>
        <w:tblLayout w:type="fixed"/>
      </w:tblPr>
      <w:tblGrid>
        <w:gridCol w:w="7920"/>
      </w:tblGrid>
      <w:tr>
        <w:tc>
          <w:tcPr/>
          <w:bookmarkStart w:id="43" w:name="tbl-date-aurp1"/>
          <w:p>
            <w:pPr>
              <w:jc w:val="center"/>
            </w:pPr>
            <w:pPr>
              <w:jc w:val="start"/>
              <w:spacing w:before="200"/>
              <w:pStyle w:val="ImageCaption"/>
            </w:pPr>
            <w:r>
              <w:t xml:space="preserve">Table S 6: Aur-P1 sites assigned by their calibrated radiocarbon date.</w:t>
            </w:r>
          </w:p>
          <w:tbl>
            <w:tblPr>
              <w:tblStyle w:val="Table"/>
              <w:tblW w:type="pct" w:w="5000"/>
              <w:tblLook w:firstRow="1" w:lastRow="0" w:firstColumn="0" w:lastColumn="0" w:noHBand="0" w:noVBand="0" w:val="0020"/>
              <w:jc w:val="start"/>
              <w:tblLayout w:type="fixed"/>
            </w:tblPr>
            <w:tblGrid>
              <w:gridCol w:w="1516"/>
              <w:gridCol w:w="449"/>
              <w:gridCol w:w="5954"/>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Cellier</w:t>
                  </w:r>
                </w:p>
              </w:tc>
              <w:tc>
                <w:tcPr/>
                <w:p>
                  <w:pPr>
                    <w:pStyle w:val="Compact"/>
                    <w:jc w:val="right"/>
                    <w:jc w:val="center"/>
                  </w:pPr>
                  <w:r>
                    <w:t xml:space="preserve">28</w:t>
                  </w:r>
                </w:p>
              </w:tc>
              <w:tc>
                <w:tcPr/>
                <w:p>
                  <w:pPr>
                    <w:pStyle w:val="Compact"/>
                    <w:jc w:val="left"/>
                    <w:jc w:val="center"/>
                  </w:pPr>
                  <w:r>
                    <w:t xml:space="preserve">MedianBP 37,799–39,799</w:t>
                  </w:r>
                </w:p>
              </w:tc>
            </w:tr>
            <w:tr>
              <w:tc>
                <w:tcPr/>
                <w:p>
                  <w:pPr>
                    <w:pStyle w:val="Compact"/>
                    <w:jc w:val="left"/>
                    <w:jc w:val="center"/>
                  </w:pPr>
                  <w:r>
                    <w:t xml:space="preserve">Castanet</w:t>
                  </w:r>
                </w:p>
              </w:tc>
              <w:tc>
                <w:tcPr/>
                <w:p>
                  <w:pPr>
                    <w:pStyle w:val="Compact"/>
                    <w:jc w:val="right"/>
                    <w:jc w:val="center"/>
                  </w:pPr>
                  <w:r>
                    <w:t xml:space="preserve">21</w:t>
                  </w:r>
                </w:p>
              </w:tc>
              <w:tc>
                <w:tcPr/>
                <w:p>
                  <w:pPr>
                    <w:pStyle w:val="Compact"/>
                    <w:jc w:val="left"/>
                    <w:jc w:val="center"/>
                  </w:pPr>
                  <w:r>
                    <w:t xml:space="preserve">MedianBP 37,799–39,799</w:t>
                  </w:r>
                </w:p>
              </w:tc>
            </w:tr>
            <w:tr>
              <w:tc>
                <w:tcPr/>
                <w:p>
                  <w:pPr>
                    <w:pStyle w:val="Compact"/>
                    <w:jc w:val="left"/>
                    <w:jc w:val="center"/>
                  </w:pPr>
                  <w:r>
                    <w:t xml:space="preserve">Blanchard</w:t>
                  </w:r>
                </w:p>
              </w:tc>
              <w:tc>
                <w:tcPr/>
                <w:p>
                  <w:pPr>
                    <w:pStyle w:val="Compact"/>
                    <w:jc w:val="right"/>
                    <w:jc w:val="center"/>
                  </w:pPr>
                  <w:r>
                    <w:t xml:space="preserve">18</w:t>
                  </w:r>
                </w:p>
              </w:tc>
              <w:tc>
                <w:tcPr/>
                <w:p>
                  <w:pPr>
                    <w:pStyle w:val="Compact"/>
                    <w:jc w:val="left"/>
                    <w:jc w:val="center"/>
                  </w:pPr>
                  <w:r>
                    <w:t xml:space="preserve">MedianBP 37,799–39,799</w:t>
                  </w:r>
                </w:p>
              </w:tc>
            </w:tr>
            <w:tr>
              <w:tc>
                <w:tcPr/>
                <w:p>
                  <w:pPr>
                    <w:pStyle w:val="Compact"/>
                    <w:jc w:val="left"/>
                    <w:jc w:val="center"/>
                  </w:pPr>
                  <w:r>
                    <w:t xml:space="preserve">Grotte du Renne</w:t>
                  </w:r>
                </w:p>
              </w:tc>
              <w:tc>
                <w:tcPr/>
                <w:p>
                  <w:pPr>
                    <w:pStyle w:val="Compact"/>
                    <w:jc w:val="right"/>
                    <w:jc w:val="center"/>
                  </w:pPr>
                  <w:r>
                    <w:t xml:space="preserve">7</w:t>
                  </w:r>
                </w:p>
              </w:tc>
              <w:tc>
                <w:tcPr/>
                <w:p>
                  <w:pPr>
                    <w:pStyle w:val="Compact"/>
                    <w:jc w:val="left"/>
                    <w:jc w:val="center"/>
                  </w:pPr>
                  <w:r>
                    <w:t xml:space="preserve">MedianBP &gt; 39,799</w:t>
                  </w:r>
                </w:p>
              </w:tc>
            </w:tr>
            <w:tr>
              <w:tc>
                <w:tcPr/>
                <w:p>
                  <w:pPr>
                    <w:pStyle w:val="Compact"/>
                    <w:jc w:val="left"/>
                    <w:jc w:val="center"/>
                  </w:pPr>
                  <w:r>
                    <w:t xml:space="preserve">Grotte de la Verpillière I</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Solutré</w:t>
                  </w:r>
                </w:p>
              </w:tc>
              <w:tc>
                <w:tcPr/>
                <w:p>
                  <w:pPr>
                    <w:pStyle w:val="Compact"/>
                    <w:jc w:val="right"/>
                    <w:jc w:val="center"/>
                  </w:pPr>
                  <w:r>
                    <w:t xml:space="preserve">4</w:t>
                  </w:r>
                </w:p>
              </w:tc>
              <w:tc>
                <w:tcPr/>
                <w:p>
                  <w:pPr>
                    <w:pStyle w:val="Compact"/>
                    <w:jc w:val="left"/>
                    <w:jc w:val="center"/>
                  </w:pPr>
                  <w:r>
                    <w:t xml:space="preserve">MedianBP 37,799–39,799</w:t>
                  </w:r>
                </w:p>
              </w:tc>
            </w:tr>
            <w:tr>
              <w:tc>
                <w:tcPr/>
                <w:p>
                  <w:pPr>
                    <w:pStyle w:val="Compact"/>
                    <w:jc w:val="left"/>
                    <w:jc w:val="center"/>
                  </w:pPr>
                  <w:r>
                    <w:t xml:space="preserve">Riparo Bombrini</w:t>
                  </w:r>
                </w:p>
              </w:tc>
              <w:tc>
                <w:tcPr/>
                <w:p>
                  <w:pPr>
                    <w:pStyle w:val="Compact"/>
                    <w:jc w:val="right"/>
                    <w:jc w:val="center"/>
                  </w:pPr>
                  <w:r>
                    <w:t xml:space="preserve">3</w:t>
                  </w:r>
                </w:p>
              </w:tc>
              <w:tc>
                <w:tcPr/>
                <w:p>
                  <w:pPr>
                    <w:pStyle w:val="Compact"/>
                    <w:jc w:val="left"/>
                    <w:jc w:val="center"/>
                  </w:pPr>
                  <w:r>
                    <w:t xml:space="preserve">MedianBP 37,799–39,799</w:t>
                  </w:r>
                </w:p>
              </w:tc>
            </w:tr>
            <w:tr>
              <w:tc>
                <w:tcPr/>
                <w:p>
                  <w:pPr>
                    <w:pStyle w:val="Compact"/>
                    <w:jc w:val="left"/>
                    <w:jc w:val="center"/>
                  </w:pPr>
                  <w:r>
                    <w:t xml:space="preserve">Hohlenstein-Stadel</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Labeko Koba</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Les Cottés</w:t>
                  </w:r>
                </w:p>
              </w:tc>
              <w:tc>
                <w:tcPr/>
                <w:p>
                  <w:pPr>
                    <w:pStyle w:val="Compact"/>
                    <w:jc w:val="right"/>
                    <w:jc w:val="center"/>
                  </w:pPr>
                  <w:r>
                    <w:t xml:space="preserve">2</w:t>
                  </w:r>
                </w:p>
              </w:tc>
              <w:tc>
                <w:tcPr/>
                <w:p>
                  <w:pPr>
                    <w:pStyle w:val="Compact"/>
                    <w:jc w:val="left"/>
                    <w:jc w:val="center"/>
                  </w:pPr>
                  <w:r>
                    <w:t xml:space="preserve">MedianBP &gt; 39,799</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left"/>
                    <w:jc w:val="center"/>
                  </w:pPr>
                  <w:r>
                    <w:t xml:space="preserve">MedianBP &gt; 39,799 (Protoaurignacian throughout sequence</w:t>
                  </w:r>
                  <w:r>
                    <w:t xml:space="preserve"> </w:t>
                  </w:r>
                  <w:r>
                    <w:t xml:space="preserve">[11,12]</w:t>
                  </w:r>
                  <w:r>
                    <w:t xml:space="preserve">)</w:t>
                  </w:r>
                </w:p>
              </w:tc>
            </w:tr>
            <w:tr>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left"/>
                    <w:jc w:val="center"/>
                  </w:pPr>
                  <w:r>
                    <w:t xml:space="preserve">MedianBP 37,799–39,799</w:t>
                  </w:r>
                </w:p>
              </w:tc>
            </w:tr>
            <w:tr>
              <w:tc>
                <w:tcPr/>
                <w:p>
                  <w:pPr>
                    <w:pStyle w:val="Compact"/>
                    <w:jc w:val="left"/>
                    <w:jc w:val="center"/>
                  </w:pPr>
                  <w:r>
                    <w:t xml:space="preserve">Pod Hradem</w:t>
                  </w:r>
                </w:p>
              </w:tc>
              <w:tc>
                <w:tcPr/>
                <w:p>
                  <w:pPr>
                    <w:pStyle w:val="Compact"/>
                    <w:jc w:val="right"/>
                    <w:jc w:val="center"/>
                  </w:pPr>
                  <w:r>
                    <w:t xml:space="preserve">1</w:t>
                  </w:r>
                </w:p>
              </w:tc>
              <w:tc>
                <w:tcPr/>
                <w:p>
                  <w:pPr>
                    <w:pStyle w:val="Compact"/>
                    <w:jc w:val="left"/>
                    <w:jc w:val="center"/>
                  </w:pPr>
                  <w:r>
                    <w:t xml:space="preserve">MedianBP &gt; 39,799</w:t>
                  </w:r>
                </w:p>
              </w:tc>
            </w:tr>
            <w:tr>
              <w:tc>
                <w:tcPr/>
                <w:p>
                  <w:pPr>
                    <w:pStyle w:val="Compact"/>
                    <w:jc w:val="left"/>
                    <w:jc w:val="center"/>
                  </w:pPr>
                  <w:r>
                    <w:t xml:space="preserve">Trou al’Wesse</w:t>
                  </w:r>
                </w:p>
              </w:tc>
              <w:tc>
                <w:tcPr/>
                <w:p>
                  <w:pPr>
                    <w:pStyle w:val="Compact"/>
                    <w:jc w:val="right"/>
                    <w:jc w:val="center"/>
                  </w:pPr>
                  <w:r>
                    <w:t xml:space="preserve">1</w:t>
                  </w:r>
                </w:p>
              </w:tc>
              <w:tc>
                <w:tcPr/>
                <w:p>
                  <w:pPr>
                    <w:pStyle w:val="Compact"/>
                    <w:jc w:val="left"/>
                    <w:jc w:val="center"/>
                  </w:pPr>
                  <w:r>
                    <w:t xml:space="preserve">MedianBP 37,799–39,799</w:t>
                  </w:r>
                </w:p>
              </w:tc>
            </w:tr>
          </w:tbl>
          <w:bookmarkEnd w:id="43"/>
          <w:p/>
        </w:tc>
      </w:tr>
    </w:tbl>
    <w:bookmarkEnd w:id="44"/>
    <w:bookmarkStart w:id="46" w:name="aur-p2-evolvedlate-date-based-assignment"/>
    <w:p>
      <w:pPr>
        <w:pStyle w:val="Heading3"/>
      </w:pPr>
      <w:r>
        <w:t xml:space="preserve">Aur-P2 (Evolved/Late) — date-based assignment</w:t>
      </w:r>
    </w:p>
    <w:tbl>
      <w:tblPr>
        <w:tblStyle w:val="Table"/>
        <w:tblW w:type="pct" w:w="5000"/>
        <w:tblLook w:firstRow="0" w:lastRow="0" w:firstColumn="0" w:lastColumn="0" w:noHBand="0" w:noVBand="0" w:val="0000"/>
        <w:jc w:val="start"/>
        <w:tblLayout w:type="fixed"/>
      </w:tblPr>
      <w:tblGrid>
        <w:gridCol w:w="7920"/>
      </w:tblGrid>
      <w:tr>
        <w:tc>
          <w:tcPr/>
          <w:bookmarkStart w:id="45" w:name="tbl-date-aurp2"/>
          <w:p>
            <w:pPr>
              <w:jc w:val="center"/>
            </w:pPr>
            <w:pPr>
              <w:jc w:val="start"/>
              <w:spacing w:before="200"/>
              <w:pStyle w:val="ImageCaption"/>
            </w:pPr>
            <w:r>
              <w:t xml:space="preserve">Table S 7: Aur-P2 sites assigned by their calibrated radiocarbon date.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Site</w:t>
                  </w:r>
                </w:p>
              </w:tc>
              <w:tc>
                <w:tcPr/>
                <w:p>
                  <w:pPr>
                    <w:pStyle w:val="Compact"/>
                    <w:jc w:val="right"/>
                    <w:jc w:val="center"/>
                  </w:pPr>
                  <w:r>
                    <w:t xml:space="preserve">Objects</w:t>
                  </w:r>
                </w:p>
              </w:tc>
              <w:tc>
                <w:tcPr/>
                <w:p>
                  <w:pPr>
                    <w:pStyle w:val="Compact"/>
                    <w:jc w:val="left"/>
                    <w:jc w:val="center"/>
                  </w:pPr>
                  <w:r>
                    <w:t xml:space="preserve">Basis</w:t>
                  </w:r>
                </w:p>
              </w:tc>
            </w:tr>
            <w:tr>
              <w:tc>
                <w:tcPr/>
                <w:p>
                  <w:pPr>
                    <w:pStyle w:val="Compact"/>
                    <w:jc w:val="left"/>
                    <w:jc w:val="center"/>
                  </w:pPr>
                  <w:r>
                    <w:t xml:space="preserve">Trou Magrite</w:t>
                  </w:r>
                </w:p>
              </w:tc>
              <w:tc>
                <w:tcPr/>
                <w:p>
                  <w:pPr>
                    <w:pStyle w:val="Compact"/>
                    <w:jc w:val="right"/>
                    <w:jc w:val="center"/>
                  </w:pPr>
                  <w:r>
                    <w:t xml:space="preserve">12</w:t>
                  </w:r>
                </w:p>
              </w:tc>
              <w:tc>
                <w:tcPr/>
                <w:p>
                  <w:pPr>
                    <w:pStyle w:val="Compact"/>
                    <w:jc w:val="left"/>
                    <w:jc w:val="center"/>
                  </w:pPr>
                  <w:r>
                    <w:t xml:space="preserve">MedianBP 31,999–37,799</w:t>
                  </w:r>
                </w:p>
              </w:tc>
            </w:tr>
            <w:tr>
              <w:tc>
                <w:tcPr/>
                <w:p>
                  <w:pPr>
                    <w:pStyle w:val="Compact"/>
                    <w:jc w:val="left"/>
                    <w:jc w:val="center"/>
                  </w:pPr>
                  <w:r>
                    <w:t xml:space="preserve">Gargas</w:t>
                  </w:r>
                </w:p>
              </w:tc>
              <w:tc>
                <w:tcPr/>
                <w:p>
                  <w:pPr>
                    <w:pStyle w:val="Compact"/>
                    <w:jc w:val="right"/>
                    <w:jc w:val="center"/>
                  </w:pPr>
                  <w:r>
                    <w:t xml:space="preserve">11</w:t>
                  </w:r>
                </w:p>
              </w:tc>
              <w:tc>
                <w:tcPr/>
                <w:p>
                  <w:pPr>
                    <w:pStyle w:val="Compact"/>
                    <w:jc w:val="left"/>
                    <w:jc w:val="center"/>
                  </w:pPr>
                  <w:r>
                    <w:t xml:space="preserve">MedianBP 31,999–37,799</w:t>
                  </w:r>
                </w:p>
              </w:tc>
            </w:tr>
            <w:tr>
              <w:tc>
                <w:tcPr/>
                <w:p>
                  <w:pPr>
                    <w:pStyle w:val="Compact"/>
                    <w:jc w:val="left"/>
                    <w:jc w:val="center"/>
                  </w:pPr>
                  <w:r>
                    <w:t xml:space="preserve">Bockstein-Törle</w:t>
                  </w:r>
                </w:p>
              </w:tc>
              <w:tc>
                <w:tcPr/>
                <w:p>
                  <w:pPr>
                    <w:pStyle w:val="Compact"/>
                    <w:jc w:val="right"/>
                    <w:jc w:val="center"/>
                  </w:pPr>
                  <w:r>
                    <w:t xml:space="preserve">3</w:t>
                  </w:r>
                </w:p>
              </w:tc>
              <w:tc>
                <w:tcPr/>
                <w:p>
                  <w:pPr>
                    <w:pStyle w:val="Compact"/>
                    <w:jc w:val="left"/>
                    <w:jc w:val="center"/>
                  </w:pPr>
                  <w:r>
                    <w:t xml:space="preserve">MedianBP 31,999–37,799</w:t>
                  </w:r>
                </w:p>
              </w:tc>
            </w:tr>
            <w:tr>
              <w:tc>
                <w:tcPr/>
                <w:p>
                  <w:pPr>
                    <w:pStyle w:val="Compact"/>
                    <w:jc w:val="left"/>
                    <w:jc w:val="center"/>
                  </w:pPr>
                  <w:r>
                    <w:t xml:space="preserve">La Viña</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Les Rois</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Sirgenstein Cave</w:t>
                  </w:r>
                </w:p>
              </w:tc>
              <w:tc>
                <w:tcPr/>
                <w:p>
                  <w:pPr>
                    <w:pStyle w:val="Compact"/>
                    <w:jc w:val="right"/>
                    <w:jc w:val="center"/>
                  </w:pPr>
                  <w:r>
                    <w:t xml:space="preserve">1</w:t>
                  </w:r>
                </w:p>
              </w:tc>
              <w:tc>
                <w:tcPr/>
                <w:p>
                  <w:pPr>
                    <w:pStyle w:val="Compact"/>
                    <w:jc w:val="left"/>
                    <w:jc w:val="center"/>
                  </w:pPr>
                  <w:r>
                    <w:t xml:space="preserve">MedianBP 31,999–37,799</w:t>
                  </w:r>
                </w:p>
              </w:tc>
            </w:tr>
            <w:tr>
              <w:tc>
                <w:tcPr/>
                <w:p>
                  <w:pPr>
                    <w:pStyle w:val="Compact"/>
                    <w:jc w:val="left"/>
                    <w:jc w:val="center"/>
                  </w:pPr>
                  <w:r>
                    <w:t xml:space="preserve">Vindija Cave</w:t>
                  </w:r>
                </w:p>
              </w:tc>
              <w:tc>
                <w:tcPr/>
                <w:p>
                  <w:pPr>
                    <w:pStyle w:val="Compact"/>
                    <w:jc w:val="right"/>
                    <w:jc w:val="center"/>
                  </w:pPr>
                  <w:r>
                    <w:t xml:space="preserve">1</w:t>
                  </w:r>
                </w:p>
              </w:tc>
              <w:tc>
                <w:tcPr/>
                <w:p>
                  <w:pPr>
                    <w:pStyle w:val="Compact"/>
                    <w:jc w:val="left"/>
                    <w:jc w:val="center"/>
                  </w:pPr>
                  <w:r>
                    <w:t xml:space="preserve">MedianBP 31,999–37,799</w:t>
                  </w:r>
                </w:p>
              </w:tc>
            </w:tr>
          </w:tbl>
          <w:bookmarkEnd w:id="45"/>
          <w:p/>
        </w:tc>
      </w:tr>
    </w:tbl>
    <w:bookmarkEnd w:id="46"/>
    <w:bookmarkStart w:id="48"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7" w:name="tbl-zero-sign"/>
          <w:p>
            <w:pPr>
              <w:jc w:val="center"/>
            </w:pPr>
            <w:pPr>
              <w:jc w:val="start"/>
              <w:spacing w:before="200"/>
              <w:pStyle w:val="ImageCaption"/>
            </w:pPr>
            <w:r>
              <w:t xml:space="preserve">Table S 8: Sites contributing objects without geometric signs, and whether the site remains in the analysis.</w:t>
            </w:r>
          </w:p>
          <w:tbl>
            <w:tblPr>
              <w:tblStyle w:val="Table"/>
              <w:tblW w:type="pct" w:w="5000"/>
              <w:tblLook w:firstRow="1" w:lastRow="0" w:firstColumn="0" w:lastColumn="0" w:noHBand="0" w:noVBand="0" w:val="0020"/>
              <w:jc w:val="start"/>
              <w:tblLayout w:type="fixed"/>
            </w:tblPr>
            <w:tblGrid>
              <w:gridCol w:w="2096"/>
              <w:gridCol w:w="1708"/>
              <w:gridCol w:w="1164"/>
              <w:gridCol w:w="2950"/>
            </w:tblGrid>
            <w:tr>
              <w:trPr>
                <w:tblHeader w:val="true"/>
              </w:trPr>
              <w:tc>
                <w:tcPr/>
                <w:p>
                  <w:pPr>
                    <w:pStyle w:val="Compact"/>
                    <w:jc w:val="left"/>
                    <w:jc w:val="center"/>
                  </w:pPr>
                  <w:r>
                    <w:t xml:space="preserve">Site</w:t>
                  </w:r>
                </w:p>
              </w:tc>
              <w:tc>
                <w:tcPr/>
                <w:p>
                  <w:pPr>
                    <w:pStyle w:val="Compact"/>
                    <w:jc w:val="right"/>
                    <w:jc w:val="center"/>
                  </w:pPr>
                  <w:r>
                    <w:t xml:space="preserve">Objects without signs</w:t>
                  </w:r>
                </w:p>
              </w:tc>
              <w:tc>
                <w:tcPr/>
                <w:p>
                  <w:pPr>
                    <w:pStyle w:val="Compact"/>
                    <w:jc w:val="right"/>
                    <w:jc w:val="center"/>
                  </w:pPr>
                  <w:r>
                    <w:t xml:space="preserve">Signed objects</w:t>
                  </w:r>
                </w:p>
              </w:tc>
              <w:tc>
                <w:tcPr/>
                <w:p>
                  <w:pPr>
                    <w:pStyle w:val="Compact"/>
                    <w:jc w:val="left"/>
                    <w:jc w:val="center"/>
                  </w:pPr>
                  <w:r>
                    <w:t xml:space="preserve">In analysis?</w:t>
                  </w:r>
                </w:p>
              </w:tc>
            </w:tr>
            <w:tr>
              <w:tc>
                <w:tcPr/>
                <w:p>
                  <w:pPr>
                    <w:pStyle w:val="Compact"/>
                    <w:jc w:val="left"/>
                    <w:jc w:val="center"/>
                  </w:pPr>
                  <w:r>
                    <w:t xml:space="preserve">Maisières-Canal</w:t>
                  </w:r>
                </w:p>
              </w:tc>
              <w:tc>
                <w:tcPr/>
                <w:p>
                  <w:pPr>
                    <w:pStyle w:val="Compact"/>
                    <w:jc w:val="right"/>
                    <w:jc w:val="center"/>
                  </w:pPr>
                  <w:r>
                    <w:t xml:space="preserve">2</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173</w:t>
                  </w:r>
                </w:p>
              </w:tc>
              <w:tc>
                <w:tcPr/>
                <w:p>
                  <w:pPr>
                    <w:pStyle w:val="Compact"/>
                    <w:jc w:val="left"/>
                    <w:jc w:val="center"/>
                  </w:pPr>
                  <w:r>
                    <w:t xml:space="preserve">Yes</w:t>
                  </w:r>
                </w:p>
              </w:tc>
            </w:tr>
            <w:tr>
              <w:tc>
                <w:tcPr/>
                <w:p>
                  <w:pPr>
                    <w:pStyle w:val="Compact"/>
                    <w:jc w:val="left"/>
                    <w:jc w:val="center"/>
                  </w:pPr>
                  <w:r>
                    <w:t xml:space="preserve">Abri de Laussel</w:t>
                  </w:r>
                </w:p>
              </w:tc>
              <w:tc>
                <w:tcPr/>
                <w:p>
                  <w:pPr>
                    <w:pStyle w:val="Compact"/>
                    <w:jc w:val="right"/>
                    <w:jc w:val="center"/>
                  </w:pPr>
                  <w:r>
                    <w:t xml:space="preserve">1</w:t>
                  </w:r>
                </w:p>
              </w:tc>
              <w:tc>
                <w:tcPr/>
                <w:p>
                  <w:pPr>
                    <w:pStyle w:val="Compact"/>
                    <w:jc w:val="right"/>
                    <w:jc w:val="center"/>
                  </w:pPr>
                  <w:r>
                    <w:t xml:space="preserve">5</w:t>
                  </w:r>
                </w:p>
              </w:tc>
              <w:tc>
                <w:tcPr/>
                <w:p>
                  <w:pPr>
                    <w:pStyle w:val="Compact"/>
                    <w:jc w:val="left"/>
                    <w:jc w:val="center"/>
                  </w:pPr>
                  <w:r>
                    <w:t xml:space="preserve">No (date parsing)</w:t>
                  </w:r>
                </w:p>
              </w:tc>
            </w:tr>
            <w:tr>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18</w:t>
                  </w:r>
                </w:p>
              </w:tc>
              <w:tc>
                <w:tcPr/>
                <w:p>
                  <w:pPr>
                    <w:pStyle w:val="Compact"/>
                    <w:jc w:val="left"/>
                    <w:jc w:val="center"/>
                  </w:pPr>
                  <w:r>
                    <w:t xml:space="preserve">Yes</w:t>
                  </w:r>
                </w:p>
              </w:tc>
            </w:tr>
            <w:tr>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21</w:t>
                  </w:r>
                </w:p>
              </w:tc>
              <w:tc>
                <w:tcPr/>
                <w:p>
                  <w:pPr>
                    <w:pStyle w:val="Compact"/>
                    <w:jc w:val="left"/>
                    <w:jc w:val="center"/>
                  </w:pPr>
                  <w:r>
                    <w:t xml:space="preserve">Yes</w:t>
                  </w:r>
                </w:p>
              </w:tc>
            </w:tr>
            <w:tr>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28</w:t>
                  </w:r>
                </w:p>
              </w:tc>
              <w:tc>
                <w:tcPr/>
                <w:p>
                  <w:pPr>
                    <w:pStyle w:val="Compact"/>
                    <w:jc w:val="left"/>
                    <w:jc w:val="center"/>
                  </w:pPr>
                  <w:r>
                    <w:t xml:space="preserve">Yes</w:t>
                  </w:r>
                </w:p>
              </w:tc>
            </w:tr>
            <w:tr>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left"/>
                    <w:jc w:val="center"/>
                  </w:pPr>
                  <w:r>
                    <w:t xml:space="preserve">Yes</w:t>
                  </w:r>
                </w:p>
              </w:tc>
            </w:tr>
            <w:tr>
              <w:tc>
                <w:tcPr/>
                <w:p>
                  <w:pPr>
                    <w:pStyle w:val="Compact"/>
                    <w:jc w:val="left"/>
                    <w:jc w:val="center"/>
                  </w:pPr>
                  <w:r>
                    <w:t xml:space="preserve">Grotte de Goyet</w:t>
                  </w:r>
                </w:p>
              </w:tc>
              <w:tc>
                <w:tcPr/>
                <w:p>
                  <w:pPr>
                    <w:pStyle w:val="Compact"/>
                    <w:jc w:val="right"/>
                    <w:jc w:val="center"/>
                  </w:pPr>
                  <w:r>
                    <w:t xml:space="preserve">1</w:t>
                  </w:r>
                </w:p>
              </w:tc>
              <w:tc>
                <w:tcPr/>
                <w:p>
                  <w:pPr>
                    <w:pStyle w:val="Compact"/>
                    <w:jc w:val="right"/>
                    <w:jc w:val="center"/>
                  </w:pPr>
                  <w:r>
                    <w:t xml:space="preserve">12</w:t>
                  </w:r>
                </w:p>
              </w:tc>
              <w:tc>
                <w:tcPr/>
                <w:p>
                  <w:pPr>
                    <w:pStyle w:val="Compact"/>
                    <w:jc w:val="left"/>
                    <w:jc w:val="center"/>
                  </w:pPr>
                  <w:r>
                    <w:t xml:space="preserve">No (date parsing)</w:t>
                  </w:r>
                </w:p>
              </w:tc>
            </w:tr>
            <w:tr>
              <w:tc>
                <w:tcPr/>
                <w:p>
                  <w:pPr>
                    <w:pStyle w:val="Compact"/>
                    <w:jc w:val="left"/>
                    <w:jc w:val="center"/>
                  </w:pPr>
                  <w:r>
                    <w:t xml:space="preserve">Labeko Koba</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Yes</w:t>
                  </w:r>
                </w:p>
              </w:tc>
            </w:tr>
            <w:tr>
              <w:tc>
                <w:tcPr/>
                <w:p>
                  <w:pPr>
                    <w:pStyle w:val="Compact"/>
                    <w:jc w:val="left"/>
                    <w:jc w:val="center"/>
                  </w:pPr>
                  <w:r>
                    <w:t xml:space="preserve">Menton/Grottes du Grimaldi</w:t>
                  </w:r>
                </w:p>
              </w:tc>
              <w:tc>
                <w:tcPr/>
                <w:p>
                  <w:pPr>
                    <w:pStyle w:val="Compact"/>
                    <w:jc w:val="right"/>
                    <w:jc w:val="center"/>
                  </w:pPr>
                  <w:r>
                    <w:t xml:space="preserve">1</w:t>
                  </w:r>
                </w:p>
              </w:tc>
              <w:tc>
                <w:tcPr/>
                <w:p>
                  <w:pPr>
                    <w:pStyle w:val="Compact"/>
                    <w:jc w:val="right"/>
                    <w:jc w:val="center"/>
                  </w:pPr>
                  <w:r>
                    <w:t xml:space="preserve">2</w:t>
                  </w:r>
                </w:p>
              </w:tc>
              <w:tc>
                <w:tcPr/>
                <w:p>
                  <w:pPr>
                    <w:pStyle w:val="Compact"/>
                    <w:jc w:val="left"/>
                    <w:jc w:val="center"/>
                  </w:pPr>
                  <w:r>
                    <w:t xml:space="preserve">No (date parsing)</w:t>
                  </w:r>
                </w:p>
              </w:tc>
            </w:tr>
            <w:tr>
              <w:tc>
                <w:tcPr/>
                <w:p>
                  <w:pPr>
                    <w:pStyle w:val="Compact"/>
                    <w:jc w:val="left"/>
                    <w:jc w:val="center"/>
                  </w:pPr>
                  <w:r>
                    <w:t xml:space="preserve">Nová Dědina</w:t>
                  </w:r>
                </w:p>
              </w:tc>
              <w:tc>
                <w:tcPr/>
                <w:p>
                  <w:pPr>
                    <w:pStyle w:val="Compact"/>
                    <w:jc w:val="right"/>
                    <w:jc w:val="center"/>
                  </w:pPr>
                  <w:r>
                    <w:t xml:space="preserve">1</w:t>
                  </w:r>
                </w:p>
              </w:tc>
              <w:tc>
                <w:tcPr/>
                <w:p>
                  <w:pPr>
                    <w:pStyle w:val="Compact"/>
                    <w:jc w:val="right"/>
                    <w:jc w:val="center"/>
                  </w:pPr>
                  <w:r>
                    <w:t xml:space="preserve">3</w:t>
                  </w:r>
                </w:p>
              </w:tc>
              <w:tc>
                <w:tcPr/>
                <w:p>
                  <w:pPr>
                    <w:pStyle w:val="Compact"/>
                    <w:jc w:val="left"/>
                    <w:jc w:val="center"/>
                  </w:pPr>
                  <w:r>
                    <w:t xml:space="preserve">No (date parsing)</w:t>
                  </w:r>
                </w:p>
              </w:tc>
            </w:tr>
            <w:tr>
              <w:tc>
                <w:tcPr/>
                <w:p>
                  <w:pPr>
                    <w:pStyle w:val="Compact"/>
                    <w:jc w:val="left"/>
                    <w:jc w:val="center"/>
                  </w:pPr>
                  <w:r>
                    <w:t xml:space="preserve">Spy</w:t>
                  </w:r>
                </w:p>
              </w:tc>
              <w:tc>
                <w:tcPr/>
                <w:p>
                  <w:pPr>
                    <w:pStyle w:val="Compact"/>
                    <w:jc w:val="right"/>
                    <w:jc w:val="center"/>
                  </w:pPr>
                  <w:r>
                    <w:t xml:space="preserve">1</w:t>
                  </w:r>
                </w:p>
              </w:tc>
              <w:tc>
                <w:tcPr/>
                <w:p>
                  <w:pPr>
                    <w:pStyle w:val="Compact"/>
                    <w:jc w:val="right"/>
                    <w:jc w:val="center"/>
                  </w:pPr>
                  <w:r>
                    <w:t xml:space="preserve">25</w:t>
                  </w:r>
                </w:p>
              </w:tc>
              <w:tc>
                <w:tcPr/>
                <w:p>
                  <w:pPr>
                    <w:pStyle w:val="Compact"/>
                    <w:jc w:val="left"/>
                    <w:jc w:val="center"/>
                  </w:pPr>
                  <w:r>
                    <w:t xml:space="preserve">No (excluded for mixing)</w:t>
                  </w:r>
                </w:p>
              </w:tc>
            </w:tr>
            <w:tr>
              <w:tc>
                <w:tcPr/>
                <w:p>
                  <w:pPr>
                    <w:pStyle w:val="Compact"/>
                    <w:jc w:val="left"/>
                    <w:jc w:val="center"/>
                  </w:pPr>
                  <w:r>
                    <w:t xml:space="preserve">Willendorf</w:t>
                  </w:r>
                </w:p>
              </w:tc>
              <w:tc>
                <w:tcPr/>
                <w:p>
                  <w:pPr>
                    <w:pStyle w:val="Compact"/>
                    <w:jc w:val="right"/>
                    <w:jc w:val="center"/>
                  </w:pPr>
                  <w:r>
                    <w:t xml:space="preserve">1</w:t>
                  </w:r>
                </w:p>
              </w:tc>
              <w:tc>
                <w:tcPr/>
                <w:p>
                  <w:pPr>
                    <w:pStyle w:val="Compact"/>
                    <w:jc w:val="right"/>
                    <w:jc w:val="center"/>
                  </w:pPr>
                  <w:r>
                    <w:t xml:space="preserve">0</w:t>
                  </w:r>
                </w:p>
              </w:tc>
              <w:tc>
                <w:tcPr/>
                <w:p>
                  <w:pPr>
                    <w:pStyle w:val="Compact"/>
                    <w:jc w:val="left"/>
                    <w:jc w:val="center"/>
                  </w:pPr>
                  <w:r>
                    <w:t xml:space="preserve">No (excluded before phase assignment)</w:t>
                  </w:r>
                </w:p>
              </w:tc>
            </w:tr>
          </w:tbl>
          <w:bookmarkEnd w:id="47"/>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8"/>
    <w:bookmarkEnd w:id="49"/>
    <w:bookmarkStart w:id="88" w:name="references-cited"/>
    <w:p>
      <w:pPr>
        <w:pStyle w:val="Heading2"/>
      </w:pPr>
      <w:r>
        <w:t xml:space="preserve">References cited</w:t>
      </w:r>
    </w:p>
    <w:bookmarkStart w:id="87" w:name="refs"/>
    <w:bookmarkStart w:id="51"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50">
        <w:r>
          <w:rPr>
            <w:rStyle w:val="Hyperlink"/>
          </w:rPr>
          <w:t xml:space="preserve">https://doi.org/10.30861/9781841718309</w:t>
        </w:r>
      </w:hyperlink>
      <w:r>
        <w:t xml:space="preserve">.</w:t>
      </w:r>
    </w:p>
    <w:bookmarkEnd w:id="51"/>
    <w:bookmarkStart w:id="53"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52">
        <w:r>
          <w:rPr>
            <w:rStyle w:val="Hyperlink"/>
          </w:rPr>
          <w:t xml:space="preserve">https://doi.org/10.1016/j.jhevol.2011.06.005</w:t>
        </w:r>
      </w:hyperlink>
      <w:r>
        <w:t xml:space="preserve">.</w:t>
      </w:r>
    </w:p>
    <w:bookmarkEnd w:id="53"/>
    <w:bookmarkStart w:id="55"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54">
        <w:r>
          <w:rPr>
            <w:rStyle w:val="Hyperlink"/>
          </w:rPr>
          <w:t xml:space="preserve">https://doi.org/10.1002/jqs.3236</w:t>
        </w:r>
      </w:hyperlink>
      <w:r>
        <w:t xml:space="preserve">.</w:t>
      </w:r>
    </w:p>
    <w:bookmarkEnd w:id="55"/>
    <w:bookmarkStart w:id="57"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56">
        <w:r>
          <w:rPr>
            <w:rStyle w:val="Hyperlink"/>
          </w:rPr>
          <w:t xml:space="preserve">https://doi.org/10.1038/nature03585</w:t>
        </w:r>
      </w:hyperlink>
      <w:r>
        <w:t xml:space="preserve">.</w:t>
      </w:r>
    </w:p>
    <w:bookmarkEnd w:id="57"/>
    <w:bookmarkStart w:id="59"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8">
        <w:r>
          <w:rPr>
            <w:rStyle w:val="Hyperlink"/>
          </w:rPr>
          <w:t xml:space="preserve">https://doi.org/10.1371/journal.pone.0194097</w:t>
        </w:r>
      </w:hyperlink>
      <w:r>
        <w:t xml:space="preserve">.</w:t>
      </w:r>
    </w:p>
    <w:bookmarkEnd w:id="59"/>
    <w:bookmarkStart w:id="61"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60">
        <w:r>
          <w:rPr>
            <w:rStyle w:val="Hyperlink"/>
          </w:rPr>
          <w:t xml:space="preserve">https://doi.org/10.7485/QU65_1</w:t>
        </w:r>
      </w:hyperlink>
      <w:r>
        <w:t xml:space="preserve">.</w:t>
      </w:r>
    </w:p>
    <w:bookmarkEnd w:id="61"/>
    <w:bookmarkStart w:id="63"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2">
        <w:r>
          <w:rPr>
            <w:rStyle w:val="Hyperlink"/>
          </w:rPr>
          <w:t xml:space="preserve">https://doi.org/10.1017/ppr.2019.11</w:t>
        </w:r>
      </w:hyperlink>
      <w:r>
        <w:t xml:space="preserve">.</w:t>
      </w:r>
    </w:p>
    <w:bookmarkEnd w:id="63"/>
    <w:bookmarkStart w:id="64"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64"/>
    <w:bookmarkStart w:id="66"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65">
        <w:r>
          <w:rPr>
            <w:rStyle w:val="Hyperlink"/>
          </w:rPr>
          <w:t xml:space="preserve">https://doi.org/10.4000/palethnologie.736</w:t>
        </w:r>
      </w:hyperlink>
      <w:r>
        <w:t xml:space="preserve">.</w:t>
      </w:r>
    </w:p>
    <w:bookmarkEnd w:id="66"/>
    <w:bookmarkStart w:id="68"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7">
        <w:r>
          <w:rPr>
            <w:rStyle w:val="Hyperlink"/>
          </w:rPr>
          <w:t xml:space="preserve">https://doi.org/10.1007/s41982-025-00246-x</w:t>
        </w:r>
      </w:hyperlink>
      <w:r>
        <w:t xml:space="preserve">.</w:t>
      </w:r>
    </w:p>
    <w:bookmarkEnd w:id="68"/>
    <w:bookmarkStart w:id="70" w:name="ref-Falcucci_Peresani_2017"/>
    <w:p>
      <w:pPr>
        <w:pStyle w:val="Bibliography"/>
      </w:pPr>
      <w:r>
        <w:t xml:space="preserve">[11]</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69">
        <w:r>
          <w:rPr>
            <w:rStyle w:val="Hyperlink"/>
          </w:rPr>
          <w:t xml:space="preserve">https://doi.org/10.1371/journal.pone.0189241</w:t>
        </w:r>
      </w:hyperlink>
      <w:r>
        <w:t xml:space="preserve">.</w:t>
      </w:r>
    </w:p>
    <w:bookmarkEnd w:id="70"/>
    <w:bookmarkStart w:id="72" w:name="ref-falcucci2020breaking"/>
    <w:p>
      <w:pPr>
        <w:pStyle w:val="Bibliography"/>
      </w:pPr>
      <w:r>
        <w:t xml:space="preserve">[12]</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71">
        <w:r>
          <w:rPr>
            <w:rStyle w:val="Hyperlink"/>
          </w:rPr>
          <w:t xml:space="preserve">https://doi.org/10.4436/JASS.98021</w:t>
        </w:r>
      </w:hyperlink>
      <w:r>
        <w:t xml:space="preserve">.</w:t>
      </w:r>
    </w:p>
    <w:bookmarkEnd w:id="72"/>
    <w:bookmarkStart w:id="74" w:name="ref-Barshay_Szmidt_2012"/>
    <w:p>
      <w:pPr>
        <w:pStyle w:val="Bibliography"/>
      </w:pPr>
      <w:r>
        <w:t xml:space="preserve">[13]</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73">
        <w:r>
          <w:rPr>
            <w:rStyle w:val="Hyperlink"/>
          </w:rPr>
          <w:t xml:space="preserve">https://doi.org/10.4000/paleo.2250</w:t>
        </w:r>
      </w:hyperlink>
      <w:r>
        <w:t xml:space="preserve">.</w:t>
      </w:r>
    </w:p>
    <w:bookmarkEnd w:id="74"/>
    <w:bookmarkStart w:id="76" w:name="ref-Oliva_2006"/>
    <w:p>
      <w:pPr>
        <w:pStyle w:val="Bibliography"/>
      </w:pPr>
      <w:r>
        <w:t xml:space="preserve">[14]</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75">
        <w:r>
          <w:rPr>
            <w:rStyle w:val="Hyperlink"/>
          </w:rPr>
          <w:t xml:space="preserve">https://doi.org/10.1007/978-3-211-49294-9_4</w:t>
        </w:r>
      </w:hyperlink>
      <w:r>
        <w:t xml:space="preserve">.</w:t>
      </w:r>
    </w:p>
    <w:bookmarkEnd w:id="76"/>
    <w:bookmarkStart w:id="78" w:name="ref-Higham_2012"/>
    <w:p>
      <w:pPr>
        <w:pStyle w:val="Bibliography"/>
      </w:pPr>
      <w:r>
        <w:t xml:space="preserve">[15]</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Journal of Human Evolution 2012;62:664–76.</w:t>
      </w:r>
      <w:r>
        <w:t xml:space="preserve"> </w:t>
      </w:r>
      <w:hyperlink r:id="rId77">
        <w:r>
          <w:rPr>
            <w:rStyle w:val="Hyperlink"/>
          </w:rPr>
          <w:t xml:space="preserve">https://doi.org/10.1016/j.jhevol.2012.03.003</w:t>
        </w:r>
      </w:hyperlink>
      <w:r>
        <w:t xml:space="preserve">.</w:t>
      </w:r>
    </w:p>
    <w:bookmarkEnd w:id="78"/>
    <w:bookmarkStart w:id="80" w:name="ref-zilhao2003aurignacian"/>
    <w:p>
      <w:pPr>
        <w:pStyle w:val="Bibliography"/>
      </w:pPr>
      <w:r>
        <w:t xml:space="preserve">[16]</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79">
        <w:r>
          <w:rPr>
            <w:rStyle w:val="Hyperlink"/>
          </w:rPr>
          <w:t xml:space="preserve">https://doi.org/10.4000/paleo.1231</w:t>
        </w:r>
      </w:hyperlink>
      <w:r>
        <w:t xml:space="preserve">.</w:t>
      </w:r>
    </w:p>
    <w:bookmarkEnd w:id="80"/>
    <w:bookmarkStart w:id="82" w:name="ref-Schurch_et_al_2025_bladelet"/>
    <w:p>
      <w:pPr>
        <w:pStyle w:val="Bibliography"/>
      </w:pPr>
      <w:r>
        <w:t xml:space="preserve">[17]</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81">
        <w:r>
          <w:rPr>
            <w:rStyle w:val="Hyperlink"/>
          </w:rPr>
          <w:t xml:space="preserve">https://doi.org/10.1371/journal.pone.0331921</w:t>
        </w:r>
      </w:hyperlink>
      <w:r>
        <w:t xml:space="preserve">.</w:t>
      </w:r>
    </w:p>
    <w:bookmarkEnd w:id="82"/>
    <w:bookmarkStart w:id="84"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3">
        <w:r>
          <w:rPr>
            <w:rStyle w:val="Hyperlink"/>
          </w:rPr>
          <w:t xml:space="preserve">https://doi.org/10.1002/ajpa.20954</w:t>
        </w:r>
      </w:hyperlink>
      <w:r>
        <w:t xml:space="preserve">.</w:t>
      </w:r>
    </w:p>
    <w:bookmarkEnd w:id="84"/>
    <w:bookmarkStart w:id="86"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5">
        <w:r>
          <w:rPr>
            <w:rStyle w:val="Hyperlink"/>
          </w:rPr>
          <w:t xml:space="preserve">https://doi.org/10.1016/j.crpv.2019.04.001</w:t>
        </w:r>
      </w:hyperlink>
      <w:r>
        <w:t xml:space="preserve">.</w:t>
      </w:r>
    </w:p>
    <w:bookmarkEnd w:id="86"/>
    <w:bookmarkEnd w:id="87"/>
    <w:bookmarkEnd w:id="88"/>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2/ajpa.20954" TargetMode="External" /><Relationship Type="http://schemas.openxmlformats.org/officeDocument/2006/relationships/hyperlink" Id="rId54" Target="https://doi.org/10.1002/jqs.3236" TargetMode="External" /><Relationship Type="http://schemas.openxmlformats.org/officeDocument/2006/relationships/hyperlink" Id="rId75" Target="https://doi.org/10.1007/978-3-211-49294-9_4" TargetMode="External" /><Relationship Type="http://schemas.openxmlformats.org/officeDocument/2006/relationships/hyperlink" Id="rId67" Target="https://doi.org/10.1007/s41982-025-00246-x" TargetMode="External" /><Relationship Type="http://schemas.openxmlformats.org/officeDocument/2006/relationships/hyperlink" Id="rId85" Target="https://doi.org/10.1016/j.crpv.2019.04.001" TargetMode="External" /><Relationship Type="http://schemas.openxmlformats.org/officeDocument/2006/relationships/hyperlink" Id="rId52" Target="https://doi.org/10.1016/j.jhevol.2011.06.005" TargetMode="External" /><Relationship Type="http://schemas.openxmlformats.org/officeDocument/2006/relationships/hyperlink" Id="rId77" Target="https://doi.org/10.1016/j.jhevol.2012.03.003" TargetMode="External" /><Relationship Type="http://schemas.openxmlformats.org/officeDocument/2006/relationships/hyperlink" Id="rId62" Target="https://doi.org/10.1017/ppr.2019.11" TargetMode="External" /><Relationship Type="http://schemas.openxmlformats.org/officeDocument/2006/relationships/hyperlink" Id="rId56" Target="https://doi.org/10.1038/nature03585" TargetMode="External" /><Relationship Type="http://schemas.openxmlformats.org/officeDocument/2006/relationships/hyperlink" Id="rId69" Target="https://doi.org/10.1371/journal.pone.0189241" TargetMode="External" /><Relationship Type="http://schemas.openxmlformats.org/officeDocument/2006/relationships/hyperlink" Id="rId58" Target="https://doi.org/10.1371/journal.pone.0194097" TargetMode="External" /><Relationship Type="http://schemas.openxmlformats.org/officeDocument/2006/relationships/hyperlink" Id="rId81" Target="https://doi.org/10.1371/journal.pone.0331921" TargetMode="External" /><Relationship Type="http://schemas.openxmlformats.org/officeDocument/2006/relationships/hyperlink" Id="rId50" Target="https://doi.org/10.30861/9781841718309" TargetMode="External" /><Relationship Type="http://schemas.openxmlformats.org/officeDocument/2006/relationships/hyperlink" Id="rId79" Target="https://doi.org/10.4000/paleo.1231" TargetMode="External" /><Relationship Type="http://schemas.openxmlformats.org/officeDocument/2006/relationships/hyperlink" Id="rId73" Target="https://doi.org/10.4000/paleo.2250" TargetMode="External" /><Relationship Type="http://schemas.openxmlformats.org/officeDocument/2006/relationships/hyperlink" Id="rId65" Target="https://doi.org/10.4000/palethnologie.736" TargetMode="External" /><Relationship Type="http://schemas.openxmlformats.org/officeDocument/2006/relationships/hyperlink" Id="rId71" Target="https://doi.org/10.4436/JASS.98021" TargetMode="External" /><Relationship Type="http://schemas.openxmlformats.org/officeDocument/2006/relationships/hyperlink" Id="rId60"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2026-09-06T00:25:03Z</dcterms:created>
  <dcterms:modified xsi:type="dcterms:W3CDTF">2026-09-06T00:25:03Z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2</vt:lpwstr>
  </property>
  <property fmtid="{D5CDD505-2E9C-101B-9397-08002B2CF9AE}" pid="18" name="title-block-published">
    <vt:lpwstr>Last updated</vt:lpwstr>
  </property>
  <property fmtid="{D5CDD505-2E9C-101B-9397-08002B2CF9AE}" pid="19" name="toc-title">
    <vt:lpwstr>Table of contents</vt:lpwstr>
  </property>
</Properties>
</file>