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with an additional small block (Labeko Koba, Les Cottés, Trou al’Wesse), while selecting a single block in Aur-P2; the richness gap between the groups is not distinguishable from a group difference once the saturating richness–effort relationship is modelled. The early phase has a larger site network, but permutation tests indicate that the phases do not differ significantly in edge density, modularity, mean betweenness, or component count. The observed differences in network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This sample of geometric signs does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We present the first systematic application of seriation and network analysis to Aurignacian mobile-object geometric signs, complemented by robust sensitivity and validation analyses.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validating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[33]</w:t>
      </w:r>
      <w:r>
        <w:t xml:space="preserve">. We used the Brower-Kile</w:t>
      </w:r>
      <w:r>
        <w:t xml:space="preserve"> </w:t>
      </w:r>
      <w:r>
        <w:t xml:space="preserve">[34]</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[35]</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[36]</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[37]</w:t>
      </w:r>
      <w:r>
        <w:t xml:space="preserve"> </w:t>
      </w:r>
      <w:r>
        <w:t xml:space="preserve">and igraph</w:t>
      </w:r>
      <w:r>
        <w:t xml:space="preserve"> </w:t>
      </w:r>
      <w:r>
        <w:t xml:space="preserve">[38]</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[39,40]</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[41,42]</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hypothesis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partly supports the two-group hypothesis in Aur-P1: all three emission models (Bernoulli K = 3, Gaussian K = 4, Poisson K = 3) recover the restricted/broad split as their two largest blocks; Bernoulli and Gaussian additionally isolate Labeko Koba, Les Cottés, and Trou al’Wesse as a small third block, while under Poisson the same two broad sites pair off and Grotte du Renne joins the large mixed block (S1</w:t>
      </w:r>
      <w:r>
        <w:t xml:space="preserve"> </w:t>
      </w:r>
      <w:r>
        <w:t xml:space="preserve">“</w:t>
      </w:r>
      <w:r>
        <w:t xml:space="preserve">Sensitivity Analyses</w:t>
      </w:r>
      <w:r>
        <w:t xml:space="preserve">”</w:t>
      </w:r>
      <w:r>
        <w:t xml:space="preserve">). In Aur-P2 the Bernoulli and Poisson models select a single block and only the Gaussian model selects two, by 0.90 ICL points. We therefore retain the restricted/broad division as a dominant axis of sign type composition variation (rich vs. poor sign repertoires) with a stable small-block refinement in Aur-P1, rather than an exact two-group partition, and treat the Aur-P2 grouping as provisional.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The Aur-P1–Aur-P2 contrast is therefore primarily one of network scale rather than a statistically distinguishable community structure.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Betadisper did not detect a significant difference in within-group dispersion in either phase; this does not establish equal dispersions, so the PerMANOVA results should be interpreted cautiously. Complementary analyses provide mixed evidence (see our S1</w:t>
      </w:r>
      <w:r>
        <w:t xml:space="preserve"> </w:t>
      </w:r>
      <w:r>
        <w:t xml:space="preserve">“</w:t>
      </w:r>
      <w:r>
        <w:t xml:space="preserve">Sensitivity Analyses</w:t>
      </w:r>
      <w:r>
        <w:t xml:space="preserve">”</w:t>
      </w:r>
      <w:r>
        <w:t xml:space="preserve">). Object-half holdout shows that a richness-based contrast can be recovered from disjoint objects, but the contrast is weaker when Jaccard’s nestedness component is removed using Simpson turnover.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[43–50]</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[4,50–61]</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Among the subset of sites that attain comparable coverage, broad-range sites remain richer, and a negative-binomial model with an estimated, rather than fixed, richness–effort exponent is consistent with a residual group difference at equal object count; however, this estimate is imprecise because the sample is small and group membership is strongly collinear with object count (S1). At the phase level, the Jaccard separation is not greater than expected under a fixed-margin null preserving site richness and sign-type frequencies, and no separation remains on Simpson turnover, which removes the nestedness component of Jaccard (S1 S10.1).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[62]</w:t>
      </w:r>
      <w:r>
        <w:t xml:space="preserve">;</w:t>
      </w:r>
      <w:r>
        <w:t xml:space="preserve"> </w:t>
      </w:r>
      <w:r>
        <w:t xml:space="preserve">[63]</w:t>
      </w:r>
      <w:r>
        <w:t xml:space="preserve">;</w:t>
      </w:r>
      <w:r>
        <w:t xml:space="preserve"> </w:t>
      </w:r>
      <w:r>
        <w:t xml:space="preserve">[48]</w:t>
      </w:r>
      <w:r>
        <w:t xml:space="preserve">;</w:t>
      </w:r>
      <w:r>
        <w:t xml:space="preserve"> </w:t>
      </w:r>
      <w:r>
        <w:t xml:space="preserve">[64]</w:t>
      </w:r>
      <w:r>
        <w:t xml:space="preserve">;</w:t>
      </w:r>
      <w:r>
        <w:t xml:space="preserve"> </w:t>
      </w:r>
      <w:r>
        <w:t xml:space="preserve">[49]</w:t>
      </w:r>
      <w:r>
        <w:t xml:space="preserve">. Non-utilitarian mobility establishes regional social networks which facilitate the spread of information and the survival of hunter-gatherers in uncertain environments</w:t>
      </w:r>
      <w:r>
        <w:t xml:space="preserve"> </w:t>
      </w:r>
      <w:r>
        <w:t xml:space="preserve">[65]</w:t>
      </w:r>
      <w:r>
        <w:t xml:space="preserve">;</w:t>
      </w:r>
      <w:r>
        <w:t xml:space="preserve"> </w:t>
      </w:r>
      <w:r>
        <w:t xml:space="preserve">[66]</w:t>
      </w:r>
      <w:r>
        <w:t xml:space="preserve">;</w:t>
      </w:r>
      <w:r>
        <w:t xml:space="preserve"> </w:t>
      </w:r>
      <w:r>
        <w:t xml:space="preserve">[67]</w:t>
      </w:r>
      <w:r>
        <w:t xml:space="preserve">;</w:t>
      </w:r>
      <w:r>
        <w:t xml:space="preserve"> </w:t>
      </w:r>
      <w:r>
        <w:t xml:space="preserve">[68]</w:t>
      </w:r>
      <w:r>
        <w:t xml:space="preserve">;</w:t>
      </w:r>
      <w:r>
        <w:t xml:space="preserve"> </w:t>
      </w:r>
      <w:r>
        <w:t xml:space="preserve">[69]</w:t>
      </w:r>
      <w:r>
        <w:t xml:space="preserve">. The exchange and production of decorative items, such as objects with geometric signs, has been associated with non-utilitarian mobility and recognized as an indicator of social contact</w:t>
      </w:r>
      <w:r>
        <w:t xml:space="preserve"> </w:t>
      </w:r>
      <w:r>
        <w:t xml:space="preserve">[65]</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[74]</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[2,70,75–81]</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[82,83]</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[84]</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[85–93]</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[84]</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[94]</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[94]</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[95–97]</w:t>
      </w:r>
      <w:r>
        <w:t xml:space="preserve">. Smaller populations are predicted to experience greater drift and reduced capacity to maintain complex cultural repertoires</w:t>
      </w:r>
      <w:r>
        <w:t xml:space="preserve"> </w:t>
      </w:r>
      <w:r>
        <w:t xml:space="preserve">[98]</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[99,100]</w:t>
      </w:r>
      <w:r>
        <w:t xml:space="preserve">, while more clustered networks promote localised conformist transmission and differentiation within subgroups</w:t>
      </w:r>
      <w:r>
        <w:t xml:space="preserve"> </w:t>
      </w:r>
      <w:r>
        <w:t xml:space="preserve">[101]</w:t>
      </w:r>
      <w:r>
        <w:t xml:space="preserve">. Our finding of no statistically significant differences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[98,102]</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[103]</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[104]</w:t>
      </w:r>
      <w:r>
        <w:t xml:space="preserve">’s proposal that sign sequences having protocuneiform-like information density, suggesting notational function, or</w:t>
      </w:r>
      <w:r>
        <w:t xml:space="preserve"> </w:t>
      </w:r>
      <w:r>
        <w:t xml:space="preserve">[105]</w:t>
      </w:r>
      <w:r>
        <w:t xml:space="preserve">’s claim that some sign recording seasonal prey information. However, these hypotheses are contested:</w:t>
      </w:r>
      <w:r>
        <w:t xml:space="preserve"> </w:t>
      </w:r>
      <w:r>
        <w:t xml:space="preserve">[106]</w:t>
      </w:r>
      <w:r>
        <w:t xml:space="preserve"> </w:t>
      </w:r>
      <w:r>
        <w:t xml:space="preserve">note methodological issues in Bentz &amp; Dutkiewicz;</w:t>
      </w:r>
      <w:r>
        <w:t xml:space="preserve"> </w:t>
      </w:r>
      <w:r>
        <w:t xml:space="preserve">[107]</w:t>
      </w:r>
      <w:r>
        <w:t xml:space="preserve"> </w:t>
      </w:r>
      <w:r>
        <w:t xml:space="preserve">and</w:t>
      </w:r>
      <w:r>
        <w:t xml:space="preserve"> </w:t>
      </w:r>
      <w:r>
        <w:t xml:space="preserve">[108]</w:t>
      </w:r>
      <w:r>
        <w:t xml:space="preserve"> </w:t>
      </w:r>
      <w:r>
        <w:t xml:space="preserve">argue the lunar calendar hypothesis is untestable, circular, and selectively uses data;</w:t>
      </w:r>
      <w:r>
        <w:t xml:space="preserve"> </w:t>
      </w:r>
      <w:r>
        <w:t xml:space="preserve">[109]</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[3,76,110–113]</w:t>
      </w:r>
      <w:r>
        <w:t xml:space="preserve"> </w:t>
      </w:r>
      <w:r>
        <w:t xml:space="preserve">has used material culture analysis to reconstruct Upper Palaeolithic social networks, which have been argued to be a driver of cultural and evolutionary change</w:t>
      </w:r>
      <w:r>
        <w:t xml:space="preserve"> </w:t>
      </w:r>
      <w:r>
        <w:t xml:space="preserve">[2,69,114–118]</w:t>
      </w:r>
      <w:r>
        <w:t xml:space="preserve">. Our results show that the current sample of geometric signs does not support any significant change over the Aurignacian.</w:t>
      </w:r>
    </w:p>
    <w:p>
      <w:pPr>
        <w:pStyle w:val="BodyText"/>
      </w:pPr>
      <w:r>
        <w:t xml:space="preserve">A restricted/broad repertoire axis is visually evident in seriation and supported by bootstrap co-clustering (Aur-P1: within-block 0.75/0.97 vs. across-block 0.2; Aur-P2: 0.49/0.92 vs. 0.4). A negative-binomial regression with an estimated richness–effort exponent finds the group contrast persists at equal object count (rate ratio 2.31, p = 0.003). Stochastic block models recover the two-group partition as their two largest blocks in Aur-P1 under all three emission models (Bernoulli K = 3, Gaussian K = 4, Poisson K = 3; S1 §S9.3), with Labeko Koba, Les Cottés, and Trou al’Wesse forming a stable third block under Bernoulli and Gaussian models (under Poisson the same two broad sites pair off while Grotte du Renne joins the large mixed block), while in Aur-P2 the Bernoulli and Poisson models select a single block.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[104–109]</w:t>
      </w:r>
      <w:r>
        <w:t xml:space="preserve">. Our findings are consistent with the conclusions of</w:t>
      </w:r>
      <w:r>
        <w:t xml:space="preserve"> </w:t>
      </w:r>
      <w:r>
        <w:t xml:space="preserve">[94]</w:t>
      </w:r>
      <w:r>
        <w:t xml:space="preserve"> </w:t>
      </w:r>
      <w:r>
        <w:t xml:space="preserve">that cultural identity by-descent with modification is a likely explanation for the distribution of Aurignacian ornaments.</w:t>
      </w:r>
    </w:p>
    <w:p>
      <w:pPr>
        <w:pStyle w:val="BodyText"/>
      </w:pPr>
      <w:r>
        <w:t xml:space="preserve">Our study has four limitations. First is the ambiguity of some of the sign types. While</w:t>
      </w:r>
      <w:r>
        <w:t xml:space="preserve"> </w:t>
      </w:r>
      <w:r>
        <w:t xml:space="preserve">[119]</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[120]</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[104]</w:t>
      </w:r>
      <w:r>
        <w:t xml:space="preserve">.</w:t>
      </w:r>
    </w:p>
    <w:p>
      <w:pPr>
        <w:pStyle w:val="BodyText"/>
      </w:pPr>
      <w:r>
        <w:t xml:space="preserve">A second limitation concerns the effects of time-averaging on our network reconstructions.</w:t>
      </w:r>
      <w:r>
        <w:t xml:space="preserve"> </w:t>
      </w:r>
      <w:r>
        <w:t xml:space="preserve">[122]</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[64]</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[123,124]</w:t>
      </w:r>
      <w:r>
        <w:t xml:space="preserve">, La Ferrassie’s Aurignacian begins with the Early Aurignacian directly above the Châtelperronian</w:t>
      </w:r>
      <w:r>
        <w:t xml:space="preserve"> </w:t>
      </w:r>
      <w:r>
        <w:t xml:space="preserve">[125]</w:t>
      </w:r>
      <w:r>
        <w:t xml:space="preserve">, and Mladeč’s massive-base bone points and ~31 ka ¹⁴C BP (~35–36 ka cal BP) dates indicate an Evolved (Aur-P2) attribution</w:t>
      </w:r>
      <w:r>
        <w:t xml:space="preserve"> </w:t>
      </w:r>
      <w:r>
        <w:t xml:space="preserve">[126]</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[127]</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gradient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3" w:name="references"/>
    <w:p>
      <w:pPr>
        <w:pStyle w:val="Heading1"/>
      </w:pPr>
      <w:r>
        <w:t xml:space="preserve">References</w:t>
      </w:r>
    </w:p>
    <w:bookmarkStart w:id="302"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seriation_pckge"/>
    <w:p>
      <w:pPr>
        <w:pStyle w:val="Bibliography"/>
      </w:pPr>
      <w:r>
        <w:t xml:space="preserve">[33]</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4">
        <w:r>
          <w:rPr>
            <w:rStyle w:val="Hyperlink"/>
          </w:rPr>
          <w:t xml:space="preserve">https://doi.org/10.18637/jss.v025.i03</w:t>
        </w:r>
      </w:hyperlink>
      <w:r>
        <w:t xml:space="preserve">.</w:t>
      </w:r>
    </w:p>
    <w:bookmarkEnd w:id="125"/>
    <w:bookmarkStart w:id="127" w:name="ref-Brower_Kile_1988"/>
    <w:p>
      <w:pPr>
        <w:pStyle w:val="Bibliography"/>
      </w:pPr>
      <w:r>
        <w:t xml:space="preserve">[34]</w:t>
      </w:r>
      <w:r>
        <w:t xml:space="preserve"> </w:t>
      </w:r>
      <w:r>
        <w:t xml:space="preserve">	</w:t>
      </w:r>
      <w:r>
        <w:t xml:space="preserve">Brower JC, Kile KM. Seriation of an original data matrix as applied to paleoecology. Lethaia 1988;21:79–93.</w:t>
      </w:r>
      <w:r>
        <w:t xml:space="preserve"> </w:t>
      </w:r>
      <w:hyperlink r:id="rId126">
        <w:r>
          <w:rPr>
            <w:rStyle w:val="Hyperlink"/>
          </w:rPr>
          <w:t xml:space="preserve">https://doi.org/10.1111/j.1502-3931.1988.tb01756.x</w:t>
        </w:r>
      </w:hyperlink>
      <w:r>
        <w:t xml:space="preserve">.</w:t>
      </w:r>
    </w:p>
    <w:bookmarkEnd w:id="127"/>
    <w:bookmarkStart w:id="129" w:name="ref-Mills_2017"/>
    <w:p>
      <w:pPr>
        <w:pStyle w:val="Bibliography"/>
      </w:pPr>
      <w:r>
        <w:t xml:space="preserve">[35]</w:t>
      </w:r>
      <w:r>
        <w:t xml:space="preserve"> </w:t>
      </w:r>
      <w:r>
        <w:t xml:space="preserve">	</w:t>
      </w:r>
      <w:r>
        <w:t xml:space="preserve">Mills BJ. Social network analysis in archaeology. Annual Review of Anthropology 2017;46:379–97.</w:t>
      </w:r>
      <w:r>
        <w:t xml:space="preserve"> </w:t>
      </w:r>
      <w:hyperlink r:id="rId128">
        <w:r>
          <w:rPr>
            <w:rStyle w:val="Hyperlink"/>
          </w:rPr>
          <w:t xml:space="preserve">https://doi.org/10.1146/annurev-anthro-102116-041423</w:t>
        </w:r>
      </w:hyperlink>
      <w:r>
        <w:t xml:space="preserve">.</w:t>
      </w:r>
    </w:p>
    <w:bookmarkEnd w:id="129"/>
    <w:bookmarkStart w:id="131" w:name="ref-Fruchterman_Reingold_1991"/>
    <w:p>
      <w:pPr>
        <w:pStyle w:val="Bibliography"/>
      </w:pPr>
      <w:r>
        <w:t xml:space="preserve">[36]</w:t>
      </w:r>
      <w:r>
        <w:t xml:space="preserve"> </w:t>
      </w:r>
      <w:r>
        <w:t xml:space="preserve">	</w:t>
      </w:r>
      <w:r>
        <w:t xml:space="preserve">Fruchterman TMJ, Reingold EM. Graph drawing by force-directed placement. Software: Practice and Experience 1991;21:1129–64.</w:t>
      </w:r>
      <w:r>
        <w:t xml:space="preserve"> </w:t>
      </w:r>
      <w:hyperlink r:id="rId130">
        <w:r>
          <w:rPr>
            <w:rStyle w:val="Hyperlink"/>
          </w:rPr>
          <w:t xml:space="preserve">https://doi.org/10.1002/spe.4380211102</w:t>
        </w:r>
      </w:hyperlink>
      <w:r>
        <w:t xml:space="preserve">.</w:t>
      </w:r>
    </w:p>
    <w:bookmarkEnd w:id="131"/>
    <w:bookmarkStart w:id="133" w:name="ref-statnet_package"/>
    <w:p>
      <w:pPr>
        <w:pStyle w:val="Bibliography"/>
      </w:pPr>
      <w:r>
        <w:t xml:space="preserve">[37]</w:t>
      </w:r>
      <w:r>
        <w:t xml:space="preserve"> </w:t>
      </w:r>
      <w:r>
        <w:t xml:space="preserve">	</w:t>
      </w:r>
      <w:r>
        <w:t xml:space="preserve">Handcock MS, Hunter DR, Butts CT, Goodreau SM, Krivitsky PN, Bender-deMoll S, et al.</w:t>
      </w:r>
      <w:r>
        <w:t xml:space="preserve"> </w:t>
      </w:r>
      <w:hyperlink r:id="rId132">
        <w:r>
          <w:rPr>
            <w:rStyle w:val="Hyperlink"/>
          </w:rPr>
          <w:t xml:space="preserve">Statnet: Software tools for the statistical analysis of network data</w:t>
        </w:r>
      </w:hyperlink>
      <w:r>
        <w:t xml:space="preserve"> </w:t>
      </w:r>
      <w:r>
        <w:t xml:space="preserve">2019.</w:t>
      </w:r>
    </w:p>
    <w:bookmarkEnd w:id="133"/>
    <w:bookmarkStart w:id="135" w:name="ref-igraph_package"/>
    <w:p>
      <w:pPr>
        <w:pStyle w:val="Bibliography"/>
      </w:pPr>
      <w:r>
        <w:t xml:space="preserve">[38]</w:t>
      </w:r>
      <w:r>
        <w:t xml:space="preserve"> </w:t>
      </w:r>
      <w:r>
        <w:t xml:space="preserve">	</w:t>
      </w:r>
      <w:r>
        <w:t xml:space="preserve">Csardi G, Nepusz T.</w:t>
      </w:r>
      <w:r>
        <w:t xml:space="preserve"> </w:t>
      </w:r>
      <w:hyperlink r:id="rId134">
        <w:r>
          <w:rPr>
            <w:rStyle w:val="Hyperlink"/>
          </w:rPr>
          <w:t xml:space="preserve">The igraph software package for complex network research</w:t>
        </w:r>
      </w:hyperlink>
      <w:r>
        <w:t xml:space="preserve">. InterJournal 2006;Complex Systems:1695.</w:t>
      </w:r>
    </w:p>
    <w:bookmarkEnd w:id="135"/>
    <w:bookmarkStart w:id="137" w:name="ref-Anderson_2017"/>
    <w:p>
      <w:pPr>
        <w:pStyle w:val="Bibliography"/>
      </w:pPr>
      <w:r>
        <w:t xml:space="preserve">[39]</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6">
        <w:r>
          <w:rPr>
            <w:rStyle w:val="Hyperlink"/>
          </w:rPr>
          <w:t xml:space="preserve">https://doi.org/10.1002/9781118445112.stat07841</w:t>
        </w:r>
      </w:hyperlink>
      <w:r>
        <w:t xml:space="preserve">.</w:t>
      </w:r>
    </w:p>
    <w:bookmarkEnd w:id="137"/>
    <w:bookmarkStart w:id="139" w:name="ref-Shennan_Crema_Kerig_2015"/>
    <w:p>
      <w:pPr>
        <w:pStyle w:val="Bibliography"/>
      </w:pPr>
      <w:r>
        <w:t xml:space="preserve">[40]</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38">
        <w:r>
          <w:rPr>
            <w:rStyle w:val="Hyperlink"/>
          </w:rPr>
          <w:t xml:space="preserve">https://doi.org/10.1016/j.evolhumbehav.2014.09.006</w:t>
        </w:r>
      </w:hyperlink>
      <w:r>
        <w:t xml:space="preserve">.</w:t>
      </w:r>
    </w:p>
    <w:bookmarkEnd w:id="139"/>
    <w:bookmarkStart w:id="141" w:name="ref-Marwick2017"/>
    <w:p>
      <w:pPr>
        <w:pStyle w:val="Bibliography"/>
      </w:pPr>
      <w:r>
        <w:t xml:space="preserve">[41]</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0">
        <w:r>
          <w:rPr>
            <w:rStyle w:val="Hyperlink"/>
          </w:rPr>
          <w:t xml:space="preserve">https://doi.org/10.1007/s10816-015-9272-9</w:t>
        </w:r>
      </w:hyperlink>
      <w:r>
        <w:t xml:space="preserve">.</w:t>
      </w:r>
    </w:p>
    <w:bookmarkEnd w:id="141"/>
    <w:bookmarkStart w:id="143" w:name="ref-Marwick_2025"/>
    <w:p>
      <w:pPr>
        <w:pStyle w:val="Bibliography"/>
      </w:pPr>
      <w:r>
        <w:t xml:space="preserve">[42]</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2">
        <w:r>
          <w:rPr>
            <w:rStyle w:val="Hyperlink"/>
          </w:rPr>
          <w:t xml:space="preserve">https://doi.org/10.1016/j.jas.2025.106281</w:t>
        </w:r>
      </w:hyperlink>
      <w:r>
        <w:t xml:space="preserve">.</w:t>
      </w:r>
    </w:p>
    <w:bookmarkEnd w:id="143"/>
    <w:bookmarkStart w:id="145" w:name="ref-Finlayson_Warren_2017"/>
    <w:p>
      <w:pPr>
        <w:pStyle w:val="Bibliography"/>
      </w:pPr>
      <w:r>
        <w:t xml:space="preserve">[43]</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[44]</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[45]</w:t>
      </w:r>
      <w:r>
        <w:t xml:space="preserve"> </w:t>
      </w:r>
      <w:r>
        <w:t xml:space="preserve">	</w:t>
      </w:r>
      <w:r>
        <w:t xml:space="preserve">Price TD, Brown JA. Aspects of hunter–gatherer complexity. In: Price TD, Brown JA, editors. Prehistoric hunters-gatherers, Academic Press; 1985, p. 3–20.</w:t>
      </w:r>
      <w:r>
        <w:t xml:space="preserve"> </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[46]</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[47]</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2"/>
    <w:bookmarkStart w:id="154" w:name="ref-Johnson_2014"/>
    <w:p>
      <w:pPr>
        <w:pStyle w:val="Bibliography"/>
      </w:pPr>
      <w:r>
        <w:t xml:space="preserve">[48]</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[49]</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[50]</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[51]</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[52]</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[53]</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3"/>
    <w:bookmarkStart w:id="165" w:name="ref-Moore_2010"/>
    <w:p>
      <w:pPr>
        <w:pStyle w:val="Bibliography"/>
      </w:pPr>
      <w:r>
        <w:t xml:space="preserve">[54]</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[55]</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[56]</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[57]</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[58]</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1"/>
    <w:bookmarkStart w:id="173" w:name="ref-Tilley_1982"/>
    <w:p>
      <w:pPr>
        <w:pStyle w:val="Bibliography"/>
      </w:pPr>
      <w:r>
        <w:t xml:space="preserve">[59]</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[60]</w:t>
      </w:r>
      <w:r>
        <w:t xml:space="preserve"> </w:t>
      </w:r>
      <w:r>
        <w:t xml:space="preserve">	</w:t>
      </w:r>
      <w:r>
        <w:t xml:space="preserve">Hodder I. Economic and social stress and material culture patterning. American Antiquity 1979;44:446–54.</w:t>
      </w:r>
      <w:r>
        <w:t xml:space="preserve"> </w:t>
      </w:r>
      <w:hyperlink r:id="rId174">
        <w:r>
          <w:rPr>
            <w:rStyle w:val="Hyperlink"/>
          </w:rPr>
          <w:t xml:space="preserve">https://doi.org/10.2307/279544</w:t>
        </w:r>
      </w:hyperlink>
      <w:r>
        <w:t xml:space="preserve">.</w:t>
      </w:r>
    </w:p>
    <w:bookmarkEnd w:id="175"/>
    <w:bookmarkStart w:id="177" w:name="ref-Hodder1977"/>
    <w:p>
      <w:pPr>
        <w:pStyle w:val="Bibliography"/>
      </w:pPr>
      <w:r>
        <w:t xml:space="preserve">[61]</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6">
        <w:r>
          <w:rPr>
            <w:rStyle w:val="Hyperlink"/>
          </w:rPr>
          <w:t xml:space="preserve">https://doi.org/10.2307/2800797</w:t>
        </w:r>
      </w:hyperlink>
      <w:r>
        <w:t xml:space="preserve">.</w:t>
      </w:r>
    </w:p>
    <w:bookmarkEnd w:id="177"/>
    <w:bookmarkStart w:id="179" w:name="ref-Binford_1990"/>
    <w:p>
      <w:pPr>
        <w:pStyle w:val="Bibliography"/>
      </w:pPr>
      <w:r>
        <w:t xml:space="preserve">[62]</w:t>
      </w:r>
      <w:r>
        <w:t xml:space="preserve"> </w:t>
      </w:r>
      <w:r>
        <w:t xml:space="preserve">	</w:t>
      </w:r>
      <w:r>
        <w:t xml:space="preserve">Binford LR. Mobility, housing, and environment: A comparative study. Journal of Anthropological Research 1990;46:119–52.</w:t>
      </w:r>
      <w:r>
        <w:t xml:space="preserve"> </w:t>
      </w:r>
      <w:hyperlink r:id="rId178">
        <w:r>
          <w:rPr>
            <w:rStyle w:val="Hyperlink"/>
          </w:rPr>
          <w:t xml:space="preserve">https://doi.org/10.1086/jar.46.2.3630069</w:t>
        </w:r>
      </w:hyperlink>
      <w:r>
        <w:t xml:space="preserve">.</w:t>
      </w:r>
    </w:p>
    <w:bookmarkEnd w:id="179"/>
    <w:bookmarkStart w:id="181" w:name="ref-Kelly_1983"/>
    <w:p>
      <w:pPr>
        <w:pStyle w:val="Bibliography"/>
      </w:pPr>
      <w:r>
        <w:t xml:space="preserve">[63]</w:t>
      </w:r>
      <w:r>
        <w:t xml:space="preserve"> </w:t>
      </w:r>
      <w:r>
        <w:t xml:space="preserve">	</w:t>
      </w:r>
      <w:r>
        <w:t xml:space="preserve">Kelly RL. Hunter-gatherer mobility strategies. Journal of Anthropological Research 1983;39:277–306.</w:t>
      </w:r>
      <w:r>
        <w:t xml:space="preserve"> </w:t>
      </w:r>
      <w:hyperlink r:id="rId180">
        <w:r>
          <w:rPr>
            <w:rStyle w:val="Hyperlink"/>
          </w:rPr>
          <w:t xml:space="preserve">https://doi.org/10.1086/jar.39.3.3629672</w:t>
        </w:r>
      </w:hyperlink>
      <w:r>
        <w:t xml:space="preserve">.</w:t>
      </w:r>
    </w:p>
    <w:bookmarkEnd w:id="181"/>
    <w:bookmarkStart w:id="183" w:name="ref-Padilla-Iglesias_Bischoff_2024"/>
    <w:p>
      <w:pPr>
        <w:pStyle w:val="Bibliography"/>
      </w:pPr>
      <w:r>
        <w:t xml:space="preserve">[64]</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2">
        <w:r>
          <w:rPr>
            <w:rStyle w:val="Hyperlink"/>
          </w:rPr>
          <w:t xml:space="preserve">https://doi.org/10.1016/j.jasrep.2024.104798</w:t>
        </w:r>
      </w:hyperlink>
      <w:r>
        <w:t xml:space="preserve">.</w:t>
      </w:r>
    </w:p>
    <w:bookmarkEnd w:id="183"/>
    <w:bookmarkStart w:id="185" w:name="ref-Whallon_2006"/>
    <w:p>
      <w:pPr>
        <w:pStyle w:val="Bibliography"/>
      </w:pPr>
      <w:r>
        <w:t xml:space="preserve">[65]</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4">
        <w:r>
          <w:rPr>
            <w:rStyle w:val="Hyperlink"/>
          </w:rPr>
          <w:t xml:space="preserve">https://doi.org/10.1016/j.jaa.2005.11.004</w:t>
        </w:r>
      </w:hyperlink>
      <w:r>
        <w:t xml:space="preserve">.</w:t>
      </w:r>
    </w:p>
    <w:bookmarkEnd w:id="185"/>
    <w:bookmarkStart w:id="186" w:name="ref-Fitzhugh_Phillips_Gjesfeld_2011"/>
    <w:p>
      <w:pPr>
        <w:pStyle w:val="Bibliography"/>
      </w:pPr>
      <w:r>
        <w:t xml:space="preserve">[66]</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6"/>
    <w:bookmarkStart w:id="188" w:name="ref-Lovis_Donahue_2011"/>
    <w:p>
      <w:pPr>
        <w:pStyle w:val="Bibliography"/>
      </w:pPr>
      <w:r>
        <w:t xml:space="preserve">[67]</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7">
        <w:r>
          <w:rPr>
            <w:rStyle w:val="Hyperlink"/>
          </w:rPr>
          <w:t xml:space="preserve">https://doi.org/10.2307/j.ctvdmwwz4.7</w:t>
        </w:r>
      </w:hyperlink>
      <w:r>
        <w:t xml:space="preserve">.</w:t>
      </w:r>
    </w:p>
    <w:bookmarkEnd w:id="188"/>
    <w:bookmarkStart w:id="190" w:name="ref-Hitchcock_Ebert_2011"/>
    <w:p>
      <w:pPr>
        <w:pStyle w:val="Bibliography"/>
      </w:pPr>
      <w:r>
        <w:t xml:space="preserve">[68]</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89">
        <w:r>
          <w:rPr>
            <w:rStyle w:val="Hyperlink"/>
          </w:rPr>
          <w:t xml:space="preserve">https://doi.org/10.2307/j.ctvdmwwz4.10</w:t>
        </w:r>
      </w:hyperlink>
      <w:r>
        <w:t xml:space="preserve">.</w:t>
      </w:r>
    </w:p>
    <w:bookmarkEnd w:id="190"/>
    <w:bookmarkStart w:id="192" w:name="ref-Romano_Lozano_Fern2022"/>
    <w:p>
      <w:pPr>
        <w:pStyle w:val="Bibliography"/>
      </w:pPr>
      <w:r>
        <w:t xml:space="preserve">[69]</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1">
        <w:r>
          <w:rPr>
            <w:rStyle w:val="Hyperlink"/>
          </w:rPr>
          <w:t xml:space="preserve">https://doi.org/10.1098/rstb.2020.0318</w:t>
        </w:r>
      </w:hyperlink>
      <w:r>
        <w:t xml:space="preserve">.</w:t>
      </w:r>
    </w:p>
    <w:bookmarkEnd w:id="192"/>
    <w:bookmarkStart w:id="194" w:name="ref-Kelly_2024"/>
    <w:p>
      <w:pPr>
        <w:pStyle w:val="Bibliography"/>
      </w:pPr>
      <w:r>
        <w:t xml:space="preserve">[70]</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3">
        <w:r>
          <w:rPr>
            <w:rStyle w:val="Hyperlink"/>
          </w:rPr>
          <w:t xml:space="preserve">https://doi.org/10.1111/tops.12762</w:t>
        </w:r>
      </w:hyperlink>
      <w:r>
        <w:t xml:space="preserve">.</w:t>
      </w:r>
    </w:p>
    <w:bookmarkEnd w:id="194"/>
    <w:bookmarkStart w:id="196" w:name="ref-Kinahan_2013"/>
    <w:p>
      <w:pPr>
        <w:pStyle w:val="Bibliography"/>
      </w:pPr>
      <w:r>
        <w:t xml:space="preserve">[71]</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5">
        <w:r>
          <w:rPr>
            <w:rStyle w:val="Hyperlink"/>
          </w:rPr>
          <w:t xml:space="preserve">https://doi.org/10.3213/2191-5784-10243</w:t>
        </w:r>
      </w:hyperlink>
      <w:r>
        <w:t xml:space="preserve">.</w:t>
      </w:r>
    </w:p>
    <w:bookmarkEnd w:id="196"/>
    <w:bookmarkStart w:id="198" w:name="ref-Newlander_2012"/>
    <w:p>
      <w:pPr>
        <w:pStyle w:val="Bibliography"/>
      </w:pPr>
      <w:r>
        <w:t xml:space="preserve">[72]</w:t>
      </w:r>
      <w:r>
        <w:t xml:space="preserve"> </w:t>
      </w:r>
      <w:r>
        <w:t xml:space="preserve">	</w:t>
      </w:r>
      <w:r>
        <w:t xml:space="preserve">Newlander KS.</w:t>
      </w:r>
      <w:r>
        <w:t xml:space="preserve"> </w:t>
      </w:r>
      <w:hyperlink r:id="rId197">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198"/>
    <w:bookmarkStart w:id="200" w:name="ref-Iizuka_Ferguson_Izuho_2022"/>
    <w:p>
      <w:pPr>
        <w:pStyle w:val="Bibliography"/>
      </w:pPr>
      <w:r>
        <w:t xml:space="preserve">[73]</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9">
        <w:r>
          <w:rPr>
            <w:rStyle w:val="Hyperlink"/>
          </w:rPr>
          <w:t xml:space="preserve">https://doi.org/10.1371/journal.pone.0265329</w:t>
        </w:r>
      </w:hyperlink>
      <w:r>
        <w:t xml:space="preserve">.</w:t>
      </w:r>
    </w:p>
    <w:bookmarkEnd w:id="200"/>
    <w:bookmarkStart w:id="202" w:name="ref-conkey_agg"/>
    <w:p>
      <w:pPr>
        <w:pStyle w:val="Bibliography"/>
      </w:pPr>
      <w:r>
        <w:t xml:space="preserve">[74]</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1">
        <w:r>
          <w:rPr>
            <w:rStyle w:val="Hyperlink"/>
          </w:rPr>
          <w:t xml:space="preserve">https://doi.org/10.1086/202540</w:t>
        </w:r>
      </w:hyperlink>
      <w:r>
        <w:t xml:space="preserve">.</w:t>
      </w:r>
    </w:p>
    <w:bookmarkEnd w:id="202"/>
    <w:bookmarkStart w:id="204" w:name="ref-Maher_Conkey_2019"/>
    <w:p>
      <w:pPr>
        <w:pStyle w:val="Bibliography"/>
      </w:pPr>
      <w:r>
        <w:t xml:space="preserve">[75]</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3">
        <w:r>
          <w:rPr>
            <w:rStyle w:val="Hyperlink"/>
          </w:rPr>
          <w:t xml:space="preserve">https://doi.org/10.1086/701523</w:t>
        </w:r>
      </w:hyperlink>
      <w:r>
        <w:t xml:space="preserve">.</w:t>
      </w:r>
    </w:p>
    <w:bookmarkEnd w:id="204"/>
    <w:bookmarkStart w:id="206" w:name="ref-bahn1982inter"/>
    <w:p>
      <w:pPr>
        <w:pStyle w:val="Bibliography"/>
      </w:pPr>
      <w:r>
        <w:t xml:space="preserve">[76]</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5">
        <w:r>
          <w:rPr>
            <w:rStyle w:val="Hyperlink"/>
          </w:rPr>
          <w:t xml:space="preserve">https://doi.org/10.1111/j.1468-0092.1982.tb00313.x</w:t>
        </w:r>
      </w:hyperlink>
      <w:r>
        <w:t xml:space="preserve">.</w:t>
      </w:r>
    </w:p>
    <w:bookmarkEnd w:id="206"/>
    <w:bookmarkStart w:id="208" w:name="ref-Bourdier_2013"/>
    <w:p>
      <w:pPr>
        <w:pStyle w:val="Bibliography"/>
      </w:pPr>
      <w:r>
        <w:t xml:space="preserve">[77]</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7">
        <w:r>
          <w:rPr>
            <w:rStyle w:val="Hyperlink"/>
          </w:rPr>
          <w:t xml:space="preserve">https://doi.org/10.1016/j.jaa.2013.05.005</w:t>
        </w:r>
      </w:hyperlink>
      <w:r>
        <w:t xml:space="preserve">.</w:t>
      </w:r>
    </w:p>
    <w:bookmarkEnd w:id="208"/>
    <w:bookmarkStart w:id="210" w:name="ref-Svoboda_2013"/>
    <w:p>
      <w:pPr>
        <w:pStyle w:val="Bibliography"/>
      </w:pPr>
      <w:r>
        <w:t xml:space="preserve">[78]</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09">
        <w:r>
          <w:rPr>
            <w:rStyle w:val="Hyperlink"/>
          </w:rPr>
          <w:t xml:space="preserve">https://doi.org/10.4000/palethnologie.4945</w:t>
        </w:r>
      </w:hyperlink>
      <w:r>
        <w:t xml:space="preserve">.</w:t>
      </w:r>
    </w:p>
    <w:bookmarkEnd w:id="210"/>
    <w:bookmarkStart w:id="212" w:name="ref-white1992rethinking"/>
    <w:p>
      <w:pPr>
        <w:pStyle w:val="Bibliography"/>
      </w:pPr>
      <w:r>
        <w:t xml:space="preserve">[79]</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1">
        <w:r>
          <w:rPr>
            <w:rStyle w:val="Hyperlink"/>
          </w:rPr>
          <w:t xml:space="preserve">https://doi.org/10.1086/202802</w:t>
        </w:r>
      </w:hyperlink>
      <w:r>
        <w:t xml:space="preserve">.</w:t>
      </w:r>
    </w:p>
    <w:bookmarkEnd w:id="212"/>
    <w:bookmarkStart w:id="213" w:name="X79d7c52b9cdbe72fc1b94e51c6ee6057d0c4a50"/>
    <w:p>
      <w:pPr>
        <w:pStyle w:val="Bibliography"/>
      </w:pPr>
      <w:r>
        <w:t xml:space="preserve">[80]</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3"/>
    <w:bookmarkStart w:id="215" w:name="ref-montet-white1994"/>
    <w:p>
      <w:pPr>
        <w:pStyle w:val="Bibliography"/>
      </w:pPr>
      <w:r>
        <w:t xml:space="preserve">[81]</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4">
        <w:r>
          <w:rPr>
            <w:rStyle w:val="Hyperlink"/>
          </w:rPr>
          <w:t xml:space="preserve">https://doi.org/10.1146/annurev.an.23.100194.002411</w:t>
        </w:r>
      </w:hyperlink>
      <w:r>
        <w:t xml:space="preserve">.</w:t>
      </w:r>
    </w:p>
    <w:bookmarkEnd w:id="215"/>
    <w:bookmarkStart w:id="217" w:name="ref-Frerebeau_2025"/>
    <w:p>
      <w:pPr>
        <w:pStyle w:val="Bibliography"/>
      </w:pPr>
      <w:r>
        <w:t xml:space="preserve">[82]</w:t>
      </w:r>
      <w:r>
        <w:t xml:space="preserve"> </w:t>
      </w:r>
      <w:r>
        <w:t xml:space="preserve">	</w:t>
      </w:r>
      <w:r>
        <w:t xml:space="preserve">Frerebeau N. Tabula: Analysis and visualization of archaeological count data 2025.</w:t>
      </w:r>
      <w:r>
        <w:t xml:space="preserve"> </w:t>
      </w:r>
      <w:hyperlink r:id="rId216">
        <w:r>
          <w:rPr>
            <w:rStyle w:val="Hyperlink"/>
          </w:rPr>
          <w:t xml:space="preserve">https://doi.org/10.5281/zenodo.15397990</w:t>
        </w:r>
      </w:hyperlink>
      <w:r>
        <w:t xml:space="preserve">.</w:t>
      </w:r>
    </w:p>
    <w:bookmarkEnd w:id="217"/>
    <w:bookmarkStart w:id="219" w:name="ref-Kintigh_1984"/>
    <w:p>
      <w:pPr>
        <w:pStyle w:val="Bibliography"/>
      </w:pPr>
      <w:r>
        <w:t xml:space="preserve">[83]</w:t>
      </w:r>
      <w:r>
        <w:t xml:space="preserve"> </w:t>
      </w:r>
      <w:r>
        <w:t xml:space="preserve">	</w:t>
      </w:r>
      <w:r>
        <w:t xml:space="preserve">Kintigh KW. Measuring archaeological diversity by comparison with simulated assemblages. American Antiquity 1984;49:44–54.</w:t>
      </w:r>
      <w:r>
        <w:t xml:space="preserve"> </w:t>
      </w:r>
      <w:hyperlink r:id="rId218">
        <w:r>
          <w:rPr>
            <w:rStyle w:val="Hyperlink"/>
          </w:rPr>
          <w:t xml:space="preserve">https://doi.org/10.2307/280511</w:t>
        </w:r>
      </w:hyperlink>
      <w:r>
        <w:t xml:space="preserve">.</w:t>
      </w:r>
    </w:p>
    <w:bookmarkEnd w:id="219"/>
    <w:bookmarkStart w:id="221" w:name="X8c17deb08b87fbfa26556dda630532ff62c8bd1"/>
    <w:p>
      <w:pPr>
        <w:pStyle w:val="Bibliography"/>
      </w:pPr>
      <w:r>
        <w:t xml:space="preserve">[84]</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0">
        <w:r>
          <w:rPr>
            <w:rStyle w:val="Hyperlink"/>
          </w:rPr>
          <w:t xml:space="preserve">https://doi.org/10.1038/s41467-024-51349-y</w:t>
        </w:r>
      </w:hyperlink>
      <w:r>
        <w:t xml:space="preserve">.</w:t>
      </w:r>
    </w:p>
    <w:bookmarkEnd w:id="221"/>
    <w:bookmarkStart w:id="223" w:name="ref-smith1992Design"/>
    <w:p>
      <w:pPr>
        <w:pStyle w:val="Bibliography"/>
      </w:pPr>
      <w:r>
        <w:t xml:space="preserve">[85]</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2">
        <w:r>
          <w:rPr>
            <w:rStyle w:val="Hyperlink"/>
          </w:rPr>
          <w:t xml:space="preserve">https://doi.org/10.1080/03122417.1992.11681454</w:t>
        </w:r>
      </w:hyperlink>
      <w:r>
        <w:t xml:space="preserve">.</w:t>
      </w:r>
    </w:p>
    <w:bookmarkEnd w:id="223"/>
    <w:bookmarkStart w:id="224" w:name="ref-hays1993symbol"/>
    <w:p>
      <w:pPr>
        <w:pStyle w:val="Bibliography"/>
      </w:pPr>
      <w:r>
        <w:t xml:space="preserve">[86]</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4"/>
    <w:bookmarkStart w:id="226" w:name="ref-McDonald_Veth_Lilley_2006"/>
    <w:p>
      <w:pPr>
        <w:pStyle w:val="Bibliography"/>
      </w:pPr>
      <w:r>
        <w:t xml:space="preserve">[87]</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5">
        <w:r>
          <w:rPr>
            <w:rStyle w:val="Hyperlink"/>
          </w:rPr>
          <w:t xml:space="preserve">https://doi.org/10.1002/9780470773475.ch5</w:t>
        </w:r>
      </w:hyperlink>
      <w:r>
        <w:t xml:space="preserve">.</w:t>
      </w:r>
    </w:p>
    <w:bookmarkEnd w:id="226"/>
    <w:bookmarkStart w:id="228" w:name="ref-Lourandos_1985"/>
    <w:p>
      <w:pPr>
        <w:pStyle w:val="Bibliography"/>
      </w:pPr>
      <w:r>
        <w:t xml:space="preserve">[88]</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7">
        <w:r>
          <w:rPr>
            <w:rStyle w:val="Hyperlink"/>
          </w:rPr>
          <w:t xml:space="preserve">https://doi.org/10.1016/B978-0-12-564750-2.50020-2</w:t>
        </w:r>
      </w:hyperlink>
      <w:r>
        <w:t xml:space="preserve">.</w:t>
      </w:r>
    </w:p>
    <w:bookmarkEnd w:id="228"/>
    <w:bookmarkStart w:id="230" w:name="ref-barton_clark_cohen1994"/>
    <w:p>
      <w:pPr>
        <w:pStyle w:val="Bibliography"/>
      </w:pPr>
      <w:r>
        <w:t xml:space="preserve">[89]</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29">
        <w:r>
          <w:rPr>
            <w:rStyle w:val="Hyperlink"/>
          </w:rPr>
          <w:t xml:space="preserve">https://doi.org/10.1080/00438243.1994.9980272</w:t>
        </w:r>
      </w:hyperlink>
      <w:r>
        <w:t xml:space="preserve">.</w:t>
      </w:r>
    </w:p>
    <w:bookmarkEnd w:id="230"/>
    <w:bookmarkStart w:id="232" w:name="ref-mcdonald2012social"/>
    <w:p>
      <w:pPr>
        <w:pStyle w:val="Bibliography"/>
      </w:pPr>
      <w:r>
        <w:t xml:space="preserve">[90]</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1">
        <w:r>
          <w:rPr>
            <w:rStyle w:val="Hyperlink"/>
          </w:rPr>
          <w:t xml:space="preserve">https://doi.org/10.1002/9781118253892.ch6</w:t>
        </w:r>
      </w:hyperlink>
      <w:r>
        <w:t xml:space="preserve">.</w:t>
      </w:r>
    </w:p>
    <w:bookmarkEnd w:id="232"/>
    <w:bookmarkStart w:id="234" w:name="ref-bernardini2005reconsidering"/>
    <w:p>
      <w:pPr>
        <w:pStyle w:val="Bibliography"/>
      </w:pPr>
      <w:r>
        <w:t xml:space="preserve">[91]</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3">
        <w:r>
          <w:rPr>
            <w:rStyle w:val="Hyperlink"/>
          </w:rPr>
          <w:t xml:space="preserve">https://doi.org/10.2307/40035267</w:t>
        </w:r>
      </w:hyperlink>
      <w:r>
        <w:t xml:space="preserve">.</w:t>
      </w:r>
    </w:p>
    <w:bookmarkEnd w:id="234"/>
    <w:bookmarkStart w:id="236" w:name="ref-wiessner1984reconsidering"/>
    <w:p>
      <w:pPr>
        <w:pStyle w:val="Bibliography"/>
      </w:pPr>
      <w:r>
        <w:t xml:space="preserve">[92]</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5">
        <w:r>
          <w:rPr>
            <w:rStyle w:val="Hyperlink"/>
          </w:rPr>
          <w:t xml:space="preserve">https://doi.org/10.1016/0278-4165(84)90002-3</w:t>
        </w:r>
      </w:hyperlink>
      <w:r>
        <w:t xml:space="preserve">.</w:t>
      </w:r>
    </w:p>
    <w:bookmarkEnd w:id="236"/>
    <w:bookmarkStart w:id="238" w:name="ref-smith1992"/>
    <w:p>
      <w:pPr>
        <w:pStyle w:val="Bibliography"/>
      </w:pPr>
      <w:r>
        <w:t xml:space="preserve">[93]</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7">
        <w:r>
          <w:rPr>
            <w:rStyle w:val="Hyperlink"/>
          </w:rPr>
          <w:t xml:space="preserve">https://doi.org/10.1080/03122417.1992.11681450</w:t>
        </w:r>
      </w:hyperlink>
      <w:r>
        <w:t xml:space="preserve">.</w:t>
      </w:r>
    </w:p>
    <w:bookmarkEnd w:id="238"/>
    <w:bookmarkStart w:id="240" w:name="X4fed35d53d406ce17aea32f9d6f163fcb563519"/>
    <w:p>
      <w:pPr>
        <w:pStyle w:val="Bibliography"/>
      </w:pPr>
      <w:r>
        <w:t xml:space="preserve">[94]</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9">
        <w:r>
          <w:rPr>
            <w:rStyle w:val="Hyperlink"/>
          </w:rPr>
          <w:t xml:space="preserve">https://doi.org/10.1007/978-4-431-55363-2_8</w:t>
        </w:r>
      </w:hyperlink>
      <w:r>
        <w:t xml:space="preserve">.</w:t>
      </w:r>
    </w:p>
    <w:bookmarkEnd w:id="240"/>
    <w:bookmarkStart w:id="241" w:name="ref-Cavalli_Sforza_Feldman_1981"/>
    <w:p>
      <w:pPr>
        <w:pStyle w:val="Bibliography"/>
      </w:pPr>
      <w:r>
        <w:t xml:space="preserve">[95]</w:t>
      </w:r>
      <w:r>
        <w:t xml:space="preserve"> </w:t>
      </w:r>
      <w:r>
        <w:t xml:space="preserve">	</w:t>
      </w:r>
      <w:r>
        <w:t xml:space="preserve">Cavalli-Sforza L, Feldman MW. Cultural transmission and evolution: A quantitative approach. Princeton University Press; 1981.</w:t>
      </w:r>
    </w:p>
    <w:bookmarkEnd w:id="241"/>
    <w:bookmarkStart w:id="242" w:name="ref-Boyd_Richerson_1985"/>
    <w:p>
      <w:pPr>
        <w:pStyle w:val="Bibliography"/>
      </w:pPr>
      <w:r>
        <w:t xml:space="preserve">[96]</w:t>
      </w:r>
      <w:r>
        <w:t xml:space="preserve"> </w:t>
      </w:r>
      <w:r>
        <w:t xml:space="preserve">	</w:t>
      </w:r>
      <w:r>
        <w:t xml:space="preserve">Boyd R, Richerson PJ. Culture and the evolutionary process. University of Chicago Press; 1985.</w:t>
      </w:r>
    </w:p>
    <w:bookmarkEnd w:id="242"/>
    <w:bookmarkStart w:id="243" w:name="ref-Richerson_Boyd_2005"/>
    <w:p>
      <w:pPr>
        <w:pStyle w:val="Bibliography"/>
      </w:pPr>
      <w:r>
        <w:t xml:space="preserve">[97]</w:t>
      </w:r>
      <w:r>
        <w:t xml:space="preserve"> </w:t>
      </w:r>
      <w:r>
        <w:t xml:space="preserve">	</w:t>
      </w:r>
      <w:r>
        <w:t xml:space="preserve">Richerson PJ, Boyd R. Not by genes alone: How culture transformed human evolution. University of Chicago Press; 2005.</w:t>
      </w:r>
    </w:p>
    <w:bookmarkEnd w:id="243"/>
    <w:bookmarkStart w:id="245" w:name="ref-Henrich_2004"/>
    <w:p>
      <w:pPr>
        <w:pStyle w:val="Bibliography"/>
      </w:pPr>
      <w:r>
        <w:t xml:space="preserve">[98]</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4">
        <w:r>
          <w:rPr>
            <w:rStyle w:val="Hyperlink"/>
          </w:rPr>
          <w:t xml:space="preserve">https://doi.org/10.2307/4128416</w:t>
        </w:r>
      </w:hyperlink>
      <w:r>
        <w:t xml:space="preserve">.</w:t>
      </w:r>
    </w:p>
    <w:bookmarkEnd w:id="245"/>
    <w:bookmarkStart w:id="247" w:name="ref-Migliano_2020"/>
    <w:p>
      <w:pPr>
        <w:pStyle w:val="Bibliography"/>
      </w:pPr>
      <w:r>
        <w:t xml:space="preserve">[99]</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6">
        <w:r>
          <w:rPr>
            <w:rStyle w:val="Hyperlink"/>
          </w:rPr>
          <w:t xml:space="preserve">https://doi.org/10.1126/sciadv.aax5913</w:t>
        </w:r>
      </w:hyperlink>
      <w:r>
        <w:t xml:space="preserve">.</w:t>
      </w:r>
    </w:p>
    <w:bookmarkEnd w:id="247"/>
    <w:bookmarkStart w:id="249" w:name="ref-Romano_Lozano_2020"/>
    <w:p>
      <w:pPr>
        <w:pStyle w:val="Bibliography"/>
      </w:pPr>
      <w:r>
        <w:t xml:space="preserve">[100]</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48">
        <w:r>
          <w:rPr>
            <w:rStyle w:val="Hyperlink"/>
          </w:rPr>
          <w:t xml:space="preserve">https://doi.org/10.1111/brv.12599</w:t>
        </w:r>
      </w:hyperlink>
      <w:r>
        <w:t xml:space="preserve">.</w:t>
      </w:r>
    </w:p>
    <w:bookmarkEnd w:id="249"/>
    <w:bookmarkStart w:id="251" w:name="ref-Buchanan_Hamilton_2023"/>
    <w:p>
      <w:pPr>
        <w:pStyle w:val="Bibliography"/>
      </w:pPr>
      <w:r>
        <w:t xml:space="preserve">[101]</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0">
        <w:r>
          <w:rPr>
            <w:rStyle w:val="Hyperlink"/>
          </w:rPr>
          <w:t xml:space="preserve">https://doi.org/10.1093/oxfordhb/9780198854265.013.34</w:t>
        </w:r>
      </w:hyperlink>
      <w:r>
        <w:t xml:space="preserve">.</w:t>
      </w:r>
    </w:p>
    <w:bookmarkEnd w:id="251"/>
    <w:bookmarkStart w:id="253" w:name="ref-Eerkens_Lipo_2005"/>
    <w:p>
      <w:pPr>
        <w:pStyle w:val="Bibliography"/>
      </w:pPr>
      <w:r>
        <w:t xml:space="preserve">[102]</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2">
        <w:r>
          <w:rPr>
            <w:rStyle w:val="Hyperlink"/>
          </w:rPr>
          <w:t xml:space="preserve">https://doi.org/10.1016/j.jaa.2005.08.001</w:t>
        </w:r>
      </w:hyperlink>
      <w:r>
        <w:t xml:space="preserve">.</w:t>
      </w:r>
    </w:p>
    <w:bookmarkEnd w:id="253"/>
    <w:bookmarkStart w:id="255" w:name="ref-Intxaurbe_2026"/>
    <w:p>
      <w:pPr>
        <w:pStyle w:val="Bibliography"/>
      </w:pPr>
      <w:r>
        <w:t xml:space="preserve">[103]</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4">
        <w:r>
          <w:rPr>
            <w:rStyle w:val="Hyperlink"/>
          </w:rPr>
          <w:t xml:space="preserve">https://doi.org/10.1007/s10816-026-09796-y</w:t>
        </w:r>
      </w:hyperlink>
      <w:r>
        <w:t xml:space="preserve">.</w:t>
      </w:r>
    </w:p>
    <w:bookmarkEnd w:id="255"/>
    <w:bookmarkStart w:id="257" w:name="ref-Bentz_Dutkiewicz_2026"/>
    <w:p>
      <w:pPr>
        <w:pStyle w:val="Bibliography"/>
      </w:pPr>
      <w:r>
        <w:t xml:space="preserve">[104]</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56">
        <w:r>
          <w:rPr>
            <w:rStyle w:val="Hyperlink"/>
          </w:rPr>
          <w:t xml:space="preserve">https://doi.org/10.1073/pnas.2520385123</w:t>
        </w:r>
      </w:hyperlink>
      <w:r>
        <w:t xml:space="preserve">.</w:t>
      </w:r>
    </w:p>
    <w:bookmarkEnd w:id="257"/>
    <w:bookmarkStart w:id="259" w:name="ref-Bacon_2023"/>
    <w:p>
      <w:pPr>
        <w:pStyle w:val="Bibliography"/>
      </w:pPr>
      <w:r>
        <w:t xml:space="preserve">[105]</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58">
        <w:r>
          <w:rPr>
            <w:rStyle w:val="Hyperlink"/>
          </w:rPr>
          <w:t xml:space="preserve">https://doi.org/10.1017/S0959774322000415</w:t>
        </w:r>
      </w:hyperlink>
      <w:r>
        <w:t xml:space="preserve">.</w:t>
      </w:r>
    </w:p>
    <w:bookmarkEnd w:id="259"/>
    <w:bookmarkStart w:id="261" w:name="Xa4990169aeb885a690070ab4fd90972c31994f8"/>
    <w:p>
      <w:pPr>
        <w:pStyle w:val="Bibliography"/>
      </w:pPr>
      <w:r>
        <w:t xml:space="preserve">[106]</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0">
        <w:r>
          <w:rPr>
            <w:rStyle w:val="Hyperlink"/>
          </w:rPr>
          <w:t xml:space="preserve">https://doi.org/10.2139/ssrn.7053279</w:t>
        </w:r>
      </w:hyperlink>
      <w:r>
        <w:t xml:space="preserve">.</w:t>
      </w:r>
    </w:p>
    <w:bookmarkEnd w:id="261"/>
    <w:bookmarkStart w:id="263" w:name="X8ea620419c64d551554c48b7075c9934881930b"/>
    <w:p>
      <w:pPr>
        <w:pStyle w:val="Bibliography"/>
      </w:pPr>
      <w:r>
        <w:t xml:space="preserve">[107]</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2">
        <w:r>
          <w:rPr>
            <w:rStyle w:val="Hyperlink"/>
          </w:rPr>
          <w:t xml:space="preserve">https://doi.org/10.1007/s41982-023-00158-8</w:t>
        </w:r>
      </w:hyperlink>
      <w:r>
        <w:t xml:space="preserve">.</w:t>
      </w:r>
    </w:p>
    <w:bookmarkEnd w:id="263"/>
    <w:bookmarkStart w:id="265" w:name="ref-Magli_2024"/>
    <w:p>
      <w:pPr>
        <w:pStyle w:val="Bibliography"/>
      </w:pPr>
      <w:r>
        <w:t xml:space="preserve">[108]</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4">
        <w:r>
          <w:rPr>
            <w:rStyle w:val="Hyperlink"/>
          </w:rPr>
          <w:t xml:space="preserve">https://doi.org/10.1080/1751696X.2024.2441115</w:t>
        </w:r>
      </w:hyperlink>
      <w:r>
        <w:t xml:space="preserve">.</w:t>
      </w:r>
    </w:p>
    <w:bookmarkEnd w:id="265"/>
    <w:bookmarkStart w:id="267" w:name="ref-Nowell_2024_evidence"/>
    <w:p>
      <w:pPr>
        <w:pStyle w:val="Bibliography"/>
      </w:pPr>
      <w:r>
        <w:t xml:space="preserve">[109]</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66">
        <w:r>
          <w:rPr>
            <w:rStyle w:val="Hyperlink"/>
          </w:rPr>
          <w:t xml:space="preserve">https://doi.org/10.1017/S0959774324000155</w:t>
        </w:r>
      </w:hyperlink>
      <w:r>
        <w:t xml:space="preserve">.</w:t>
      </w:r>
    </w:p>
    <w:bookmarkEnd w:id="267"/>
    <w:bookmarkStart w:id="269" w:name="ref-Horiuchi_Takakura_2019"/>
    <w:p>
      <w:pPr>
        <w:pStyle w:val="Bibliography"/>
      </w:pPr>
      <w:r>
        <w:t xml:space="preserve">[110]</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68">
        <w:r>
          <w:rPr>
            <w:rStyle w:val="Hyperlink"/>
          </w:rPr>
          <w:t xml:space="preserve">https://doi.org/10.1007/978-981-13-8980-1_12</w:t>
        </w:r>
      </w:hyperlink>
      <w:r>
        <w:t xml:space="preserve">.</w:t>
      </w:r>
    </w:p>
    <w:bookmarkEnd w:id="269"/>
    <w:bookmarkStart w:id="270" w:name="ref-Rogers_2018"/>
    <w:p>
      <w:pPr>
        <w:pStyle w:val="Bibliography"/>
      </w:pPr>
      <w:r>
        <w:t xml:space="preserve">[111]</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0"/>
    <w:bookmarkStart w:id="272" w:name="X94f875be1b7e5d23641daff5d53857bec24e739"/>
    <w:p>
      <w:pPr>
        <w:pStyle w:val="Bibliography"/>
      </w:pPr>
      <w:r>
        <w:t xml:space="preserve">[112]</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1">
        <w:r>
          <w:rPr>
            <w:rStyle w:val="Hyperlink"/>
          </w:rPr>
          <w:t xml:space="preserve">https://doi.org/10.1016/j.jasrep.2021.103118</w:t>
        </w:r>
      </w:hyperlink>
      <w:r>
        <w:t xml:space="preserve">.</w:t>
      </w:r>
    </w:p>
    <w:bookmarkEnd w:id="272"/>
    <w:bookmarkStart w:id="274" w:name="ref-Gamble_1982"/>
    <w:p>
      <w:pPr>
        <w:pStyle w:val="Bibliography"/>
      </w:pPr>
      <w:r>
        <w:t xml:space="preserve">[113]</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3">
        <w:r>
          <w:rPr>
            <w:rStyle w:val="Hyperlink"/>
          </w:rPr>
          <w:t xml:space="preserve">https://doi.org/10.2307/2802103</w:t>
        </w:r>
      </w:hyperlink>
      <w:r>
        <w:t xml:space="preserve">.</w:t>
      </w:r>
    </w:p>
    <w:bookmarkEnd w:id="274"/>
    <w:bookmarkStart w:id="276" w:name="Xba346573845225b1b1d5ef358e2fea0d893a789"/>
    <w:p>
      <w:pPr>
        <w:pStyle w:val="Bibliography"/>
      </w:pPr>
      <w:r>
        <w:t xml:space="preserve">[114]</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5">
        <w:r>
          <w:rPr>
            <w:rStyle w:val="Hyperlink"/>
          </w:rPr>
          <w:t xml:space="preserve">https://doi.org/10.1016/j.quascirev.2018.12.011</w:t>
        </w:r>
      </w:hyperlink>
      <w:r>
        <w:t xml:space="preserve">.</w:t>
      </w:r>
    </w:p>
    <w:bookmarkEnd w:id="276"/>
    <w:bookmarkStart w:id="278" w:name="ref-Creanza_Kolodny_Feldman_2017"/>
    <w:p>
      <w:pPr>
        <w:pStyle w:val="Bibliography"/>
      </w:pPr>
      <w:r>
        <w:t xml:space="preserve">[115]</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77">
        <w:r>
          <w:rPr>
            <w:rStyle w:val="Hyperlink"/>
          </w:rPr>
          <w:t xml:space="preserve">https://doi.org/10.1098/rsif.2017.0171</w:t>
        </w:r>
      </w:hyperlink>
      <w:r>
        <w:t xml:space="preserve">.</w:t>
      </w:r>
    </w:p>
    <w:bookmarkEnd w:id="278"/>
    <w:bookmarkStart w:id="280" w:name="ref-Cullen_1996"/>
    <w:p>
      <w:pPr>
        <w:pStyle w:val="Bibliography"/>
      </w:pPr>
      <w:r>
        <w:t xml:space="preserve">[116]</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79">
        <w:r>
          <w:rPr>
            <w:rStyle w:val="Hyperlink"/>
          </w:rPr>
          <w:t xml:space="preserve">https://doi.org/10.1007/978-1-4757-9945-3_4</w:t>
        </w:r>
      </w:hyperlink>
      <w:r>
        <w:t xml:space="preserve">.</w:t>
      </w:r>
    </w:p>
    <w:bookmarkEnd w:id="280"/>
    <w:bookmarkStart w:id="282" w:name="ref-Hill_Wood_Baggio_Hurtado_Boyd_2014"/>
    <w:p>
      <w:pPr>
        <w:pStyle w:val="Bibliography"/>
      </w:pPr>
      <w:r>
        <w:t xml:space="preserve">[117]</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1">
        <w:r>
          <w:rPr>
            <w:rStyle w:val="Hyperlink"/>
          </w:rPr>
          <w:t xml:space="preserve">https://doi.org/10.1371/journal.pone.0102806</w:t>
        </w:r>
      </w:hyperlink>
      <w:r>
        <w:t xml:space="preserve">.</w:t>
      </w:r>
    </w:p>
    <w:bookmarkEnd w:id="282"/>
    <w:bookmarkStart w:id="284" w:name="ref-Derex_Boyd_2016"/>
    <w:p>
      <w:pPr>
        <w:pStyle w:val="Bibliography"/>
      </w:pPr>
      <w:r>
        <w:t xml:space="preserve">[118]</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3">
        <w:r>
          <w:rPr>
            <w:rStyle w:val="Hyperlink"/>
          </w:rPr>
          <w:t xml:space="preserve">https://doi.org/10.1073/pnas.1518798113</w:t>
        </w:r>
      </w:hyperlink>
      <w:r>
        <w:t xml:space="preserve">.</w:t>
      </w:r>
    </w:p>
    <w:bookmarkEnd w:id="284"/>
    <w:bookmarkStart w:id="285" w:name="ref-Von_Petzinger_2009"/>
    <w:p>
      <w:pPr>
        <w:pStyle w:val="Bibliography"/>
      </w:pPr>
      <w:r>
        <w:t xml:space="preserve">[119]</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5"/>
    <w:bookmarkStart w:id="287" w:name="ref-Herskind2023"/>
    <w:p>
      <w:pPr>
        <w:pStyle w:val="Bibliography"/>
      </w:pPr>
      <w:r>
        <w:t xml:space="preserve">[120]</w:t>
      </w:r>
      <w:r>
        <w:t xml:space="preserve"> </w:t>
      </w:r>
      <w:r>
        <w:t xml:space="preserve">	</w:t>
      </w:r>
      <w:r>
        <w:t xml:space="preserve">Herskind LLP. A case for idle graffiti: Challenging the semiotic resurgence within prehistoric art research. Hunter Gatherer Research 2023;9:59–93.</w:t>
      </w:r>
      <w:r>
        <w:t xml:space="preserve"> </w:t>
      </w:r>
      <w:hyperlink r:id="rId286">
        <w:r>
          <w:rPr>
            <w:rStyle w:val="Hyperlink"/>
          </w:rPr>
          <w:t xml:space="preserve">https://doi.org/10.3828/hgr.2023.12</w:t>
        </w:r>
      </w:hyperlink>
      <w:r>
        <w:t xml:space="preserve">.</w:t>
      </w:r>
    </w:p>
    <w:bookmarkEnd w:id="287"/>
    <w:bookmarkStart w:id="28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88">
        <w:r>
          <w:rPr>
            <w:rStyle w:val="Hyperlink"/>
          </w:rPr>
          <w:t xml:space="preserve">https://doi.org/10.1093/oxfordhb/9780198854265.013.31</w:t>
        </w:r>
      </w:hyperlink>
      <w:r>
        <w:t xml:space="preserve">.</w:t>
      </w:r>
    </w:p>
    <w:bookmarkEnd w:id="289"/>
    <w:bookmarkStart w:id="291" w:name="X42e36537dda68556aeacf852410efd6ac3bb1ca"/>
    <w:p>
      <w:pPr>
        <w:pStyle w:val="Bibliography"/>
      </w:pPr>
      <w:r>
        <w:t xml:space="preserve">[122]</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0">
        <w:r>
          <w:rPr>
            <w:rStyle w:val="Hyperlink"/>
          </w:rPr>
          <w:t xml:space="preserve">https://doi.org/10.1007/s10816-023-09608-7</w:t>
        </w:r>
      </w:hyperlink>
      <w:r>
        <w:t xml:space="preserve">.</w:t>
      </w:r>
    </w:p>
    <w:bookmarkEnd w:id="291"/>
    <w:bookmarkStart w:id="293" w:name="ref-Chiotti_2005"/>
    <w:p>
      <w:pPr>
        <w:pStyle w:val="Bibliography"/>
      </w:pPr>
      <w:r>
        <w:t xml:space="preserve">[123]</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2">
        <w:r>
          <w:rPr>
            <w:rStyle w:val="Hyperlink"/>
          </w:rPr>
          <w:t xml:space="preserve">https://doi.org/10.30861/9781841718309</w:t>
        </w:r>
      </w:hyperlink>
      <w:r>
        <w:t xml:space="preserve">.</w:t>
      </w:r>
    </w:p>
    <w:bookmarkEnd w:id="293"/>
    <w:bookmarkStart w:id="295" w:name="ref-Higham_Abri_Pataud_2011"/>
    <w:p>
      <w:pPr>
        <w:pStyle w:val="Bibliography"/>
      </w:pPr>
      <w:r>
        <w:t xml:space="preserve">[124]</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4">
        <w:r>
          <w:rPr>
            <w:rStyle w:val="Hyperlink"/>
          </w:rPr>
          <w:t xml:space="preserve">https://doi.org/10.1016/j.jhevol.2011.06.005</w:t>
        </w:r>
      </w:hyperlink>
      <w:r>
        <w:t xml:space="preserve">.</w:t>
      </w:r>
    </w:p>
    <w:bookmarkEnd w:id="295"/>
    <w:bookmarkStart w:id="297" w:name="ref-Talamo_La_Ferrassie_2020"/>
    <w:p>
      <w:pPr>
        <w:pStyle w:val="Bibliography"/>
      </w:pPr>
      <w:r>
        <w:t xml:space="preserve">[125]</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6">
        <w:r>
          <w:rPr>
            <w:rStyle w:val="Hyperlink"/>
          </w:rPr>
          <w:t xml:space="preserve">https://doi.org/10.1002/jqs.3236</w:t>
        </w:r>
      </w:hyperlink>
      <w:r>
        <w:t xml:space="preserve">.</w:t>
      </w:r>
    </w:p>
    <w:bookmarkEnd w:id="297"/>
    <w:bookmarkStart w:id="299" w:name="ref-Wild_et_al_2005"/>
    <w:p>
      <w:pPr>
        <w:pStyle w:val="Bibliography"/>
      </w:pPr>
      <w:r>
        <w:t xml:space="preserve">[126]</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8">
        <w:r>
          <w:rPr>
            <w:rStyle w:val="Hyperlink"/>
          </w:rPr>
          <w:t xml:space="preserve">https://doi.org/10.1038/nature03585</w:t>
        </w:r>
      </w:hyperlink>
      <w:r>
        <w:t xml:space="preserve">.</w:t>
      </w:r>
    </w:p>
    <w:bookmarkEnd w:id="299"/>
    <w:bookmarkStart w:id="301" w:name="ref-Schurch_Conard_2026_reassess"/>
    <w:p>
      <w:pPr>
        <w:pStyle w:val="Bibliography"/>
      </w:pPr>
      <w:r>
        <w:t xml:space="preserve">[127]</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0">
        <w:r>
          <w:rPr>
            <w:rStyle w:val="Hyperlink"/>
          </w:rPr>
          <w:t xml:space="preserve">https://doi.org/10.1007/s41982-025-00246-x</w:t>
        </w:r>
      </w:hyperlink>
      <w:r>
        <w:t xml:space="preserve">.</w:t>
      </w:r>
    </w:p>
    <w:bookmarkEnd w:id="301"/>
    <w:bookmarkEnd w:id="302"/>
    <w:bookmarkEnd w:id="303"/>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5" Target="https://doi.org/10.1002/9780470773475.ch5" TargetMode="External" /><Relationship Type="http://schemas.openxmlformats.org/officeDocument/2006/relationships/hyperlink" Id="rId231"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5" Target="https://doi.org/10.1016/0278-4165(84)90002-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7"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4" Target="https://doi.org/10.1016/j.jaa.2005.11.004" TargetMode="External" /><Relationship Type="http://schemas.openxmlformats.org/officeDocument/2006/relationships/hyperlink" Id="rId207"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7"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20"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9" Target="https://doi.org/10.1080/00438243.1994.9980272" TargetMode="External" /><Relationship Type="http://schemas.openxmlformats.org/officeDocument/2006/relationships/hyperlink" Id="rId237" Target="https://doi.org/10.1080/03122417.1992.11681450" TargetMode="External" /><Relationship Type="http://schemas.openxmlformats.org/officeDocument/2006/relationships/hyperlink" Id="rId222"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201" Target="https://doi.org/10.1086/202540" TargetMode="External" /><Relationship Type="http://schemas.openxmlformats.org/officeDocument/2006/relationships/hyperlink" Id="rId211" Target="https://doi.org/10.1086/202802" TargetMode="External" /><Relationship Type="http://schemas.openxmlformats.org/officeDocument/2006/relationships/hyperlink" Id="rId203" Target="https://doi.org/10.1086/701523" TargetMode="External" /><Relationship Type="http://schemas.openxmlformats.org/officeDocument/2006/relationships/hyperlink" Id="rId180" Target="https://doi.org/10.1086/jar.39.3.3629672" TargetMode="External" /><Relationship Type="http://schemas.openxmlformats.org/officeDocument/2006/relationships/hyperlink" Id="rId178"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205"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14"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0" Target="https://doi.org/10.2139/ssrn.7053279" TargetMode="External" /><Relationship Type="http://schemas.openxmlformats.org/officeDocument/2006/relationships/hyperlink" Id="rId174" Target="https://doi.org/10.2307/279544" TargetMode="External" /><Relationship Type="http://schemas.openxmlformats.org/officeDocument/2006/relationships/hyperlink" Id="rId176"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8"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233" Target="https://doi.org/10.2307/40035267" TargetMode="External" /><Relationship Type="http://schemas.openxmlformats.org/officeDocument/2006/relationships/hyperlink" Id="rId244" Target="https://doi.org/10.2307/4128416" TargetMode="External" /><Relationship Type="http://schemas.openxmlformats.org/officeDocument/2006/relationships/hyperlink" Id="rId161"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5"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9"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6"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5" Target="https://doi.org/10.1002/9780470773475.ch5" TargetMode="External" /><Relationship Type="http://schemas.openxmlformats.org/officeDocument/2006/relationships/hyperlink" Id="rId231"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5" Target="https://doi.org/10.1016/0278-4165(84)90002-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7"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4" Target="https://doi.org/10.1016/j.jaa.2005.11.004" TargetMode="External" /><Relationship Type="http://schemas.openxmlformats.org/officeDocument/2006/relationships/hyperlink" Id="rId207"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7"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20"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9" Target="https://doi.org/10.1080/00438243.1994.9980272" TargetMode="External" /><Relationship Type="http://schemas.openxmlformats.org/officeDocument/2006/relationships/hyperlink" Id="rId237" Target="https://doi.org/10.1080/03122417.1992.11681450" TargetMode="External" /><Relationship Type="http://schemas.openxmlformats.org/officeDocument/2006/relationships/hyperlink" Id="rId222"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201" Target="https://doi.org/10.1086/202540" TargetMode="External" /><Relationship Type="http://schemas.openxmlformats.org/officeDocument/2006/relationships/hyperlink" Id="rId211" Target="https://doi.org/10.1086/202802" TargetMode="External" /><Relationship Type="http://schemas.openxmlformats.org/officeDocument/2006/relationships/hyperlink" Id="rId203" Target="https://doi.org/10.1086/701523" TargetMode="External" /><Relationship Type="http://schemas.openxmlformats.org/officeDocument/2006/relationships/hyperlink" Id="rId180" Target="https://doi.org/10.1086/jar.39.3.3629672" TargetMode="External" /><Relationship Type="http://schemas.openxmlformats.org/officeDocument/2006/relationships/hyperlink" Id="rId178"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205"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14"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0" Target="https://doi.org/10.2139/ssrn.7053279" TargetMode="External" /><Relationship Type="http://schemas.openxmlformats.org/officeDocument/2006/relationships/hyperlink" Id="rId174" Target="https://doi.org/10.2307/279544" TargetMode="External" /><Relationship Type="http://schemas.openxmlformats.org/officeDocument/2006/relationships/hyperlink" Id="rId176"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8"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233" Target="https://doi.org/10.2307/40035267" TargetMode="External" /><Relationship Type="http://schemas.openxmlformats.org/officeDocument/2006/relationships/hyperlink" Id="rId244" Target="https://doi.org/10.2307/4128416" TargetMode="External" /><Relationship Type="http://schemas.openxmlformats.org/officeDocument/2006/relationships/hyperlink" Id="rId161"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5"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9"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6"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2026-09-06T00:47:34Z</dcterms:created>
  <dcterms:modified xsi:type="dcterms:W3CDTF">2026-09-06T00:47:34Z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