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 (see</w:t>
      </w:r>
      <w:r>
        <w:t xml:space="preserve"> </w:t>
      </w:r>
      <w:hyperlink w:anchor="tbl-site-table">
        <w:r>
          <w:rPr>
            <w:rStyle w:val="Hyperlink"/>
          </w:rPr>
          <w:t xml:space="preserve">Table S 2</w:t>
        </w:r>
      </w:hyperlink>
      <w:r>
        <w:t xml:space="preserve"> </w:t>
      </w:r>
      <w:r>
        <w:t xml:space="preserve">and the full assignment basis in</w:t>
      </w:r>
      <w:r>
        <w:t xml:space="preserve"> </w:t>
      </w:r>
      <w:hyperlink w:anchor="tbl-site-objects-all">
        <w:r>
          <w:rPr>
            <w:rStyle w:val="Hyperlink"/>
          </w:rPr>
          <w:t xml:space="preserve">Table S 1</w:t>
        </w:r>
      </w:hyperlink>
      <w:r>
        <w:t xml:space="preserv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Spy, because its assemblage is too mixed to assign to a single phase reliably</w:t>
      </w:r>
      <w:r>
        <w:t xml:space="preserve"> </w:t>
      </w:r>
      <w:r>
        <w:t xml:space="preserve">[8,9]</w:t>
      </w:r>
      <w:r>
        <w:t xml:space="preserve">, and El Castillo, because the Aurignacian attribution of its unit 18 is debated</w:t>
      </w:r>
      <w:r>
        <w:t xml:space="preserve"> </w:t>
      </w:r>
      <w:r>
        <w:t xml:space="preserve">[10]</w:t>
      </w:r>
      <w:r>
        <w:t xml:space="preserve"> </w:t>
      </w:r>
      <w:r>
        <w:t xml:space="preserve">(see</w:t>
      </w:r>
      <w:r>
        <w:t xml:space="preserve"> </w:t>
      </w:r>
      <w:hyperlink w:anchor="tbl-excluded">
        <w:r>
          <w:rPr>
            <w:rStyle w:val="Hyperlink"/>
          </w:rPr>
          <w:t xml:space="preserve">Table S 5</w:t>
        </w:r>
      </w:hyperlink>
      <w:r>
        <w:t xml:space="preserve">). The robustness of these assignments to reverting to purely date-based criteria is tested in S1 §</w:t>
      </w:r>
      <w:r>
        <w:t xml:space="preserve">S1.5.5</w:t>
      </w:r>
      <w:r>
        <w:t xml:space="preserve">, where stratigraphic mixing concerns at Vogelherd are also addressed</w:t>
      </w:r>
      <w:r>
        <w:t xml:space="preserve"> </w:t>
      </w:r>
      <w:r>
        <w:t xml:space="preserve">[11]</w:t>
      </w:r>
      <w:r>
        <w:t xml:space="preserve">. We detail the rationale and procedure for assigning archaeological sites to Aurignacian phases further below (</w:t>
      </w:r>
      <w:r>
        <w:t xml:space="preserve">Section S2.2</w:t>
      </w:r>
      <w:r>
        <w:t xml:space="preserve">,</w:t>
      </w:r>
      <w:r>
        <w:t xml:space="preserve"> </w:t>
      </w:r>
      <w:r>
        <w:t xml:space="preserve">Section S2.3</w:t>
      </w:r>
      <w:r>
        <w:t xml:space="preserve">,</w:t>
      </w:r>
      <w:r>
        <w:t xml:space="preserve"> </w:t>
      </w:r>
      <w:r>
        <w:t xml:space="preserve">Section S2.4</w:t>
      </w:r>
      <w:r>
        <w:t xml:space="preserve">).</w:t>
      </w:r>
    </w:p>
    <w:bookmarkEnd w:id="21"/>
    <w:bookmarkStart w:id="23" w:name="sec-data-pipeline"/>
    <w:p>
      <w:pPr>
        <w:pStyle w:val="Heading2"/>
      </w:pPr>
      <w:r>
        <w:t xml:space="preserve">S2.2 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overridden. Date parsing handles both ends of date ranges, routes OSL ages around radiocarbon calibration, and uses IntCal20 explicitly. Sensitivity to variant choice is explored in Supplement S1. The resulting per-site assignment and basis are listed in</w:t>
      </w:r>
      <w:r>
        <w:t xml:space="preserve"> </w:t>
      </w:r>
      <w:hyperlink w:anchor="tbl-site-objects-all">
        <w:r>
          <w:rPr>
            <w:rStyle w:val="Hyperlink"/>
          </w:rPr>
          <w:t xml:space="preserve">Table S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site-objects-all"/>
          <w:tbl>
            <w:tblPr>
              <w:tblStyle w:val="Table"/>
              <w:tblW w:type="pct" w:w="5000"/>
              <w:tblLook w:firstRow="1" w:lastRow="0" w:firstColumn="0" w:lastColumn="0" w:noHBand="0" w:noVBand="0" w:val="0020"/>
              <w:jc w:val="start"/>
              <w:tblLayout w:type="fixed"/>
            </w:tblPr>
            <w:tblGrid>
              <w:gridCol w:w="1742"/>
              <w:gridCol w:w="950"/>
              <w:gridCol w:w="792"/>
              <w:gridCol w:w="1108"/>
              <w:gridCol w:w="3326"/>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c>
                <w:tcPr/>
                <w:p>
                  <w:pPr>
                    <w:pStyle w:val="Compact"/>
                    <w:jc w:val="left"/>
                    <w:jc w:val="left"/>
                  </w:pPr>
                  <w:r>
                    <w:t xml:space="preserve">Assignment</w:t>
                  </w:r>
                </w:p>
              </w:tc>
              <w:tc>
                <w:tcPr/>
                <w:p>
                  <w:pPr>
                    <w:pStyle w:val="Compact"/>
                    <w:jc w:val="left"/>
                    <w:jc w:val="left"/>
                  </w:pPr>
                  <w:r>
                    <w:t xml:space="preserve">Basis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 (Protoaurignacian throughout sequence</w:t>
                  </w:r>
                  <w:r>
                    <w:t xml:space="preserve"> </w:t>
                  </w:r>
                  <w:r>
                    <w:t xml:space="preserve">[12,13]</w:t>
                  </w:r>
                  <w:r>
                    <w:t xml:space="preserve">)</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Proto-Aurignacian, layer Cjn2</w:t>
                  </w:r>
                  <w:r>
                    <w:t xml:space="preserve"> </w:t>
                  </w:r>
                  <w:r>
                    <w:t xml:space="preserve">[14]</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c>
                <w:tcPr/>
                <w:p>
                  <w:pPr>
                    <w:pStyle w:val="Compact"/>
                    <w:jc w:val="left"/>
                    <w:jc w:val="left"/>
                  </w:pPr>
                  <w:r>
                    <w:t xml:space="preserve">technology</w:t>
                  </w:r>
                </w:p>
              </w:tc>
              <w:tc>
                <w:tcPr/>
                <w:p>
                  <w:pPr>
                    <w:pStyle w:val="Compact"/>
                    <w:jc w:val="left"/>
                    <w:jc w:val="left"/>
                  </w:pPr>
                  <w:r>
                    <w:t xml:space="preserve">Evolved Aurignacian</w:t>
                  </w:r>
                  <w:r>
                    <w:t xml:space="preserve"> </w:t>
                  </w:r>
                  <w:r>
                    <w:t xml:space="preserve">[15]</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[5,11]</w:t>
                  </w:r>
                </w:p>
              </w:tc>
            </w:tr>
          </w:tbl>
          <w:p>
            <w:pPr>
              <w:jc w:val="left"/>
            </w:pPr>
            <w:pPr>
              <w:jc w:val="start"/>
              <w:spacing w:before="200"/>
              <w:pStyle w:val="ImageCaption"/>
            </w:pPr>
            <w:r>
              <w:t xml:space="preserve">Table S 1: Retained sites with object counts and assignment basis.</w:t>
            </w:r>
          </w:p>
          <w:bookmarkEnd w:id="22"/>
        </w:tc>
      </w:tr>
    </w:tbl>
    <w:bookmarkEnd w:id="23"/>
    <w:bookmarkStart w:id="34" w:name="sec-literature-findings"/>
    <w:p>
      <w:pPr>
        <w:pStyle w:val="Heading2"/>
      </w:pPr>
      <w:r>
        <w:t xml:space="preserve">S2.3 Key literature findings</w:t>
      </w:r>
    </w:p>
    <w:bookmarkStart w:id="24"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Bataille and Conard</w:t>
      </w:r>
      <w:r>
        <w:t xml:space="preserve"> </w:t>
      </w:r>
      <w:r>
        <w:t xml:space="preserve">[5]</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Bataille and Conard</w:t>
      </w:r>
      <w:r>
        <w:t xml:space="preserve"> </w:t>
      </w:r>
      <w:r>
        <w:t xml:space="preserve">[6]</w:t>
      </w:r>
      <w:r>
        <w:t xml:space="preserve">: AH IIIa and IV share similar tool/core assemblages typical of the Swabian Aurignacian, forming a coherent upper unit that contrasts with AH V.</w:t>
      </w:r>
    </w:p>
    <w:p>
      <w:pPr>
        <w:numPr>
          <w:ilvl w:val="0"/>
          <w:numId w:val="1001"/>
        </w:numPr>
        <w:pStyle w:val="Compact"/>
      </w:pPr>
      <w:r>
        <w:t xml:space="preserve">Dinnis et al.</w:t>
      </w:r>
      <w:r>
        <w:t xml:space="preserve"> </w:t>
      </w:r>
      <w:r>
        <w:t xml:space="preserve">[7]</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¹⁴C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cal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 assemblage from Spy.</w:t>
      </w:r>
    </w:p>
    <w:bookmarkEnd w:id="24"/>
    <w:bookmarkStart w:id="25" w:name="X929d947406c212d8f968cd52856f51a1bb90040"/>
    <w:p>
      <w:pPr>
        <w:pStyle w:val="Heading3"/>
      </w:pPr>
      <w:r>
        <w:t xml:space="preserve">Geissenklösterle → Early Aurignacian (Aur-P1)</w:t>
      </w:r>
    </w:p>
    <w:p>
      <w:pPr>
        <w:numPr>
          <w:ilvl w:val="0"/>
          <w:numId w:val="1002"/>
        </w:numPr>
        <w:pStyle w:val="Compact"/>
      </w:pPr>
      <w:r>
        <w:t xml:space="preserve">Bataille and Conard</w:t>
      </w:r>
      <w:r>
        <w:t xml:space="preserve"> </w:t>
      </w:r>
      <w:r>
        <w:t xml:space="preserve">[5]</w:t>
      </w:r>
      <w:r>
        <w:t xml:space="preserve">: The Geissenklösterle Aurignacian (AH III and II) is assigned to the Early Aurignacian on technological grounds.</w:t>
      </w:r>
    </w:p>
    <w:p>
      <w:pPr>
        <w:numPr>
          <w:ilvl w:val="0"/>
          <w:numId w:val="1002"/>
        </w:numPr>
        <w:pStyle w:val="Compact"/>
      </w:pPr>
      <w:r>
        <w:t xml:space="preserve">Higham et al.</w:t>
      </w:r>
      <w:r>
        <w:t xml:space="preserve"> </w:t>
      </w:r>
      <w:r>
        <w:t xml:space="preserve">[16]</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cal BP) and AH III (~42.7 ka cal BP) fall within the Aur-P1 range, so the technology- and date-based assignments agree for this site. A reassessment places AH III later (~33–35 ka BP)</w:t>
      </w:r>
      <w:r>
        <w:t xml:space="preserve"> </w:t>
      </w:r>
      <w:r>
        <w:t xml:space="preserve">[17]</w:t>
      </w:r>
      <w:r>
        <w:t xml:space="preserve">, but this conflicts with the site’s own radiocarbon chronology and is not adopted here; the weight of the technological and stratigraphic evidence keeps both layers in Aur-P1.</w:t>
      </w:r>
    </w:p>
    <w:bookmarkEnd w:id="25"/>
    <w:bookmarkStart w:id="26"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S1 §</w:t>
      </w:r>
      <w:r>
        <w:t xml:space="preserve">S1.5.5</w:t>
      </w:r>
      <w:r>
        <w:t xml:space="preserve"> </w:t>
      </w:r>
      <w:r>
        <w:t xml:space="preserve">(Analysis B, exclusion of Vogelherd).</w:t>
      </w:r>
    </w:p>
    <w:p>
      <w:pPr>
        <w:numPr>
          <w:ilvl w:val="0"/>
          <w:numId w:val="1003"/>
        </w:numPr>
        <w:pStyle w:val="Compact"/>
      </w:pPr>
      <w:r>
        <w:t xml:space="preserve">Schürch and Conard</w:t>
      </w:r>
      <w:r>
        <w:t xml:space="preserve"> </w:t>
      </w:r>
      <w:r>
        <w:t xml:space="preserve">[11]</w:t>
      </w:r>
      <w:r>
        <w:t xml:space="preserve">: Reassesses cultural stratigraphy; AH IV–V are Aurignacian but with severe mixing (38 refit connections between layers); 15 radiocarbon dates span 42–34.5 ka cal BP; Gravettian also present.</w:t>
      </w:r>
    </w:p>
    <w:p>
      <w:pPr>
        <w:numPr>
          <w:ilvl w:val="0"/>
          <w:numId w:val="1003"/>
        </w:numPr>
        <w:pStyle w:val="Compact"/>
      </w:pPr>
      <w:r>
        <w:t xml:space="preserve">Schürch et al.</w:t>
      </w:r>
      <w:r>
        <w:t xml:space="preserve"> </w:t>
      </w:r>
      <w:r>
        <w:t xml:space="preserve">[18]</w:t>
      </w:r>
      <w:r>
        <w:t xml:space="preserve">: Blade/bladelet production analysis; mixing documented but majority of artifacts are Aurignacian.</w:t>
      </w:r>
    </w:p>
    <w:bookmarkEnd w:id="26"/>
    <w:bookmarkStart w:id="27" w:name="fumane-protoaurignacian"/>
    <w:p>
      <w:pPr>
        <w:pStyle w:val="Heading3"/>
      </w:pPr>
      <w:r>
        <w:t xml:space="preserve">Fumane → Protoaurignacian</w:t>
      </w:r>
    </w:p>
    <w:p>
      <w:pPr>
        <w:numPr>
          <w:ilvl w:val="0"/>
          <w:numId w:val="1004"/>
        </w:numPr>
        <w:pStyle w:val="Compact"/>
      </w:pPr>
      <w:r>
        <w:t xml:space="preserve">Falcucci et al.</w:t>
      </w:r>
      <w:r>
        <w:t xml:space="preserve"> </w:t>
      </w:r>
      <w:r>
        <w:t xml:space="preserve">[12]</w:t>
      </w:r>
      <w:r>
        <w:t xml:space="preserve">: Protoaurignacian techno-typology persists throughout sequence at Fumane (A2-A1 through D3).</w:t>
      </w:r>
    </w:p>
    <w:p>
      <w:pPr>
        <w:numPr>
          <w:ilvl w:val="0"/>
          <w:numId w:val="1004"/>
        </w:numPr>
        <w:pStyle w:val="Compact"/>
      </w:pPr>
      <w:r>
        <w:t xml:space="preserve">Falcucci et al.</w:t>
      </w:r>
      <w:r>
        <w:t xml:space="preserve"> </w:t>
      </w:r>
      <w:r>
        <w:t xml:space="preserve">[13]</w:t>
      </w:r>
      <w:r>
        <w:t xml:space="preserve">:</w:t>
      </w:r>
      <w:r>
        <w:t xml:space="preserve"> </w:t>
      </w:r>
      <w:r>
        <w:t xml:space="preserve">“</w:t>
      </w:r>
      <w:r>
        <w:t xml:space="preserve">Features of the Protoaurignacian techno-typology are present throughout the stratigraphic sequence.</w:t>
      </w:r>
      <w:r>
        <w:t xml:space="preserve">”</w:t>
      </w:r>
    </w:p>
    <w:bookmarkEnd w:id="27"/>
    <w:bookmarkStart w:id="28" w:name="la-ferrassie-early-aurignacian"/>
    <w:p>
      <w:pPr>
        <w:pStyle w:val="Heading3"/>
      </w:pPr>
      <w:r>
        <w:t xml:space="preserve">La Ferrassie → Early Aurignacian</w:t>
      </w:r>
    </w:p>
    <w:p>
      <w:pPr>
        <w:numPr>
          <w:ilvl w:val="0"/>
          <w:numId w:val="1005"/>
        </w:numPr>
        <w:pStyle w:val="Compact"/>
      </w:pPr>
      <w:r>
        <w:t xml:space="preserve">Talamo et al.</w:t>
      </w:r>
      <w:r>
        <w:t xml:space="preserve"> </w:t>
      </w:r>
      <w:r>
        <w:t xml:space="preserve">[3]</w:t>
      </w:r>
      <w:r>
        <w:t xml:space="preserve">: Technological attribution places La Ferrassie in the Early Aurignacian.</w:t>
      </w:r>
    </w:p>
    <w:bookmarkEnd w:id="28"/>
    <w:bookmarkStart w:id="29" w:name="abri-pataud-early-aurignacian"/>
    <w:p>
      <w:pPr>
        <w:pStyle w:val="Heading3"/>
      </w:pPr>
      <w:r>
        <w:t xml:space="preserve">Abri Pataud → Early Aurignacian</w:t>
      </w:r>
    </w:p>
    <w:p>
      <w:pPr>
        <w:numPr>
          <w:ilvl w:val="0"/>
          <w:numId w:val="1006"/>
        </w:numPr>
        <w:pStyle w:val="Compact"/>
      </w:pPr>
      <w:r>
        <w:t xml:space="preserve">Chiotti</w:t>
      </w:r>
      <w:r>
        <w:t xml:space="preserve"> </w:t>
      </w:r>
      <w:r>
        <w:t xml:space="preserve">[1]</w:t>
      </w:r>
      <w:r>
        <w:t xml:space="preserve">: Technological analysis assigns Abri Pataud to the Early Aurignacian.</w:t>
      </w:r>
    </w:p>
    <w:p>
      <w:pPr>
        <w:numPr>
          <w:ilvl w:val="0"/>
          <w:numId w:val="1006"/>
        </w:numPr>
        <w:pStyle w:val="Compact"/>
      </w:pPr>
      <w:r>
        <w:t xml:space="preserve">Higham et al.</w:t>
      </w:r>
      <w:r>
        <w:t xml:space="preserve"> </w:t>
      </w:r>
      <w:r>
        <w:t xml:space="preserve">[2]</w:t>
      </w:r>
      <w:r>
        <w:t xml:space="preserve">: Radiocarbon dating supports Early Aurignacian placement.</w:t>
      </w:r>
    </w:p>
    <w:bookmarkEnd w:id="29"/>
    <w:bookmarkStart w:id="30" w:name="mladeč-evolved-aurignacian"/>
    <w:p>
      <w:pPr>
        <w:pStyle w:val="Heading3"/>
      </w:pPr>
      <w:r>
        <w:t xml:space="preserve">Mladeč → Evolved Aurignacian</w:t>
      </w:r>
    </w:p>
    <w:p>
      <w:pPr>
        <w:numPr>
          <w:ilvl w:val="0"/>
          <w:numId w:val="1007"/>
        </w:numPr>
        <w:pStyle w:val="Compact"/>
      </w:pPr>
      <w:r>
        <w:t xml:space="preserve">Oliva</w:t>
      </w:r>
      <w:r>
        <w:t xml:space="preserve"> </w:t>
      </w:r>
      <w:r>
        <w:t xml:space="preserve">[15]</w:t>
      </w:r>
      <w:r>
        <w:t xml:space="preserve">: Technological and typological analysis assigns Mladeč to the Evolved Aurignacian.</w:t>
      </w:r>
    </w:p>
    <w:p>
      <w:pPr>
        <w:numPr>
          <w:ilvl w:val="0"/>
          <w:numId w:val="1007"/>
        </w:numPr>
        <w:pStyle w:val="Compact"/>
      </w:pPr>
      <w:r>
        <w:t xml:space="preserve">Wild et al.</w:t>
      </w:r>
      <w:r>
        <w:t xml:space="preserve"> </w:t>
      </w:r>
      <w:r>
        <w:t xml:space="preserve">[4]</w:t>
      </w:r>
      <w:r>
        <w:t xml:space="preserve">: Direct AMS dates of ~31 ka ¹⁴C BP (~35–36 ka cal BP) support an Evolved Aurignacian attribution.</w:t>
      </w:r>
    </w:p>
    <w:bookmarkEnd w:id="30"/>
    <w:bookmarkStart w:id="31" w:name="spy-excluded"/>
    <w:p>
      <w:pPr>
        <w:pStyle w:val="Heading3"/>
      </w:pPr>
      <w:r>
        <w:t xml:space="preserve">Spy → Excluded</w:t>
      </w:r>
    </w:p>
    <w:p>
      <w:pPr>
        <w:numPr>
          <w:ilvl w:val="0"/>
          <w:numId w:val="1008"/>
        </w:numPr>
        <w:pStyle w:val="Compact"/>
      </w:pPr>
      <w:r>
        <w:t xml:space="preserve">Flas et al.</w:t>
      </w:r>
      <w:r>
        <w:t xml:space="preserve"> </w:t>
      </w:r>
      <w:r>
        <w:t xml:space="preserve">[8]</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Flas</w:t>
      </w:r>
      <w:r>
        <w:t xml:space="preserve"> </w:t>
      </w:r>
      <w:r>
        <w:t xml:space="preserve">[9]</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Semal et al.</w:t>
      </w:r>
      <w:r>
        <w:t xml:space="preserve"> </w:t>
      </w:r>
      <w:r>
        <w:t xml:space="preserve">[19]</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1"/>
    <w:bookmarkStart w:id="32" w:name="gatzarria-proto-aurignacian"/>
    <w:p>
      <w:pPr>
        <w:pStyle w:val="Heading3"/>
      </w:pPr>
      <w:r>
        <w:t xml:space="preserve">Gatzarria → Proto-Aurignacian</w:t>
      </w:r>
    </w:p>
    <w:p>
      <w:pPr>
        <w:numPr>
          <w:ilvl w:val="0"/>
          <w:numId w:val="1009"/>
        </w:numPr>
        <w:pStyle w:val="Compact"/>
      </w:pPr>
      <w:r>
        <w:t xml:space="preserve">Barshay-Szmidt et al.</w:t>
      </w:r>
      <w:r>
        <w:t xml:space="preserve"> </w:t>
      </w:r>
      <w:r>
        <w:t xml:space="preserve">[14]</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Deschamps</w:t>
      </w:r>
      <w:r>
        <w:t xml:space="preserve"> </w:t>
      </w:r>
      <w:r>
        <w:t xml:space="preserve">[20]</w:t>
      </w:r>
      <w:r>
        <w:t xml:space="preserve">: Confirms complex stratigraphy and mixing concerns, but notes Cjn2 is internally coherent in the anterior zone.</w:t>
      </w:r>
    </w:p>
    <w:bookmarkEnd w:id="32"/>
    <w:bookmarkStart w:id="33" w:name="el-castillo-excluded"/>
    <w:p>
      <w:pPr>
        <w:pStyle w:val="Heading3"/>
      </w:pPr>
      <w:r>
        <w:t xml:space="preserve">El Castillo → Excluded</w:t>
      </w:r>
    </w:p>
    <w:p>
      <w:pPr>
        <w:numPr>
          <w:ilvl w:val="0"/>
          <w:numId w:val="1010"/>
        </w:numPr>
        <w:pStyle w:val="Compact"/>
      </w:pPr>
      <w:r>
        <w:t xml:space="preserve">Wood et al.</w:t>
      </w:r>
      <w:r>
        <w:t xml:space="preserve"> </w:t>
      </w:r>
      <w:r>
        <w:t xml:space="preserve">[10]</w:t>
      </w:r>
      <w:r>
        <w:t xml:space="preserve">: The SignBase objects come from layer 18b of the modern excavations. This unit is the basis of the proposed</w:t>
      </w:r>
      <w:r>
        <w:t xml:space="preserve"> </w:t>
      </w:r>
      <w:r>
        <w:t xml:space="preserve">“</w:t>
      </w:r>
      <w:r>
        <w:t xml:space="preserve">Transitional Aurignacian</w:t>
      </w:r>
      <w:r>
        <w:t xml:space="preserve">”</w:t>
      </w:r>
      <w:r>
        <w:t xml:space="preserve">, an interpretation that has been heavily debated, with criticism of the lithic and bone assemblages and of the chronology. Radiocarbon dates place unit 18 earlier than 42 ka cal BP, with no evidence of younger material in the new excavation area. Because the Aurignacian attribution of this unit is debated, we do not assign its objects to a phase.</w:t>
      </w:r>
    </w:p>
    <w:bookmarkEnd w:id="33"/>
    <w:bookmarkEnd w:id="34"/>
    <w:bookmarkStart w:id="50"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16 objects from 13 sites carry no geometric signs and are excluded upstream (see</w:t>
      </w:r>
      <w:r>
        <w:t xml:space="preserve"> </w:t>
      </w:r>
      <w:hyperlink w:anchor="tbl-zero-sign">
        <w:r>
          <w:rPr>
            <w:rStyle w:val="Hyperlink"/>
          </w:rPr>
          <w:t xml:space="preserve">Table S 9</w:t>
        </w:r>
      </w:hyperlink>
      <w:r>
        <w:t xml:space="preserve">). A further eight sites are removed from the sample before phase assignment: Willendorf, because its single object carries only a sign coded as</w:t>
      </w:r>
      <w:r>
        <w:t xml:space="preserve"> </w:t>
      </w:r>
      <w:r>
        <w:t xml:space="preserve">“</w:t>
      </w:r>
      <w:r>
        <w:t xml:space="preserve">other</w:t>
      </w:r>
      <w:r>
        <w:t xml:space="preserve">”</w:t>
      </w:r>
      <w:r>
        <w:t xml:space="preserve">; Riparo di Fontana Nuova, Muralovka, Shanidar Cave and Hayonim Cave, because of geographic isolation; El Salitre, because it lacks a reliable chronological context; and Grotte De La Princesse Pauline and Šandalja II, because they date much later than the other assemblages. After phase reclassification and the exclusion of Spy (mixed assemblage) and El Castillo (debated attribution; see</w:t>
      </w:r>
      <w:r>
        <w:t xml:space="preserve"> </w:t>
      </w:r>
      <w:hyperlink w:anchor="tbl-excluded">
        <w:r>
          <w:rPr>
            <w:rStyle w:val="Hyperlink"/>
          </w:rPr>
          <w:t xml:space="preserve">Table S 5</w:t>
        </w:r>
      </w:hyperlink>
      <w:r>
        <w:t xml:space="preserve">), the analysed sample retains</w:t>
      </w:r>
      <w:r>
        <w:t xml:space="preserve"> </w:t>
      </w:r>
      <w:r>
        <w:rPr>
          <w:bCs/>
          <w:b/>
        </w:rPr>
        <w:t xml:space="preserve">28 sites carrying 409 objects across 7 countries</w:t>
      </w:r>
      <w:r>
        <w:t xml:space="preserve">: Aur-P1 (Proto/Early) has 20 sites and 346 objects, Aur-P2 (Evolved/Late) has 9 sites and 63 objects.</w:t>
      </w:r>
      <w:r>
        <w:t xml:space="preserve"> </w:t>
      </w:r>
      <w:hyperlink w:anchor="tbl-site-table">
        <w:r>
          <w:rPr>
            <w:rStyle w:val="Hyperlink"/>
          </w:rPr>
          <w:t xml:space="preserve">Table S 2</w:t>
        </w:r>
      </w:hyperlink>
      <w:r>
        <w:t xml:space="preserve"> </w:t>
      </w:r>
      <w:r>
        <w:t xml:space="preserve">lists every retained site and its object count. Technology-based assignments are detailed in</w:t>
      </w:r>
      <w:r>
        <w:t xml:space="preserve"> </w:t>
      </w:r>
      <w:hyperlink w:anchor="tbl-tech-aurp1">
        <w:r>
          <w:rPr>
            <w:rStyle w:val="Hyperlink"/>
          </w:rPr>
          <w:t xml:space="preserve">Table S 3</w:t>
        </w:r>
      </w:hyperlink>
      <w:r>
        <w:t xml:space="preserve"> </w:t>
      </w:r>
      <w:r>
        <w:t xml:space="preserve">(Aur-P1) and</w:t>
      </w:r>
      <w:r>
        <w:t xml:space="preserve"> </w:t>
      </w:r>
      <w:hyperlink w:anchor="tbl-tech-aurp2">
        <w:r>
          <w:rPr>
            <w:rStyle w:val="Hyperlink"/>
          </w:rPr>
          <w:t xml:space="preserve">Table S 4</w:t>
        </w:r>
      </w:hyperlink>
      <w:r>
        <w:t xml:space="preserve"> </w:t>
      </w:r>
      <w:r>
        <w:t xml:space="preserve">(Aur-P2); date-based assignments in</w:t>
      </w:r>
      <w:r>
        <w:t xml:space="preserve"> </w:t>
      </w:r>
      <w:hyperlink w:anchor="tbl-date-aurp1">
        <w:r>
          <w:rPr>
            <w:rStyle w:val="Hyperlink"/>
          </w:rPr>
          <w:t xml:space="preserve">Table S 7</w:t>
        </w:r>
      </w:hyperlink>
      <w:r>
        <w:t xml:space="preserve"> </w:t>
      </w:r>
      <w:r>
        <w:t xml:space="preserve">(Aur-P1) and</w:t>
      </w:r>
      <w:r>
        <w:t xml:space="preserve"> </w:t>
      </w:r>
      <w:hyperlink w:anchor="tbl-date-aurp2">
        <w:r>
          <w:rPr>
            <w:rStyle w:val="Hyperlink"/>
          </w:rPr>
          <w:t xml:space="preserve">Table S 8</w:t>
        </w:r>
      </w:hyperlink>
      <w:r>
        <w:t xml:space="preserve"> </w:t>
      </w:r>
      <w:r>
        <w:t xml:space="preserve">(Aur-P2). Sites lost during date parsing are listed in</w:t>
      </w:r>
      <w:r>
        <w:t xml:space="preserve"> </w:t>
      </w:r>
      <w:hyperlink w:anchor="tbl-date-excluded">
        <w:r>
          <w:rPr>
            <w:rStyle w:val="Hyperlink"/>
          </w:rPr>
          <w:t xml:space="preserve">Table S 6</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5" w:name="tbl-site-table"/>
          <w:tbl>
            <w:tblPr>
              <w:tblStyle w:val="Table"/>
              <w:tblW w:type="pct" w:w="5000"/>
              <w:tblLook w:firstRow="1" w:lastRow="0" w:firstColumn="0" w:lastColumn="0" w:noHBand="0" w:noVBand="0" w:val="0020"/>
              <w:jc w:val="start"/>
              <w:tblLayout w:type="fixed"/>
            </w:tblPr>
            <w:tblGrid>
              <w:gridCol w:w="4752"/>
              <w:gridCol w:w="1584"/>
              <w:gridCol w:w="1584"/>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r>
          </w:tbl>
          <w:p>
            <w:pPr>
              <w:jc w:val="left"/>
            </w:pPr>
            <w:pPr>
              <w:jc w:val="start"/>
              <w:spacing w:before="200"/>
              <w:pStyle w:val="ImageCaption"/>
            </w:pPr>
            <w:r>
              <w:t xml:space="preserve">Table S 2: Sites and object counts after phase reclassification (Aur-P1 = Proto/Early, Aur-P2 = Evolved/Late).</w:t>
            </w:r>
          </w:p>
          <w:bookmarkEnd w:id="35"/>
        </w:tc>
      </w:tr>
    </w:tbl>
    <w:bookmarkStart w:id="37"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 (see</w:t>
      </w:r>
      <w:r>
        <w:t xml:space="preserve"> </w:t>
      </w:r>
      <w:hyperlink w:anchor="tbl-tech-aurp1">
        <w:r>
          <w:rPr>
            <w:rStyle w:val="Hyperlink"/>
          </w:rPr>
          <w:t xml:space="preserve">Table S 3</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tbl-tech-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Vogelherd</w:t>
                  </w:r>
                </w:p>
              </w:tc>
              <w:tc>
                <w:tcPr/>
                <w:p>
                  <w:pPr>
                    <w:pStyle w:val="Compact"/>
                    <w:jc w:val="left"/>
                    <w:jc w:val="left"/>
                  </w:pPr>
                  <w:r>
                    <w:t xml:space="preserve">173</w:t>
                  </w:r>
                </w:p>
              </w:tc>
              <w:tc>
                <w:tcPr/>
                <w:p>
                  <w:pPr>
                    <w:pStyle w:val="Compact"/>
                    <w:jc w:val="left"/>
                    <w:jc w:val="left"/>
                  </w:pPr>
                  <w:r>
                    <w:t xml:space="preserve">Early Aurignacian</w:t>
                  </w:r>
                  <w:r>
                    <w:t xml:space="preserve"> </w:t>
                  </w:r>
                  <w:r>
                    <w:t xml:space="preserve">[5,11]</w:t>
                  </w:r>
                </w:p>
              </w:tc>
            </w:tr>
            <w:tr>
              <w:tc>
                <w:tcPr/>
                <w:p>
                  <w:pPr>
                    <w:pStyle w:val="Compact"/>
                    <w:jc w:val="left"/>
                    <w:jc w:val="left"/>
                  </w:pPr>
                  <w:r>
                    <w:t xml:space="preserve">Geissenklösterle</w:t>
                  </w:r>
                </w:p>
              </w:tc>
              <w:tc>
                <w:tcPr/>
                <w:p>
                  <w:pPr>
                    <w:pStyle w:val="Compact"/>
                    <w:jc w:val="left"/>
                    <w:jc w:val="left"/>
                  </w:pPr>
                  <w:r>
                    <w:t xml:space="preserve">30</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La Ferrassie</w:t>
                  </w:r>
                </w:p>
              </w:tc>
              <w:tc>
                <w:tcPr/>
                <w:p>
                  <w:pPr>
                    <w:pStyle w:val="Compact"/>
                    <w:jc w:val="left"/>
                    <w:jc w:val="left"/>
                  </w:pPr>
                  <w:r>
                    <w:t xml:space="preserve">22</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Hohle Fels</w:t>
                  </w:r>
                </w:p>
              </w:tc>
              <w:tc>
                <w:tcPr/>
                <w:p>
                  <w:pPr>
                    <w:pStyle w:val="Compact"/>
                    <w:jc w:val="left"/>
                    <w:jc w:val="left"/>
                  </w:pPr>
                  <w:r>
                    <w:t xml:space="preserve">20</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Proto-Aurignacian, layer Cjn2</w:t>
                  </w:r>
                  <w:r>
                    <w:t xml:space="preserve"> </w:t>
                  </w:r>
                  <w:r>
                    <w:t xml:space="preserve">[14]</w:t>
                  </w:r>
                </w:p>
              </w:tc>
            </w:tr>
          </w:tbl>
          <w:p>
            <w:pPr>
              <w:jc w:val="left"/>
            </w:pPr>
            <w:pPr>
              <w:jc w:val="start"/>
              <w:spacing w:before="200"/>
              <w:pStyle w:val="ImageCaption"/>
            </w:pPr>
            <w:r>
              <w:t xml:space="preserve">Table S 3: Aur-P1 sites assigned by technology rather than radiocarbon date.</w:t>
            </w:r>
          </w:p>
          <w:bookmarkEnd w:id="36"/>
        </w:tc>
      </w:tr>
    </w:tbl>
    <w:bookmarkEnd w:id="37"/>
    <w:bookmarkStart w:id="39" w:name="X076eb53732cccd673d661c39585e38c9b7c9759"/>
    <w:p>
      <w:pPr>
        <w:pStyle w:val="Heading3"/>
      </w:pPr>
      <w:r>
        <w:t xml:space="preserve">Aur-P2 (Evolved/Late) — technology-based assignment</w:t>
      </w:r>
    </w:p>
    <w:p>
      <w:pPr>
        <w:pStyle w:val="FirstParagraph"/>
      </w:pPr>
      <w:r>
        <w:t xml:space="preserve">Mladeč and the upper horizons of Hohle Fels (AH IV, III and the II-series) are placed in Aur-P2 on technological grounds (see</w:t>
      </w:r>
      <w:r>
        <w:t xml:space="preserve"> </w:t>
      </w:r>
      <w:hyperlink w:anchor="tbl-tech-aurp2">
        <w:r>
          <w:rPr>
            <w:rStyle w:val="Hyperlink"/>
          </w:rPr>
          <w:t xml:space="preserve">Table S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8" w:name="tbl-tech-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Hohle Fels</w:t>
                  </w:r>
                </w:p>
              </w:tc>
              <w:tc>
                <w:tcPr/>
                <w:p>
                  <w:pPr>
                    <w:pStyle w:val="Compact"/>
                    <w:jc w:val="left"/>
                    <w:jc w:val="left"/>
                  </w:pPr>
                  <w:r>
                    <w:t xml:space="preserve">29</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Mladeč</w:t>
                  </w:r>
                </w:p>
              </w:tc>
              <w:tc>
                <w:tcPr/>
                <w:p>
                  <w:pPr>
                    <w:pStyle w:val="Compact"/>
                    <w:jc w:val="left"/>
                    <w:jc w:val="left"/>
                  </w:pPr>
                  <w:r>
                    <w:t xml:space="preserve">4</w:t>
                  </w:r>
                </w:p>
              </w:tc>
              <w:tc>
                <w:tcPr/>
                <w:p>
                  <w:pPr>
                    <w:pStyle w:val="Compact"/>
                    <w:jc w:val="left"/>
                    <w:jc w:val="left"/>
                  </w:pPr>
                  <w:r>
                    <w:t xml:space="preserve">Evolved Aurignacian</w:t>
                  </w:r>
                  <w:r>
                    <w:t xml:space="preserve"> </w:t>
                  </w:r>
                  <w:r>
                    <w:t xml:space="preserve">[15]</w:t>
                  </w:r>
                </w:p>
              </w:tc>
            </w:tr>
          </w:tbl>
          <w:p>
            <w:pPr>
              <w:jc w:val="left"/>
            </w:pPr>
            <w:pPr>
              <w:jc w:val="start"/>
              <w:spacing w:before="200"/>
              <w:pStyle w:val="ImageCaption"/>
            </w:pPr>
            <w:r>
              <w:t xml:space="preserve">Table S 4: Aur-P2 sites assigned by technology rather than radiocarbon date.</w:t>
            </w:r>
          </w:p>
          <w:bookmarkEnd w:id="38"/>
        </w:tc>
      </w:tr>
    </w:tbl>
    <w:bookmarkEnd w:id="39"/>
    <w:bookmarkStart w:id="41" w:name="Xbea03578033e329200c24c3fba54cf194a21f2d"/>
    <w:p>
      <w:pPr>
        <w:pStyle w:val="Heading3"/>
      </w:pPr>
      <w:r>
        <w:t xml:space="preserve">Excluded because of mixing or debated attribution</w:t>
      </w:r>
    </w:p>
    <w:p>
      <w:pPr>
        <w:pStyle w:val="FirstParagraph"/>
      </w:pPr>
      <w:r>
        <w:t xml:space="preserve">Two sites are excluded: Spy, because its assemblage is mixed, and El Castillo, because the Aurignacian attribution of its unit 18 is debated (see</w:t>
      </w:r>
      <w:r>
        <w:t xml:space="preserve"> </w:t>
      </w:r>
      <w:hyperlink w:anchor="tbl-excluded">
        <w:r>
          <w:rPr>
            <w:rStyle w:val="Hyperlink"/>
          </w:rPr>
          <w:t xml:space="preserve">Table S 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0" w:name="tbl-excluded"/>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El Castillo</w:t>
                  </w:r>
                </w:p>
              </w:tc>
              <w:tc>
                <w:tcPr/>
                <w:p>
                  <w:pPr>
                    <w:pStyle w:val="Compact"/>
                    <w:jc w:val="left"/>
                    <w:jc w:val="left"/>
                  </w:pPr>
                  <w:r>
                    <w:t xml:space="preserve">3</w:t>
                  </w:r>
                </w:p>
              </w:tc>
              <w:tc>
                <w:tcPr/>
                <w:p>
                  <w:pPr>
                    <w:pStyle w:val="Compact"/>
                    <w:jc w:val="left"/>
                    <w:jc w:val="left"/>
                  </w:pPr>
                  <w:r>
                    <w:t xml:space="preserve">Aurignacian attribution of unit 18 (the Transitional Aurignacian) is debated</w:t>
                  </w:r>
                  <w:r>
                    <w:t xml:space="preserve"> </w:t>
                  </w:r>
                  <w:r>
                    <w:t xml:space="preserve">[10]</w:t>
                  </w:r>
                </w:p>
              </w:tc>
            </w:tr>
            <w:tr>
              <w:tc>
                <w:tcPr/>
                <w:p>
                  <w:pPr>
                    <w:pStyle w:val="Compact"/>
                    <w:jc w:val="left"/>
                    <w:jc w:val="left"/>
                  </w:pPr>
                  <w:r>
                    <w:t xml:space="preserve">Spy</w:t>
                  </w:r>
                </w:p>
              </w:tc>
              <w:tc>
                <w:tcPr/>
                <w:p>
                  <w:pPr>
                    <w:pStyle w:val="Compact"/>
                    <w:jc w:val="left"/>
                    <w:jc w:val="left"/>
                  </w:pPr>
                  <w:r>
                    <w:t xml:space="preserve">25</w:t>
                  </w:r>
                </w:p>
              </w:tc>
              <w:tc>
                <w:tcPr/>
                <w:p>
                  <w:pPr>
                    <w:pStyle w:val="Compact"/>
                    <w:jc w:val="left"/>
                    <w:jc w:val="left"/>
                  </w:pPr>
                  <w:r>
                    <w:t xml:space="preserve">Mixed assemblage, no single Proto-Aurignacian attribution</w:t>
                  </w:r>
                  <w:r>
                    <w:t xml:space="preserve"> </w:t>
                  </w:r>
                  <w:r>
                    <w:t xml:space="preserve">[8,9,19]</w:t>
                  </w:r>
                </w:p>
              </w:tc>
            </w:tr>
          </w:tbl>
          <w:p>
            <w:pPr>
              <w:jc w:val="left"/>
            </w:pPr>
            <w:pPr>
              <w:jc w:val="start"/>
              <w:spacing w:before="200"/>
              <w:pStyle w:val="ImageCaption"/>
            </w:pPr>
            <w:r>
              <w:t xml:space="preserve">Table S 5: Sites excluded from the analysis because of a mixed assemblage (Spy) or a debated cultural attribution (El Castillo).</w:t>
            </w:r>
          </w:p>
          <w:bookmarkEnd w:id="40"/>
        </w:tc>
      </w:tr>
    </w:tbl>
    <w:bookmarkEnd w:id="41"/>
    <w:bookmarkStart w:id="43" w:name="X66c9cc182233bd002ab6e072ce477517bb113a6"/>
    <w:p>
      <w:pPr>
        <w:pStyle w:val="Heading3"/>
      </w:pPr>
      <w:r>
        <w:t xml:space="preserve">Sites excluded for date parsing (Category B + C)</w:t>
      </w:r>
    </w:p>
    <w:p>
      <w:pPr>
        <w:pStyle w:val="FirstParagraph"/>
      </w:pPr>
      <w:r>
        <w:t xml:space="preserve">We exclude 27 sites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 The full list is given in</w:t>
      </w:r>
      <w:r>
        <w:t xml:space="preserve"> </w:t>
      </w:r>
      <w:hyperlink w:anchor="tbl-date-excluded">
        <w:r>
          <w:rPr>
            <w:rStyle w:val="Hyperlink"/>
          </w:rPr>
          <w:t xml:space="preserve">Table S 6</w:t>
        </w:r>
      </w:hyperlink>
      <w:r>
        <w:t xml:space="preserve">.</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(26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2" w:name="tbl-date-excluded"/>
          <w:tbl>
            <w:tblPr>
              <w:tblStyle w:val="Table"/>
              <w:tblW w:type="pct" w:w="5000"/>
              <w:tblLook w:firstRow="1" w:lastRow="0" w:firstColumn="0" w:lastColumn="0" w:noHBand="0" w:noVBand="0" w:val="0020"/>
              <w:jc w:val="start"/>
              <w:tblLayout w:type="fixed"/>
            </w:tblPr>
            <w:tblGrid>
              <w:gridCol w:w="1742"/>
              <w:gridCol w:w="871"/>
              <w:gridCol w:w="871"/>
              <w:gridCol w:w="1029"/>
              <w:gridCol w:w="3405"/>
            </w:tblGrid>
            <w:tr>
              <w:trPr>
                <w:tblHeader w:val="true"/>
              </w:trPr>
              <w:tc>
                <w:tcPr/>
                <w:p>
                  <w:pPr>
                    <w:pStyle w:val="Compact"/>
                    <w:jc w:val="left"/>
                    <w:jc w:val="left"/>
                  </w:pPr>
                  <w:r>
                    <w:t xml:space="preserve">Site</w:t>
                  </w:r>
                </w:p>
              </w:tc>
              <w:tc>
                <w:tcPr/>
                <w:p>
                  <w:pPr>
                    <w:pStyle w:val="Compact"/>
                    <w:jc w:val="left"/>
                    <w:jc w:val="left"/>
                  </w:pPr>
                  <w:r>
                    <w:t xml:space="preserve">Category</w:t>
                  </w:r>
                </w:p>
              </w:tc>
              <w:tc>
                <w:tcPr/>
                <w:p>
                  <w:pPr>
                    <w:pStyle w:val="Compact"/>
                    <w:jc w:val="left"/>
                    <w:jc w:val="left"/>
                  </w:pPr>
                  <w:r>
                    <w:t xml:space="preserve">Objects</w:t>
                  </w:r>
                </w:p>
              </w:tc>
              <w:tc>
                <w:tcPr/>
                <w:p>
                  <w:pPr>
                    <w:pStyle w:val="Compact"/>
                    <w:jc w:val="left"/>
                    <w:jc w:val="left"/>
                  </w:pPr>
                  <w:r>
                    <w:t xml:space="preserve">Signed objects</w:t>
                  </w:r>
                </w:p>
              </w:tc>
              <w:tc>
                <w:tcPr/>
                <w:p>
                  <w:pPr>
                    <w:pStyle w:val="Compact"/>
                    <w:jc w:val="left"/>
                    <w:jc w:val="left"/>
                  </w:pPr>
                  <w:r>
                    <w:t xml:space="preserve">Exclusion reason</w:t>
                  </w:r>
                </w:p>
              </w:tc>
            </w:tr>
            <w:tr>
              <w:tc>
                <w:tcPr/>
                <w:p>
                  <w:pPr>
                    <w:pStyle w:val="Compact"/>
                    <w:jc w:val="left"/>
                    <w:jc w:val="left"/>
                  </w:pPr>
                  <w:r>
                    <w:t xml:space="preserve">Abri Lartet/Gorge d’Enfer</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Abri de Laussel</w:t>
                  </w:r>
                </w:p>
              </w:tc>
              <w:tc>
                <w:tcPr/>
                <w:p>
                  <w:pPr>
                    <w:pStyle w:val="Compact"/>
                    <w:jc w:val="left"/>
                    <w:jc w:val="left"/>
                  </w:pPr>
                  <w:r>
                    <w:t xml:space="preserve">B</w:t>
                  </w:r>
                </w:p>
              </w:tc>
              <w:tc>
                <w:tcPr/>
                <w:p>
                  <w:pPr>
                    <w:pStyle w:val="Compact"/>
                    <w:jc w:val="left"/>
                    <w:jc w:val="left"/>
                  </w:pPr>
                  <w:r>
                    <w:t xml:space="preserve">6</w:t>
                  </w:r>
                </w:p>
              </w:tc>
              <w:tc>
                <w:tcPr/>
                <w:p>
                  <w:pPr>
                    <w:pStyle w:val="Compact"/>
                    <w:jc w:val="left"/>
                    <w:jc w:val="left"/>
                  </w:pPr>
                  <w:r>
                    <w:t xml:space="preserve">4</w:t>
                  </w:r>
                </w:p>
              </w:tc>
              <w:tc>
                <w:tcPr/>
                <w:p>
                  <w:pPr>
                    <w:pStyle w:val="Compact"/>
                    <w:jc w:val="left"/>
                    <w:jc w:val="left"/>
                  </w:pPr>
                  <w:r>
                    <w:t xml:space="preserve">No date_bp_max_min</w:t>
                  </w:r>
                </w:p>
              </w:tc>
            </w:tr>
            <w:tr>
              <w:tc>
                <w:tcPr/>
                <w:p>
                  <w:pPr>
                    <w:pStyle w:val="Compact"/>
                    <w:jc w:val="left"/>
                    <w:jc w:val="left"/>
                  </w:pPr>
                  <w:r>
                    <w:t xml:space="preserve">Abri du Poisson</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Aurignac</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El Rascaño</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Göpfelsteinhöhle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Kvasice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La Souquette</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Le Terme Pialat</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Lhotka</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Menton/Grottes du Grimaldi</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Nová Dědina</w:t>
                  </w:r>
                </w:p>
              </w:tc>
              <w:tc>
                <w:tcPr/>
                <w:p>
                  <w:pPr>
                    <w:pStyle w:val="Compact"/>
                    <w:jc w:val="left"/>
                    <w:jc w:val="left"/>
                  </w:pPr>
                  <w:r>
                    <w:t xml:space="preserve">B</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No date_bp_max_min</w:t>
                  </w:r>
                </w:p>
              </w:tc>
            </w:tr>
            <w:tr>
              <w:tc>
                <w:tcPr/>
                <w:p>
                  <w:pPr>
                    <w:pStyle w:val="Compact"/>
                    <w:jc w:val="left"/>
                    <w:jc w:val="left"/>
                  </w:pPr>
                  <w:r>
                    <w:t xml:space="preserve">Otaslavice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Slatinice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d’Engihoul</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Žlutava</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No date_bp_max_min</w:t>
                  </w:r>
                </w:p>
              </w:tc>
            </w:tr>
            <w:tr>
              <w:tc>
                <w:tcPr/>
                <w:p>
                  <w:pPr>
                    <w:pStyle w:val="Compact"/>
                    <w:jc w:val="left"/>
                    <w:jc w:val="left"/>
                  </w:pPr>
                  <w:r>
                    <w:t xml:space="preserve">Brassempouy</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Breitenbach</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30000 - 27000; 26000 - 28 000 BP</w:t>
                  </w:r>
                  <w:r>
                    <w:t xml:space="preserve">’</w:t>
                  </w:r>
                  <w:r>
                    <w:t xml:space="preserve"> </w:t>
                  </w:r>
                  <w:r>
                    <w:t xml:space="preserve">(C14) has no ± error</w:t>
                  </w:r>
                </w:p>
              </w:tc>
            </w:tr>
            <w:tr>
              <w:tc>
                <w:tcPr/>
                <w:p>
                  <w:pPr>
                    <w:pStyle w:val="Compact"/>
                    <w:jc w:val="left"/>
                    <w:jc w:val="left"/>
                  </w:pPr>
                  <w:r>
                    <w:t xml:space="preserve">Grotte de Goyet</w:t>
                  </w:r>
                </w:p>
              </w:tc>
              <w:tc>
                <w:tcPr/>
                <w:p>
                  <w:pPr>
                    <w:pStyle w:val="Compact"/>
                    <w:jc w:val="left"/>
                    <w:jc w:val="left"/>
                  </w:pPr>
                  <w:r>
                    <w:t xml:space="preserve">C</w:t>
                  </w:r>
                </w:p>
              </w:tc>
              <w:tc>
                <w:tcPr/>
                <w:p>
                  <w:pPr>
                    <w:pStyle w:val="Compact"/>
                    <w:jc w:val="left"/>
                    <w:jc w:val="left"/>
                  </w:pPr>
                  <w:r>
                    <w:t xml:space="preserve">13</w:t>
                  </w:r>
                </w:p>
              </w:tc>
              <w:tc>
                <w:tcPr/>
                <w:p>
                  <w:pPr>
                    <w:pStyle w:val="Compact"/>
                    <w:jc w:val="left"/>
                    <w:jc w:val="left"/>
                  </w:pPr>
                  <w:r>
                    <w:t xml:space="preserve">12</w:t>
                  </w:r>
                </w:p>
              </w:tc>
              <w:tc>
                <w:tcPr/>
                <w:p>
                  <w:pPr>
                    <w:pStyle w:val="Compact"/>
                    <w:jc w:val="left"/>
                    <w:jc w:val="left"/>
                  </w:pPr>
                  <w:r>
                    <w:t xml:space="preserve">Date string</w:t>
                  </w:r>
                  <w:r>
                    <w:t xml:space="preserve"> </w:t>
                  </w:r>
                  <w:r>
                    <w:t xml:space="preserve">‘</w:t>
                  </w:r>
                  <w:r>
                    <w:t xml:space="preserve">35160 - 33140</w:t>
                  </w:r>
                  <w:r>
                    <w:t xml:space="preserve">’</w:t>
                  </w:r>
                  <w:r>
                    <w:t xml:space="preserve"> </w:t>
                  </w:r>
                  <w:r>
                    <w:t xml:space="preserve">(C14) has no ± error</w:t>
                  </w:r>
                </w:p>
              </w:tc>
            </w:tr>
            <w:tr>
              <w:tc>
                <w:tcPr/>
                <w:p>
                  <w:pPr>
                    <w:pStyle w:val="Compact"/>
                    <w:jc w:val="left"/>
                    <w:jc w:val="left"/>
                  </w:pPr>
                  <w:r>
                    <w:t xml:space="preserve">Hornos de la Pena</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Istállóskő Cave</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w:t>
                  </w:r>
                  <w:r>
                    <w:t xml:space="preserve"> </w:t>
                  </w:r>
                  <w:r>
                    <w:t xml:space="preserve">‘</w:t>
                  </w:r>
                  <w:r>
                    <w:t xml:space="preserve">35000 - 32000</w:t>
                  </w:r>
                  <w:r>
                    <w:t xml:space="preserve">’</w:t>
                  </w:r>
                  <w:r>
                    <w:t xml:space="preserve"> </w:t>
                  </w:r>
                  <w:r>
                    <w:t xml:space="preserve">(AMS) has no ± error</w:t>
                  </w:r>
                </w:p>
              </w:tc>
            </w:tr>
            <w:tr>
              <w:tc>
                <w:tcPr/>
                <w:p>
                  <w:pPr>
                    <w:pStyle w:val="Compact"/>
                    <w:jc w:val="left"/>
                    <w:jc w:val="left"/>
                  </w:pPr>
                  <w:r>
                    <w:t xml:space="preserve">Le Trou Du Renard</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Date string</w:t>
                  </w:r>
                  <w:r>
                    <w:t xml:space="preserve"> </w:t>
                  </w:r>
                  <w:r>
                    <w:t xml:space="preserve">‘</w:t>
                  </w:r>
                  <w:r>
                    <w:t xml:space="preserve">33000 - 32000</w:t>
                  </w:r>
                  <w:r>
                    <w:t xml:space="preserve">’</w:t>
                  </w:r>
                  <w:r>
                    <w:t xml:space="preserve"> </w:t>
                  </w:r>
                  <w:r>
                    <w:t xml:space="preserve">(C14) has no ± error</w:t>
                  </w:r>
                </w:p>
              </w:tc>
            </w:tr>
            <w:tr>
              <w:tc>
                <w:tcPr/>
                <w:p>
                  <w:pPr>
                    <w:pStyle w:val="Compact"/>
                    <w:jc w:val="left"/>
                    <w:jc w:val="left"/>
                  </w:pPr>
                  <w:r>
                    <w:t xml:space="preserve">Maisières-Canal</w:t>
                  </w:r>
                </w:p>
              </w:tc>
              <w:tc>
                <w:tcPr/>
                <w:p>
                  <w:pPr>
                    <w:pStyle w:val="Compact"/>
                    <w:jc w:val="left"/>
                    <w:jc w:val="left"/>
                  </w:pPr>
                  <w:r>
                    <w:t xml:space="preserve">C</w:t>
                  </w:r>
                </w:p>
              </w:tc>
              <w:tc>
                <w:tcPr/>
                <w:p>
                  <w:pPr>
                    <w:pStyle w:val="Compact"/>
                    <w:jc w:val="left"/>
                    <w:jc w:val="left"/>
                  </w:pPr>
                  <w:r>
                    <w:t xml:space="preserve">7</w:t>
                  </w:r>
                </w:p>
              </w:tc>
              <w:tc>
                <w:tcPr/>
                <w:p>
                  <w:pPr>
                    <w:pStyle w:val="Compact"/>
                    <w:jc w:val="left"/>
                    <w:jc w:val="left"/>
                  </w:pPr>
                  <w:r>
                    <w:t xml:space="preserve">5</w:t>
                  </w:r>
                </w:p>
              </w:tc>
              <w:tc>
                <w:tcPr/>
                <w:p>
                  <w:pPr>
                    <w:pStyle w:val="Compact"/>
                    <w:jc w:val="left"/>
                    <w:jc w:val="left"/>
                  </w:pPr>
                  <w:r>
                    <w:t xml:space="preserve">Date string</w:t>
                  </w:r>
                  <w:r>
                    <w:t xml:space="preserve"> </w:t>
                  </w:r>
                  <w:r>
                    <w:t xml:space="preserve">‘</w:t>
                  </w:r>
                  <w:r>
                    <w:t xml:space="preserve">33000 - 32000</w:t>
                  </w:r>
                  <w:r>
                    <w:t xml:space="preserve">’</w:t>
                  </w:r>
                  <w:r>
                    <w:t xml:space="preserve"> </w:t>
                  </w:r>
                  <w:r>
                    <w:t xml:space="preserve">(C14) has no ± error</w:t>
                  </w:r>
                </w:p>
              </w:tc>
            </w:tr>
            <w:tr>
              <w:tc>
                <w:tcPr/>
                <w:p>
                  <w:pPr>
                    <w:pStyle w:val="Compact"/>
                    <w:jc w:val="left"/>
                    <w:jc w:val="left"/>
                  </w:pPr>
                  <w:r>
                    <w:t xml:space="preserve">Peskő Cave</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38300 - 33500</w:t>
                  </w:r>
                  <w:r>
                    <w:t xml:space="preserve">’</w:t>
                  </w:r>
                  <w:r>
                    <w:t xml:space="preserve"> </w:t>
                  </w:r>
                  <w:r>
                    <w:t xml:space="preserve">(AMS) has no ± error</w:t>
                  </w:r>
                </w:p>
              </w:tc>
            </w:tr>
            <w:tr>
              <w:tc>
                <w:tcPr/>
                <w:p>
                  <w:pPr>
                    <w:pStyle w:val="Compact"/>
                    <w:jc w:val="left"/>
                    <w:jc w:val="left"/>
                  </w:pPr>
                  <w:r>
                    <w:t xml:space="preserve">Shelter Birów IV</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Tuto de Camalhot</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Date string</w:t>
                  </w:r>
                  <w:r>
                    <w:t xml:space="preserve"> </w:t>
                  </w:r>
                  <w:r>
                    <w:t xml:space="preserve">‘</w:t>
                  </w:r>
                  <w:r>
                    <w:t xml:space="preserve">34750</w:t>
                  </w:r>
                  <w:r>
                    <w:t xml:space="preserve">’</w:t>
                  </w:r>
                  <w:r>
                    <w:t xml:space="preserve"> </w:t>
                  </w:r>
                  <w:r>
                    <w:t xml:space="preserve">(C14) has no ± error</w:t>
                  </w:r>
                </w:p>
              </w:tc>
            </w:tr>
            <w:tr>
              <w:tc>
                <w:tcPr/>
                <w:p>
                  <w:pPr>
                    <w:pStyle w:val="Compact"/>
                    <w:jc w:val="left"/>
                    <w:jc w:val="left"/>
                  </w:pPr>
                  <w:r>
                    <w:t xml:space="preserve">Wildscheuer</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34300 - 30000</w:t>
                  </w:r>
                  <w:r>
                    <w:t xml:space="preserve">’</w:t>
                  </w:r>
                  <w:r>
                    <w:t xml:space="preserve"> </w:t>
                  </w:r>
                  <w:r>
                    <w:t xml:space="preserve">(C14) has no ± error</w:t>
                  </w:r>
                </w:p>
              </w:tc>
            </w:tr>
          </w:tbl>
          <w:p>
            <w:pPr>
              <w:jc w:val="left"/>
            </w:pPr>
            <w:pPr>
              <w:jc w:val="start"/>
              <w:spacing w:before="200"/>
              <w:pStyle w:val="ImageCaption"/>
            </w:pPr>
            <w:r>
              <w:t xml:space="preserve">Table S 6: Sites excluded during the date-parsing/calibration step. Category B = no date string; Category C = date string without an error term.</w:t>
            </w:r>
          </w:p>
          <w:bookmarkEnd w:id="42"/>
        </w:tc>
      </w:tr>
    </w:tbl>
    <w:p>
      <w:pPr>
        <w:pStyle w:val="SourceCode"/>
      </w:pPr>
      <w:r>
        <w:rPr>
          <w:rStyle w:val="VerbatimChar"/>
        </w:rPr>
        <w:t xml:space="preserve">**Summary:** 27 sites with 65 total objects (58 signed) failed date parsing. </w:t>
      </w:r>
    </w:p>
    <w:bookmarkEnd w:id="43"/>
    <w:bookmarkStart w:id="45"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 (see</w:t>
      </w:r>
      <w:r>
        <w:t xml:space="preserve"> </w:t>
      </w:r>
      <w:hyperlink w:anchor="tbl-date-aurp1">
        <w:r>
          <w:rPr>
            <w:rStyle w:val="Hyperlink"/>
          </w:rPr>
          <w:t xml:space="preserve">Table S 7</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4" w:name="tbl-date-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Cellier</w:t>
                  </w:r>
                </w:p>
              </w:tc>
              <w:tc>
                <w:tcPr/>
                <w:p>
                  <w:pPr>
                    <w:pStyle w:val="Compact"/>
                    <w:jc w:val="left"/>
                    <w:jc w:val="left"/>
                  </w:pPr>
                  <w:r>
                    <w:t xml:space="preserve">28</w:t>
                  </w:r>
                </w:p>
              </w:tc>
              <w:tc>
                <w:tcPr/>
                <w:p>
                  <w:pPr>
                    <w:pStyle w:val="Compact"/>
                    <w:jc w:val="left"/>
                    <w:jc w:val="left"/>
                  </w:pPr>
                  <w:r>
                    <w:t xml:space="preserve">MedianBP 37,799–39,799</w:t>
                  </w:r>
                </w:p>
              </w:tc>
            </w:tr>
            <w:tr>
              <w:tc>
                <w:tcPr/>
                <w:p>
                  <w:pPr>
                    <w:pStyle w:val="Compact"/>
                    <w:jc w:val="left"/>
                    <w:jc w:val="left"/>
                  </w:pPr>
                  <w:r>
                    <w:t xml:space="preserve">Castanet</w:t>
                  </w:r>
                </w:p>
              </w:tc>
              <w:tc>
                <w:tcPr/>
                <w:p>
                  <w:pPr>
                    <w:pStyle w:val="Compact"/>
                    <w:jc w:val="left"/>
                    <w:jc w:val="left"/>
                  </w:pPr>
                  <w:r>
                    <w:t xml:space="preserve">21</w:t>
                  </w:r>
                </w:p>
              </w:tc>
              <w:tc>
                <w:tcPr/>
                <w:p>
                  <w:pPr>
                    <w:pStyle w:val="Compact"/>
                    <w:jc w:val="left"/>
                    <w:jc w:val="left"/>
                  </w:pPr>
                  <w:r>
                    <w:t xml:space="preserve">MedianBP 37,799–39,799</w:t>
                  </w:r>
                </w:p>
              </w:tc>
            </w:tr>
            <w:tr>
              <w:tc>
                <w:tcPr/>
                <w:p>
                  <w:pPr>
                    <w:pStyle w:val="Compact"/>
                    <w:jc w:val="left"/>
                    <w:jc w:val="left"/>
                  </w:pPr>
                  <w:r>
                    <w:t xml:space="preserve">Blanchard</w:t>
                  </w:r>
                </w:p>
              </w:tc>
              <w:tc>
                <w:tcPr/>
                <w:p>
                  <w:pPr>
                    <w:pStyle w:val="Compact"/>
                    <w:jc w:val="left"/>
                    <w:jc w:val="left"/>
                  </w:pPr>
                  <w:r>
                    <w:t xml:space="preserve">18</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MedianBP &gt; 39,799</w:t>
                  </w:r>
                </w:p>
              </w:tc>
            </w:tr>
            <w:tr>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Solutré</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MedianBP 37,799–39,799</w:t>
                  </w:r>
                </w:p>
              </w:tc>
            </w:tr>
            <w:tr>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MedianBP &gt; 39,799 (Protoaurignacian throughout sequence</w:t>
                  </w:r>
                  <w:r>
                    <w:t xml:space="preserve"> </w:t>
                  </w:r>
                  <w:r>
                    <w:t xml:space="preserve">[12,13]</w:t>
                  </w:r>
                  <w:r>
                    <w:t xml:space="preserve">)</w:t>
                  </w:r>
                </w:p>
              </w:tc>
            </w:tr>
            <w:tr>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MedianBP 37,799–39,799</w:t>
                  </w:r>
                </w:p>
              </w:tc>
            </w:tr>
            <w:tr>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MedianBP &gt; 39,799</w:t>
                  </w:r>
                </w:p>
              </w:tc>
            </w:tr>
            <w:tr>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MedianBP 37,799–39,799</w:t>
                  </w:r>
                </w:p>
              </w:tc>
            </w:tr>
          </w:tbl>
          <w:p>
            <w:pPr>
              <w:jc w:val="left"/>
            </w:pPr>
            <w:pPr>
              <w:jc w:val="start"/>
              <w:spacing w:before="200"/>
              <w:pStyle w:val="ImageCaption"/>
            </w:pPr>
            <w:r>
              <w:t xml:space="preserve">Table S 7: Aur-P1 sites assigned by their calibrated radiocarbon date.</w:t>
            </w:r>
          </w:p>
          <w:bookmarkEnd w:id="44"/>
        </w:tc>
      </w:tr>
    </w:tbl>
    <w:bookmarkEnd w:id="45"/>
    <w:bookmarkStart w:id="47" w:name="aur-p2-evolvedlate-date-based-assignment"/>
    <w:p>
      <w:pPr>
        <w:pStyle w:val="Heading3"/>
      </w:pPr>
      <w:r>
        <w:t xml:space="preserve">Aur-P2 (Evolved/Late)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that fall in Aur-P2 (see</w:t>
      </w:r>
      <w:r>
        <w:t xml:space="preserve"> </w:t>
      </w:r>
      <w:hyperlink w:anchor="tbl-date-aurp2">
        <w:r>
          <w:rPr>
            <w:rStyle w:val="Hyperlink"/>
          </w:rPr>
          <w:t xml:space="preserve">Table S 8</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date-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Trou Magrite</w:t>
                  </w:r>
                </w:p>
              </w:tc>
              <w:tc>
                <w:tcPr/>
                <w:p>
                  <w:pPr>
                    <w:pStyle w:val="Compact"/>
                    <w:jc w:val="left"/>
                    <w:jc w:val="left"/>
                  </w:pPr>
                  <w:r>
                    <w:t xml:space="preserve">12</w:t>
                  </w:r>
                </w:p>
              </w:tc>
              <w:tc>
                <w:tcPr/>
                <w:p>
                  <w:pPr>
                    <w:pStyle w:val="Compact"/>
                    <w:jc w:val="left"/>
                    <w:jc w:val="left"/>
                  </w:pPr>
                  <w:r>
                    <w:t xml:space="preserve">MedianBP 31,999–37,799</w:t>
                  </w:r>
                </w:p>
              </w:tc>
            </w:tr>
            <w:tr>
              <w:tc>
                <w:tcPr/>
                <w:p>
                  <w:pPr>
                    <w:pStyle w:val="Compact"/>
                    <w:jc w:val="left"/>
                    <w:jc w:val="left"/>
                  </w:pPr>
                  <w:r>
                    <w:t xml:space="preserve">Gargas</w:t>
                  </w:r>
                </w:p>
              </w:tc>
              <w:tc>
                <w:tcPr/>
                <w:p>
                  <w:pPr>
                    <w:pStyle w:val="Compact"/>
                    <w:jc w:val="left"/>
                    <w:jc w:val="left"/>
                  </w:pPr>
                  <w:r>
                    <w:t xml:space="preserve">11</w:t>
                  </w:r>
                </w:p>
              </w:tc>
              <w:tc>
                <w:tcPr/>
                <w:p>
                  <w:pPr>
                    <w:pStyle w:val="Compact"/>
                    <w:jc w:val="left"/>
                    <w:jc w:val="left"/>
                  </w:pPr>
                  <w:r>
                    <w:t xml:space="preserve">MedianBP 31,999–37,799</w:t>
                  </w:r>
                </w:p>
              </w:tc>
            </w:tr>
            <w:tr>
              <w:tc>
                <w:tcPr/>
                <w:p>
                  <w:pPr>
                    <w:pStyle w:val="Compact"/>
                    <w:jc w:val="left"/>
                    <w:jc w:val="left"/>
                  </w:pPr>
                  <w:r>
                    <w:t xml:space="preserve">Bockstein-Törle</w:t>
                  </w:r>
                </w:p>
              </w:tc>
              <w:tc>
                <w:tcPr/>
                <w:p>
                  <w:pPr>
                    <w:pStyle w:val="Compact"/>
                    <w:jc w:val="left"/>
                    <w:jc w:val="left"/>
                  </w:pPr>
                  <w:r>
                    <w:t xml:space="preserve">3</w:t>
                  </w:r>
                </w:p>
              </w:tc>
              <w:tc>
                <w:tcPr/>
                <w:p>
                  <w:pPr>
                    <w:pStyle w:val="Compact"/>
                    <w:jc w:val="left"/>
                    <w:jc w:val="left"/>
                  </w:pPr>
                  <w:r>
                    <w:t xml:space="preserve">MedianBP 31,999–37,799</w:t>
                  </w:r>
                </w:p>
              </w:tc>
            </w:tr>
            <w:tr>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MedianBP 31,999–37,799</w:t>
                  </w:r>
                </w:p>
              </w:tc>
            </w:tr>
          </w:tbl>
          <w:p>
            <w:pPr>
              <w:jc w:val="left"/>
            </w:pPr>
            <w:pPr>
              <w:jc w:val="start"/>
              <w:spacing w:before="200"/>
              <w:pStyle w:val="ImageCaption"/>
            </w:pPr>
            <w:r>
              <w:t xml:space="preserve">Table S 8: Aur-P2 sites assigned by their calibrated radiocarbon date.</w:t>
            </w:r>
          </w:p>
          <w:bookmarkEnd w:id="46"/>
        </w:tc>
      </w:tr>
    </w:tbl>
    <w:bookmarkEnd w:id="47"/>
    <w:bookmarkStart w:id="49"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16 objects from 13 sites carry no geometric signs and are removed upstream by the</w:t>
      </w:r>
      <w:r>
        <w:t xml:space="preserve"> </w:t>
      </w:r>
      <w:r>
        <w:rPr>
          <w:rStyle w:val="VerbatimChar"/>
        </w:rPr>
        <w:t xml:space="preserve">sign_total &gt; 0</w:t>
      </w:r>
      <w:r>
        <w:t xml:space="preserve"> </w:t>
      </w:r>
      <w:r>
        <w:t xml:space="preserve">filter (see</w:t>
      </w:r>
      <w:r>
        <w:t xml:space="preserve"> </w:t>
      </w:r>
      <w:hyperlink w:anchor="tbl-zero-sign">
        <w:r>
          <w:rPr>
            <w:rStyle w:val="Hyperlink"/>
          </w:rPr>
          <w:t xml:space="preserve">Table S 9</w:t>
        </w:r>
      </w:hyperlink>
      <w:r>
        <w:t xml:space="preserve">). A site’s signed objects remain in the analysis only if the site also passes the date-parsing/calibration step (27 sites drop out there, see</w:t>
      </w:r>
      <w:r>
        <w:t xml:space="preserve"> </w:t>
      </w:r>
      <w:hyperlink w:anchor="tbl-date-excluded">
        <w:r>
          <w:rPr>
            <w:rStyle w:val="Hyperlink"/>
          </w:rPr>
          <w:t xml:space="preserve">Table S 6</w:t>
        </w:r>
      </w:hyperlink>
      <w:r>
        <w:t xml:space="preserv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8" w:name="tbl-zero-sign"/>
          <w:tbl>
            <w:tblPr>
              <w:tblStyle w:val="Table"/>
              <w:tblW w:type="pct" w:w="5000"/>
              <w:tblLook w:firstRow="1" w:lastRow="0" w:firstColumn="0" w:lastColumn="0" w:noHBand="0" w:noVBand="0" w:val="0020"/>
              <w:jc w:val="start"/>
              <w:tblLayout w:type="fixed"/>
            </w:tblPr>
            <w:tblGrid>
              <w:gridCol w:w="2059"/>
              <w:gridCol w:w="1742"/>
              <w:gridCol w:w="1425"/>
              <w:gridCol w:w="2692"/>
            </w:tblGrid>
            <w:tr>
              <w:trPr>
                <w:tblHeader w:val="true"/>
              </w:trPr>
              <w:tc>
                <w:tcPr/>
                <w:p>
                  <w:pPr>
                    <w:pStyle w:val="Compact"/>
                    <w:jc w:val="left"/>
                    <w:jc w:val="left"/>
                  </w:pPr>
                  <w:r>
                    <w:t xml:space="preserve">Site</w:t>
                  </w:r>
                </w:p>
              </w:tc>
              <w:tc>
                <w:tcPr/>
                <w:p>
                  <w:pPr>
                    <w:pStyle w:val="Compact"/>
                    <w:jc w:val="left"/>
                    <w:jc w:val="left"/>
                  </w:pPr>
                  <w:r>
                    <w:t xml:space="preserve">Objects without signs</w:t>
                  </w:r>
                </w:p>
              </w:tc>
              <w:tc>
                <w:tcPr/>
                <w:p>
                  <w:pPr>
                    <w:pStyle w:val="Compact"/>
                    <w:jc w:val="left"/>
                    <w:jc w:val="left"/>
                  </w:pPr>
                  <w:r>
                    <w:t xml:space="preserve">Signed objects</w:t>
                  </w:r>
                </w:p>
              </w:tc>
              <w:tc>
                <w:tcPr/>
                <w:p>
                  <w:pPr>
                    <w:pStyle w:val="Compact"/>
                    <w:jc w:val="left"/>
                    <w:jc w:val="left"/>
                  </w:pPr>
                  <w:r>
                    <w:t xml:space="preserve">In analysis?</w:t>
                  </w:r>
                </w:p>
              </w:tc>
            </w:tr>
            <w:tr>
              <w:tc>
                <w:tcPr/>
                <w:p>
                  <w:pPr>
                    <w:pStyle w:val="Compact"/>
                    <w:jc w:val="left"/>
                    <w:jc w:val="left"/>
                  </w:pPr>
                  <w:r>
                    <w:t xml:space="preserve">Abri de Laussel</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No (date parsing)</w:t>
                  </w:r>
                </w:p>
              </w:tc>
            </w:tr>
            <w:tr>
              <w:tc>
                <w:tcPr/>
                <w:p>
                  <w:pPr>
                    <w:pStyle w:val="Compact"/>
                    <w:jc w:val="left"/>
                    <w:jc w:val="left"/>
                  </w:pPr>
                  <w:r>
                    <w:t xml:space="preserve">Maisières-Canal</w:t>
                  </w:r>
                </w:p>
              </w:tc>
              <w:tc>
                <w:tcPr/>
                <w:p>
                  <w:pPr>
                    <w:pStyle w:val="Compact"/>
                    <w:jc w:val="left"/>
                    <w:jc w:val="left"/>
                  </w:pPr>
                  <w:r>
                    <w:t xml:space="preserve">2</w:t>
                  </w:r>
                </w:p>
              </w:tc>
              <w:tc>
                <w:tcPr/>
                <w:p>
                  <w:pPr>
                    <w:pStyle w:val="Compact"/>
                    <w:jc w:val="left"/>
                    <w:jc w:val="left"/>
                  </w:pPr>
                  <w:r>
                    <w:t xml:space="preserve">5</w:t>
                  </w:r>
                </w:p>
              </w:tc>
              <w:tc>
                <w:tcPr/>
                <w:p>
                  <w:pPr>
                    <w:pStyle w:val="Compact"/>
                    <w:jc w:val="left"/>
                    <w:jc w:val="left"/>
                  </w:pPr>
                  <w:r>
                    <w:t xml:space="preserve">No (date parsing)</w:t>
                  </w:r>
                </w:p>
              </w:tc>
            </w:tr>
            <w:tr>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Yes</w:t>
                  </w:r>
                </w:p>
              </w:tc>
            </w:tr>
            <w:tr>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18</w:t>
                  </w:r>
                </w:p>
              </w:tc>
              <w:tc>
                <w:tcPr/>
                <w:p>
                  <w:pPr>
                    <w:pStyle w:val="Compact"/>
                    <w:jc w:val="left"/>
                    <w:jc w:val="left"/>
                  </w:pPr>
                  <w:r>
                    <w:t xml:space="preserve">Yes</w:t>
                  </w:r>
                </w:p>
              </w:tc>
            </w:tr>
            <w:tr>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21</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28</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Yes</w:t>
                  </w:r>
                </w:p>
              </w:tc>
            </w:tr>
            <w:tr>
              <w:tc>
                <w:tcPr/>
                <w:p>
                  <w:pPr>
                    <w:pStyle w:val="Compact"/>
                    <w:jc w:val="left"/>
                    <w:jc w:val="left"/>
                  </w:pPr>
                  <w:r>
                    <w:t xml:space="preserve">Grotte de Goyet</w:t>
                  </w:r>
                </w:p>
              </w:tc>
              <w:tc>
                <w:tcPr/>
                <w:p>
                  <w:pPr>
                    <w:pStyle w:val="Compact"/>
                    <w:jc w:val="left"/>
                    <w:jc w:val="left"/>
                  </w:pPr>
                  <w:r>
                    <w:t xml:space="preserve">1</w:t>
                  </w:r>
                </w:p>
              </w:tc>
              <w:tc>
                <w:tcPr/>
                <w:p>
                  <w:pPr>
                    <w:pStyle w:val="Compact"/>
                    <w:jc w:val="left"/>
                    <w:jc w:val="left"/>
                  </w:pPr>
                  <w:r>
                    <w:t xml:space="preserve">12</w:t>
                  </w:r>
                </w:p>
              </w:tc>
              <w:tc>
                <w:tcPr/>
                <w:p>
                  <w:pPr>
                    <w:pStyle w:val="Compact"/>
                    <w:jc w:val="left"/>
                    <w:jc w:val="left"/>
                  </w:pPr>
                  <w:r>
                    <w:t xml:space="preserve">No (date parsing)</w:t>
                  </w:r>
                </w:p>
              </w:tc>
            </w:tr>
            <w:tr>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Yes</w:t>
                  </w:r>
                </w:p>
              </w:tc>
            </w:tr>
            <w:tr>
              <w:tc>
                <w:tcPr/>
                <w:p>
                  <w:pPr>
                    <w:pStyle w:val="Compact"/>
                    <w:jc w:val="left"/>
                    <w:jc w:val="left"/>
                  </w:pPr>
                  <w:r>
                    <w:t xml:space="preserve">Menton/Grottes du Grimaldi</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No (date parsing)</w:t>
                  </w:r>
                </w:p>
              </w:tc>
            </w:tr>
            <w:tr>
              <w:tc>
                <w:tcPr/>
                <w:p>
                  <w:pPr>
                    <w:pStyle w:val="Compact"/>
                    <w:jc w:val="left"/>
                    <w:jc w:val="left"/>
                  </w:pPr>
                  <w:r>
                    <w:t xml:space="preserve">Nová Dědina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No (date parsing)</w:t>
                  </w:r>
                </w:p>
              </w:tc>
            </w:tr>
            <w:tr>
              <w:tc>
                <w:tcPr/>
                <w:p>
                  <w:pPr>
                    <w:pStyle w:val="Compact"/>
                    <w:jc w:val="left"/>
                    <w:jc w:val="left"/>
                  </w:pPr>
                  <w:r>
                    <w:t xml:space="preserve">Spy</w:t>
                  </w:r>
                </w:p>
              </w:tc>
              <w:tc>
                <w:tcPr/>
                <w:p>
                  <w:pPr>
                    <w:pStyle w:val="Compact"/>
                    <w:jc w:val="left"/>
                    <w:jc w:val="left"/>
                  </w:pPr>
                  <w:r>
                    <w:t xml:space="preserve">1</w:t>
                  </w:r>
                </w:p>
              </w:tc>
              <w:tc>
                <w:tcPr/>
                <w:p>
                  <w:pPr>
                    <w:pStyle w:val="Compact"/>
                    <w:jc w:val="left"/>
                    <w:jc w:val="left"/>
                  </w:pPr>
                  <w:r>
                    <w:t xml:space="preserve">25</w:t>
                  </w:r>
                </w:p>
              </w:tc>
              <w:tc>
                <w:tcPr/>
                <w:p>
                  <w:pPr>
                    <w:pStyle w:val="Compact"/>
                    <w:jc w:val="left"/>
                    <w:jc w:val="left"/>
                  </w:pPr>
                  <w:r>
                    <w:t xml:space="preserve">No (excluded for mixing)</w:t>
                  </w:r>
                </w:p>
              </w:tc>
            </w:tr>
            <w:tr>
              <w:tc>
                <w:tcPr/>
                <w:p>
                  <w:pPr>
                    <w:pStyle w:val="Compact"/>
                    <w:jc w:val="left"/>
                    <w:jc w:val="left"/>
                  </w:pPr>
                  <w:r>
                    <w:t xml:space="preserve">Willendorf</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No (excluded before phase assignment)</w:t>
                  </w:r>
                </w:p>
              </w:tc>
            </w:tr>
          </w:tbl>
          <w:p>
            <w:pPr>
              <w:jc w:val="left"/>
            </w:pPr>
            <w:pPr>
              <w:jc w:val="start"/>
              <w:spacing w:before="200"/>
              <w:pStyle w:val="ImageCaption"/>
            </w:pPr>
            <w:r>
              <w:t xml:space="preserve">Table S 9: Sites contributing objects without geometric signs, and whether the site remains in the analysis.</w:t>
            </w:r>
          </w:p>
          <w:bookmarkEnd w:id="48"/>
        </w:tc>
      </w:tr>
    </w:tbl>
    <w:p>
      <w:pPr>
        <w:pStyle w:val="BodyText"/>
      </w:pPr>
      <w:r>
        <w:t xml:space="preserve">Of the sites in</w:t>
      </w:r>
      <w:r>
        <w:t xml:space="preserve"> </w:t>
      </w:r>
      <w:hyperlink w:anchor="tbl-zero-sign">
        <w:r>
          <w:rPr>
            <w:rStyle w:val="Hyperlink"/>
          </w:rPr>
          <w:t xml:space="preserve">Table S 9</w:t>
        </w:r>
      </w:hyperlink>
      <w:r>
        <w:t xml:space="preserve">, only Willendorf has no signed object, because its single object carries only a sign coded as</w:t>
      </w:r>
      <w:r>
        <w:t xml:space="preserve"> </w:t>
      </w:r>
      <w:r>
        <w:t xml:space="preserve">“</w:t>
      </w:r>
      <w:r>
        <w:t xml:space="preserve">other</w:t>
      </w:r>
      <w:r>
        <w:t xml:space="preserve">”</w:t>
      </w:r>
      <w:r>
        <w:t xml:space="preserve">. Spy is excluded because its assemblage is mixed (</w:t>
      </w:r>
      <w:hyperlink w:anchor="tbl-excluded">
        <w:r>
          <w:rPr>
            <w:rStyle w:val="Hyperlink"/>
          </w:rPr>
          <w:t xml:space="preserve">Table S 5</w:t>
        </w:r>
      </w:hyperlink>
      <w:r>
        <w:t xml:space="preserve">). The other</w:t>
      </w:r>
      <w:r>
        <w:t xml:space="preserve"> </w:t>
      </w:r>
      <w:r>
        <w:t xml:space="preserve">“</w:t>
      </w:r>
      <w:r>
        <w:t xml:space="preserve">No</w:t>
      </w:r>
      <w:r>
        <w:t xml:space="preserve">”</w:t>
      </w:r>
      <w:r>
        <w:t xml:space="preserve"> </w:t>
      </w:r>
      <w:r>
        <w:t xml:space="preserve">sites are lost at the date-parsing step, not because of the zero-sign filter.</w:t>
      </w:r>
    </w:p>
    <w:bookmarkEnd w:id="49"/>
    <w:bookmarkEnd w:id="50"/>
    <w:bookmarkStart w:id="91" w:name="references-cited"/>
    <w:p>
      <w:pPr>
        <w:pStyle w:val="Heading2"/>
      </w:pPr>
      <w:r>
        <w:t xml:space="preserve">References cited</w:t>
      </w:r>
    </w:p>
    <w:bookmarkStart w:id="90" w:name="refs"/>
    <w:bookmarkStart w:id="52"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51">
        <w:r>
          <w:rPr>
            <w:rStyle w:val="Hyperlink"/>
          </w:rPr>
          <w:t xml:space="preserve">10.30861/9781841718309</w:t>
        </w:r>
      </w:hyperlink>
    </w:p>
    <w:bookmarkEnd w:id="52"/>
    <w:bookmarkStart w:id="54"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53">
        <w:r>
          <w:rPr>
            <w:rStyle w:val="Hyperlink"/>
          </w:rPr>
          <w:t xml:space="preserve">10.1016/j.jhevol.2011.06.005</w:t>
        </w:r>
      </w:hyperlink>
    </w:p>
    <w:bookmarkEnd w:id="54"/>
    <w:bookmarkStart w:id="56"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55">
        <w:r>
          <w:rPr>
            <w:rStyle w:val="Hyperlink"/>
          </w:rPr>
          <w:t xml:space="preserve">10.1002/jqs.3236</w:t>
        </w:r>
      </w:hyperlink>
    </w:p>
    <w:bookmarkEnd w:id="56"/>
    <w:bookmarkStart w:id="58"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57">
        <w:r>
          <w:rPr>
            <w:rStyle w:val="Hyperlink"/>
          </w:rPr>
          <w:t xml:space="preserve">10.1038/nature03585</w:t>
        </w:r>
      </w:hyperlink>
    </w:p>
    <w:bookmarkEnd w:id="58"/>
    <w:bookmarkStart w:id="60"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 e0194097. doi:</w:t>
      </w:r>
      <w:hyperlink r:id="rId59">
        <w:r>
          <w:rPr>
            <w:rStyle w:val="Hyperlink"/>
          </w:rPr>
          <w:t xml:space="preserve">10.1371/journal.pone.0194097</w:t>
        </w:r>
      </w:hyperlink>
    </w:p>
    <w:bookmarkEnd w:id="60"/>
    <w:bookmarkStart w:id="62"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Quartar. 2018;65: 7–49. doi:</w:t>
      </w:r>
      <w:hyperlink r:id="rId61">
        <w:r>
          <w:rPr>
            <w:rStyle w:val="Hyperlink"/>
          </w:rPr>
          <w:t xml:space="preserve">10.7485/QU65_1</w:t>
        </w:r>
      </w:hyperlink>
    </w:p>
    <w:bookmarkEnd w:id="62"/>
    <w:bookmarkStart w:id="64"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 Prehist Soc. 2019;85: 29–60. doi:</w:t>
      </w:r>
      <w:hyperlink r:id="rId63">
        <w:r>
          <w:rPr>
            <w:rStyle w:val="Hyperlink"/>
          </w:rPr>
          <w:t xml:space="preserve">10.1017/ppr.2019.11</w:t>
        </w:r>
      </w:hyperlink>
    </w:p>
    <w:bookmarkEnd w:id="64"/>
    <w:bookmarkStart w:id="65"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Royal Belgian Institute of Natural Sciences, Royal Belgian Society of Anthropology; Prehistory,; NESPOS Society; 2013. pp. 231–255.</w:t>
      </w:r>
      <w:r>
        <w:t xml:space="preserve"> </w:t>
      </w:r>
    </w:p>
    <w:bookmarkEnd w:id="65"/>
    <w:bookmarkStart w:id="67"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Palethnology, Toulouse; 2015. pp. 57–75. doi:</w:t>
      </w:r>
      <w:hyperlink r:id="rId66">
        <w:r>
          <w:rPr>
            <w:rStyle w:val="Hyperlink"/>
          </w:rPr>
          <w:t xml:space="preserve">10.4000/palethnologie.736</w:t>
        </w:r>
      </w:hyperlink>
    </w:p>
    <w:bookmarkEnd w:id="67"/>
    <w:bookmarkStart w:id="69" w:name="ref-Wood_2018"/>
    <w:p>
      <w:pPr>
        <w:pStyle w:val="Bibliography"/>
      </w:pPr>
      <w:r>
        <w:t xml:space="preserve">10.</w:t>
      </w:r>
      <w:r>
        <w:t xml:space="preserve"> </w:t>
      </w:r>
      <w:r>
        <w:t xml:space="preserve">	</w:t>
      </w:r>
      <w:r>
        <w:t xml:space="preserve">Wood R, Bernaldo de Quirós F, Maíllo-Fernández J-M, Tejero J-M, Neira A, Higham T.</w:t>
      </w:r>
      <w:r>
        <w:t xml:space="preserve"> </w:t>
      </w:r>
      <w:r>
        <w:t xml:space="preserve">El Castillo</w:t>
      </w:r>
      <w:r>
        <w:t xml:space="preserve"> </w:t>
      </w:r>
      <w:r>
        <w:t xml:space="preserve">(</w:t>
      </w:r>
      <w:r>
        <w:t xml:space="preserve">Cantabria</w:t>
      </w:r>
      <w:r>
        <w:t xml:space="preserve">, northern</w:t>
      </w:r>
      <w:r>
        <w:t xml:space="preserve"> </w:t>
      </w:r>
      <w:r>
        <w:t xml:space="preserve">Iberia</w:t>
      </w:r>
      <w:r>
        <w:t xml:space="preserve">) and the</w:t>
      </w:r>
      <w:r>
        <w:t xml:space="preserve"> </w:t>
      </w:r>
      <w:r>
        <w:t xml:space="preserve">Transitional Aurignacian</w:t>
      </w:r>
      <w:r>
        <w:t xml:space="preserve">: Using radiocarbon dating to assess site taphonomy. Quat Int. 2018;474: 56–70. doi:</w:t>
      </w:r>
      <w:hyperlink r:id="rId68">
        <w:r>
          <w:rPr>
            <w:rStyle w:val="Hyperlink"/>
          </w:rPr>
          <w:t xml:space="preserve">10.1016/j.quaint.2016.03.005</w:t>
        </w:r>
      </w:hyperlink>
    </w:p>
    <w:bookmarkEnd w:id="69"/>
    <w:bookmarkStart w:id="71"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70">
        <w:r>
          <w:rPr>
            <w:rStyle w:val="Hyperlink"/>
          </w:rPr>
          <w:t xml:space="preserve">10.1007/s41982-025-00246-x</w:t>
        </w:r>
      </w:hyperlink>
    </w:p>
    <w:bookmarkEnd w:id="71"/>
    <w:bookmarkStart w:id="73" w:name="ref-Falcucci_Peresani_2017"/>
    <w:p>
      <w:pPr>
        <w:pStyle w:val="Bibliography"/>
      </w:pPr>
      <w:r>
        <w:t xml:space="preserve">12.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 e0189241. doi:</w:t>
      </w:r>
      <w:hyperlink r:id="rId72">
        <w:r>
          <w:rPr>
            <w:rStyle w:val="Hyperlink"/>
          </w:rPr>
          <w:t xml:space="preserve">10.1371/journal.pone.0189241</w:t>
        </w:r>
      </w:hyperlink>
    </w:p>
    <w:bookmarkEnd w:id="73"/>
    <w:bookmarkStart w:id="75" w:name="ref-falcucci2020breaking"/>
    <w:p>
      <w:pPr>
        <w:pStyle w:val="Bibliography"/>
      </w:pPr>
      <w:r>
        <w:t xml:space="preserve">13.</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 Anthropol Sci. 2020;98: 99–140. doi:</w:t>
      </w:r>
      <w:hyperlink r:id="rId74">
        <w:r>
          <w:rPr>
            <w:rStyle w:val="Hyperlink"/>
          </w:rPr>
          <w:t xml:space="preserve">10.4436/JASS.98021</w:t>
        </w:r>
      </w:hyperlink>
    </w:p>
    <w:bookmarkEnd w:id="75"/>
    <w:bookmarkStart w:id="77" w:name="ref-Barshay_Szmidt_2012"/>
    <w:p>
      <w:pPr>
        <w:pStyle w:val="Bibliography"/>
      </w:pPr>
      <w:r>
        <w:t xml:space="preserve">14.</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Paleo. 2012;23: 11–38. doi:</w:t>
      </w:r>
      <w:hyperlink r:id="rId76">
        <w:r>
          <w:rPr>
            <w:rStyle w:val="Hyperlink"/>
          </w:rPr>
          <w:t xml:space="preserve">10.4000/paleo.2250</w:t>
        </w:r>
      </w:hyperlink>
    </w:p>
    <w:bookmarkEnd w:id="77"/>
    <w:bookmarkStart w:id="79" w:name="ref-Oliva_2006"/>
    <w:p>
      <w:pPr>
        <w:pStyle w:val="Bibliography"/>
      </w:pPr>
      <w:r>
        <w:t xml:space="preserve">15.</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pp. 41–74. doi:</w:t>
      </w:r>
      <w:hyperlink r:id="rId78">
        <w:r>
          <w:rPr>
            <w:rStyle w:val="Hyperlink"/>
          </w:rPr>
          <w:t xml:space="preserve">10.1007/978-3-211-49294-9_4</w:t>
        </w:r>
      </w:hyperlink>
    </w:p>
    <w:bookmarkEnd w:id="79"/>
    <w:bookmarkStart w:id="81" w:name="ref-Higham_2012"/>
    <w:p>
      <w:pPr>
        <w:pStyle w:val="Bibliography"/>
      </w:pPr>
      <w:r>
        <w:t xml:space="preserve">16.</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 Hum Evol. 2012;62: 664–676. doi:</w:t>
      </w:r>
      <w:hyperlink r:id="rId80">
        <w:r>
          <w:rPr>
            <w:rStyle w:val="Hyperlink"/>
          </w:rPr>
          <w:t xml:space="preserve">10.1016/j.jhevol.2012.03.003</w:t>
        </w:r>
      </w:hyperlink>
    </w:p>
    <w:bookmarkEnd w:id="81"/>
    <w:bookmarkStart w:id="83" w:name="ref-zilhao2003aurignacian"/>
    <w:p>
      <w:pPr>
        <w:pStyle w:val="Bibliography"/>
      </w:pPr>
      <w:r>
        <w:t xml:space="preserve">17.</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2003; 69–86. doi:</w:t>
      </w:r>
      <w:hyperlink r:id="rId82">
        <w:r>
          <w:rPr>
            <w:rStyle w:val="Hyperlink"/>
          </w:rPr>
          <w:t xml:space="preserve">10.4000/paleo.1231</w:t>
        </w:r>
      </w:hyperlink>
    </w:p>
    <w:bookmarkEnd w:id="83"/>
    <w:bookmarkStart w:id="85" w:name="ref-Schurch_et_al_2025_bladelet"/>
    <w:p>
      <w:pPr>
        <w:pStyle w:val="Bibliography"/>
      </w:pPr>
      <w:r>
        <w:t xml:space="preserve">18.</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 e0331921. doi:</w:t>
      </w:r>
      <w:hyperlink r:id="rId84">
        <w:r>
          <w:rPr>
            <w:rStyle w:val="Hyperlink"/>
          </w:rPr>
          <w:t xml:space="preserve">10.1371/journal.pone.0331921</w:t>
        </w:r>
      </w:hyperlink>
    </w:p>
    <w:bookmarkEnd w:id="85"/>
    <w:bookmarkStart w:id="87" w:name="ref-Semal_2009"/>
    <w:p>
      <w:pPr>
        <w:pStyle w:val="Bibliography"/>
      </w:pPr>
      <w:r>
        <w:t xml:space="preserve">19.</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 J Phys Anthropol. 2009;138: 421–428. doi:</w:t>
      </w:r>
      <w:hyperlink r:id="rId86">
        <w:r>
          <w:rPr>
            <w:rStyle w:val="Hyperlink"/>
          </w:rPr>
          <w:t xml:space="preserve">10.1002/ajpa.20954</w:t>
        </w:r>
      </w:hyperlink>
    </w:p>
    <w:bookmarkEnd w:id="87"/>
    <w:bookmarkStart w:id="89" w:name="ref-Deschamps_2019"/>
    <w:p>
      <w:pPr>
        <w:pStyle w:val="Bibliography"/>
      </w:pPr>
      <w:r>
        <w:t xml:space="preserve">20.</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 R Palevol. 2019;18: 569–586. doi:</w:t>
      </w:r>
      <w:hyperlink r:id="rId88">
        <w:r>
          <w:rPr>
            <w:rStyle w:val="Hyperlink"/>
          </w:rPr>
          <w:t xml:space="preserve">10.1016/j.crpv.2019.04.001</w:t>
        </w:r>
      </w:hyperlink>
    </w:p>
    <w:bookmarkEnd w:id="89"/>
    <w:bookmarkEnd w:id="90"/>
    <w:bookmarkEnd w:id="9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6"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8" Target="https://doi.org/10.1007/978-3-211-49294-9_4" TargetMode="External" /><Relationship Type="http://schemas.openxmlformats.org/officeDocument/2006/relationships/hyperlink" Id="rId70" Target="https://doi.org/10.1007/s41982-025-00246-x" TargetMode="External" /><Relationship Type="http://schemas.openxmlformats.org/officeDocument/2006/relationships/hyperlink" Id="rId88"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80" Target="https://doi.org/10.1016/j.jhevol.2012.03.003" TargetMode="External" /><Relationship Type="http://schemas.openxmlformats.org/officeDocument/2006/relationships/hyperlink" Id="rId68" Target="https://doi.org/10.1016/j.quaint.2016.03.005"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2"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4"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2" Target="https://doi.org/10.4000/paleo.1231" TargetMode="External" /><Relationship Type="http://schemas.openxmlformats.org/officeDocument/2006/relationships/hyperlink" Id="rId76"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4"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8" Target="https://doi.org/10.1007/978-3-211-49294-9_4" TargetMode="External" /><Relationship Type="http://schemas.openxmlformats.org/officeDocument/2006/relationships/hyperlink" Id="rId70" Target="https://doi.org/10.1007/s41982-025-00246-x" TargetMode="External" /><Relationship Type="http://schemas.openxmlformats.org/officeDocument/2006/relationships/hyperlink" Id="rId88"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80" Target="https://doi.org/10.1016/j.jhevol.2012.03.003" TargetMode="External" /><Relationship Type="http://schemas.openxmlformats.org/officeDocument/2006/relationships/hyperlink" Id="rId68" Target="https://doi.org/10.1016/j.quaint.2016.03.005"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2"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4"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2" Target="https://doi.org/10.4000/paleo.1231" TargetMode="External" /><Relationship Type="http://schemas.openxmlformats.org/officeDocument/2006/relationships/hyperlink" Id="rId76"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4"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2026-10-16T20:56:01Z</dcterms:created>
  <dcterms:modified xsi:type="dcterms:W3CDTF">2026-10-16T20:56:01Z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