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extensive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assemblages assigned to the Proto- and Early Aurignacian may be contemporaneous</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before phase assignment: Willendorf, because its single object carries only a sign classified as</w:t>
      </w:r>
      <w:r>
        <w:t xml:space="preserve"> </w:t>
      </w:r>
      <w:r>
        <w:t xml:space="preserve">“</w:t>
      </w:r>
      <w:r>
        <w:t xml:space="preserve">other</w:t>
      </w:r>
      <w:r>
        <w:t xml:space="preserve">”</w:t>
      </w:r>
      <w:r>
        <w:t xml:space="preserve">; Riparo di Fontana Nuova, Muralovka, Shanidar Cave and Hayonim Cave, because they are geographically remote from the other sites; El Salitre, because it lacks a reliable chronological and archaeological context; and Grotte De La Princesse Pauline and Šandalja II, because they date much later than the other assemblages.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We assigned each object to a chronological phase in one of two ways (S2). For Abri Pataud, Gatzarria, Geissenklösterle, Hohle Fels, La Ferrassie, Mladeč and Vogelherd, we followed specialist technological attributions in the published literature, because the radiocarbon dates of these sites can conflict with the archaeological content of their layers. We assigned the objects from all other sites by their calibrated radiocarbon dates (</w:t>
      </w:r>
      <w:hyperlink w:anchor="tbl-aur-table">
        <w:r>
          <w:rPr>
            <w:rStyle w:val="Hyperlink"/>
          </w:rPr>
          <w:t xml:space="preserve">Table 1</w:t>
        </w:r>
      </w:hyperlink>
      <w:r>
        <w:t xml:space="preserve">).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on all 409 objects found a weak but statistically significant correlation between distance in time and sign-type composition (R = 0.062, p = 0.005). This test treats each object as an independent observation. But many objects from the same site share one calibrated date, so the test overstates the number of independent observations (S1 §</w:t>
      </w:r>
      <w:r>
        <w:t xml:space="preserve">S1.8.3</w:t>
      </w:r>
      <w:r>
        <w:t xml:space="preserve">). The small R also shows that temporal distance explains only a small part of the variation in sign-type composition. We therefore repeated the test at the site level with a time-lag analysis (S1 §</w:t>
      </w:r>
      <w:r>
        <w:t xml:space="preserve">S1.8.3</w:t>
      </w:r>
      <w:r>
        <w:t xml:space="preserve">). We grouped all 28 sites (378 site pairs) by their absolute temporal separation (|ΔMedianBP|) and tested whether Jaccard sign dissimilarity increases with this separation. It does not. The Spearman correlation between temporal separation and dissimilarity is -0.04 (p = 0.39) for all pairs and -0.04 (p = 0.58) for pairs in the same phase. Sites in different phases are not more dissimilar (mean Jaccard 0.73) than sites in the same phase (0.76). Thus the site-level data give no evidence of time-structured change in sign repertoires. This result does not show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Neither phase has a statistically significant positive correlation between sign-type dissimilarity and geographic distance (</w:t>
      </w:r>
      <w:hyperlink w:anchor="tbl-mantel-table">
        <w:r>
          <w:rPr>
            <w:rStyle w:val="Hyperlink"/>
          </w:rPr>
          <w:t xml:space="preserve">Table 2</w:t>
        </w:r>
      </w:hyperlink>
      <w:r>
        <w:t xml:space="preserve">). In Aur-P2 the correlation is negative: sites that are further apart tend to have more similar sign repertoires, which is the opposite of the pattern that isolation by distance predicts. The Mantel test is one-sided, so it does not test this negative association. This result provides no evidence of isolation by distance in the analysed sample. It does not show that isolation by distance is absent. The object-within-site bootstrap intervals in</w:t>
      </w:r>
      <w:r>
        <w:t xml:space="preserve"> </w:t>
      </w:r>
      <w:hyperlink w:anchor="tbl-mantel-table">
        <w:r>
          <w:rPr>
            <w:rStyle w:val="Hyperlink"/>
          </w:rPr>
          <w:t xml:space="preserve">Table 2</w:t>
        </w:r>
      </w:hyperlink>
      <w:r>
        <w:t xml:space="preserve"> </w:t>
      </w:r>
      <w:r>
        <w:t xml:space="preserve">show only how stable R is when objects are resampled within the same sites; they do not measure statistical power. Our design calculations show that, at these sample sizes, the test can detect only correlations of moderate size or larger in Aur-P1, and only strong correlations in Aur-P2 (S1 §</w:t>
      </w:r>
      <w:r>
        <w:t xml:space="preserve">S1.13</w:t>
      </w:r>
      <w:r>
        <w:t xml:space="preserve">). We also fitted a multiple regression on distance matrices, with sign dissimilarity as the response and geographic, temporal and object-count distances as predictors (S1 §</w:t>
      </w:r>
      <w:r>
        <w:t xml:space="preserve">S1.8.2</w:t>
      </w:r>
      <w:r>
        <w:t xml:space="preserve">). None of the three predictors is significant in either phase, so this analysis does not identify a specific alternative process. A Mantel correlogram did not detect spatial structure at short distances in either phase; one long-distance class in Aur-P2 is nominally significant (S1 §</w:t>
      </w:r>
      <w:r>
        <w:t xml:space="preserve">S1.4.3</w:t>
      </w:r>
      <w:r>
        <w:t xml:space="preserve">). As a check outside the Mantel framework, we fitted a distance-based redundancy analysis</w:t>
      </w:r>
      <w:r>
        <w:t xml:space="preserve"> </w:t>
      </w:r>
      <w:r>
        <w:t xml:space="preserve">[33]</w:t>
      </w:r>
      <w:r>
        <w:t xml:space="preserve"> </w:t>
      </w:r>
      <w:r>
        <w:t xml:space="preserve">of the site Jaccard dissimilarity matrix on a linear geographic trend surface (longitude + latitude, with the same specification in both phases; S1 §</w:t>
      </w:r>
      <w:r>
        <w:t xml:space="preserve">S1.4.4</w:t>
      </w:r>
      <w:r>
        <w:t xml:space="preserve">). It detects a weak linear geographic trend in Aur-P1 (R² = 0.156, adjusted R² = 0.057, p = 0.038) but no signal in Aur-P2 (R² = 0.191, adjusted R² = -0.078, p = 0.85). The Aur-P1 trend explains only 6% of the variation (adjusted R²). A regression of the first PCoA axis on richness, longitude and latitude also finds a significant east–west component in Aur-P1 after richness is controlled (S1 §</w:t>
      </w:r>
      <w:r>
        <w:t xml:space="preserve">S1.3.3</w:t>
      </w:r>
      <w:r>
        <w:t xml:space="preserve">). We interpret these results, at most, as a weak geographic gradient in Aur-P1, not as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composition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In each of 1,000 replicates, we drew 80% of the sites without replacement, divided them into two clusters by hierarchical clustering of their Jaccard dissimilarities, and recorded which pairs of sites fell in the same cluster (S1 §</w:t>
      </w:r>
      <w:r>
        <w:t xml:space="preserve">S1.9.2</w:t>
      </w:r>
      <w:r>
        <w:t xml:space="preserve">).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when sites are subsampled.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all three models, most broad-range sites fall in one block and most restricted-range sites fall in other blocks. The Bernoulli and Gaussian models also place Labeko Koba, Les Cottés and Trou al’Wesse in a small separate block, and the Gaussian model divides the remaining restricted-range sites into two blocks. The Poisson model places Les Cottés and Trou al’Wesse in their own block, and places Grotte du Renne with the restricted-range sites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95% interval of the null distribution,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consistent with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one-sided test examines modularity alone (S1 §</w:t>
      </w:r>
      <w:r>
        <w:t xml:space="preserve">S1.7.2</w:t>
      </w:r>
      <w:r>
        <w:t xml:space="preserve">). It compares the observed modularity of each phase with the modularity of random sets of site-phase assemblages, drawn from both phases, with the same number of sites as the phase. The observed modularity is not significantly higher than this null expectation in either phase at thresholds of 0.1, 0.2 or 0.3 (smallest p across the six tests = 0.226; threshold 0.2: Aur-P1 observed 0.336, null mean 0.299, p = 0.226; Aur-P2 observed 0.161, null mean 0.243, p = 0.752).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three conditions, Aur-P1 keeps a higher raw mean degree than Aur-P2 (Aur-P1: 7.50 at baseline, 7.26 without Vogelherd, 7.40 without figurines; Aur-P2: 4.22). This raw difference comes from the larger number of sites in Aur-P1, not from higher connectivity: after correction for network size, the mean-degree ratios are close to 1.0 in both phases (S1 §</w:t>
      </w:r>
      <w:r>
        <w:t xml:space="preserve">S1.7.6</w:t>
      </w:r>
      <w:r>
        <w:t xml:space="preserve">). Excluding Vogelherd removes 8% of the Aur-P1 edges and reduces the Aur-P1 mean degree by 3.2%, but it does not change the pattern of restricted and broad repertoires within each phase. Thus our conclusions do not depend on Vogelherd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r>
              <w:t xml:space="preserve">.</w:t>
            </w:r>
          </w:p>
          <w:bookmarkEnd w:id="49"/>
        </w:tc>
      </w:tr>
    </w:tbl>
    <w:p>
      <w:pPr>
        <w:pStyle w:val="BodyText"/>
      </w:pPr>
      <w:r>
        <w:t xml:space="preserve">Spatial clusters are not strongly evident (</w:t>
      </w:r>
      <w:hyperlink w:anchor="fig-group-map">
        <w:r>
          <w:rPr>
            <w:rStyle w:val="Hyperlink"/>
          </w:rPr>
          <w:t xml:space="preserve">Figure 5</w:t>
        </w:r>
      </w:hyperlink>
      <w:r>
        <w:t xml:space="preserve">), likely due to the small numbers of sites in each phase. In Aur-P1, sites are distributed widely across Western and Central Europe, with some geographic overlapping between the restricted- and broad-range groups, consistent with the connectivity between sign-use groups evident in the network analysis. Sites retained in the Aur-P2 sample appear more widely dispersed on the map. This appearance reflects the much smaller sample of this phase, so these data do not support a claim of demographic expansion. We also divided the sites into groups by location alone, with Partitioning Around Medoids (PAM) on the geodesic distances between sites (S1 §</w:t>
      </w:r>
      <w:r>
        <w:t xml:space="preserve">S1.8.4</w:t>
      </w:r>
      <w:r>
        <w:t xml:space="preserve">). In Aur-P1, the two-group PAM solution separates western sites, mainly in the Dordogne, where many signs are on limestone blocks, from central European sites, mainly in the Swabian Jura, where many signs are on ivory objects. This geographic division does not explain a significant part of the variation in sign composition in either phase (S1 §</w:t>
      </w:r>
      <w:r>
        <w:t xml:space="preserve">S1.8.4</w:t>
      </w:r>
      <w:r>
        <w:t xml:space="preserve">). Any regional difference in these data may also reflect differences in the history and intensity of archaeological research and in the types of objects recovered, rather than distinct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intervals describe the stability of R² under object resampling with fixed group labels; they should not be interpreted as null-hypothesis tests.</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(p = 0.001) but not in Aur-P2 (p = 0.076), although R² is similar in the two phases (</w:t>
      </w:r>
      <w:hyperlink w:anchor="tbl-strength-table">
        <w:r>
          <w:rPr>
            <w:rStyle w:val="Hyperlink"/>
          </w:rPr>
          <w:t xml:space="preserve">Table 3</w:t>
        </w:r>
      </w:hyperlink>
      <w:r>
        <w:t xml:space="preserve">). However, this separation vanishes under Simpson turnover dissimilarity (which removes the nestedness/richness component), indicating that the Jaccard signal comes from the nestedness component—rich versus poor repertoires—rather than from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that the contrast between the two proposed groups is better described as a gradual axis of variation than as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Community-detection algorithms applied to the same data agree with each other in Aur-P1 but not in the small Aur-P2 sample (S1 §</w:t>
      </w:r>
      <w:r>
        <w:t xml:space="preserve">S1.6.7</w:t>
      </w:r>
      <w:r>
        <w:t xml:space="preserve">). These algorithmic communities explain more compositional variance than the manual restricted/broad grouping (S1 §</w:t>
      </w:r>
      <w:r>
        <w:t xml:space="preserve">S1.6.6</w:t>
      </w:r>
      <w:r>
        <w:t xml:space="preserve">), but they are fitted to the same data, so this is not independent evidence for discrete groups. The communities differ mainly in how often the most widespread sign types occur, and no sign type is exclusive to one multi-site community (S1 §</w:t>
      </w:r>
      <w:r>
        <w:t xml:space="preserve">S1.11.3</w:t>
      </w:r>
      <w:r>
        <w:t xml:space="preserve">). This pattern is consistent with graded repertoires rather than discrete provinces.</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Variation in social structure is one possible source of this gradient. Ethnographic and archaeological research shows that hunter-gatherer social structures vary greatly</w:t>
      </w:r>
      <w:r>
        <w:t xml:space="preserve"> </w:t>
      </w:r>
      <w:r>
        <w:t xml:space="preserve">[44–51]</w:t>
      </w:r>
      <w:r>
        <w:t xml:space="preserve">, and that ornaments and other material culture can communicate the number and types of social roles and statuses within a group</w:t>
      </w:r>
      <w:r>
        <w:t xml:space="preserve"> </w:t>
      </w:r>
      <w:r>
        <w:t xml:space="preserve">[4,51–62]</w:t>
      </w:r>
      <w:r>
        <w:t xml:space="preserve">. By analogy, sites with a broad range of signs, including visually complex signs, could come from communities with more formalized social roles, and sites with a restricted range of signs could come from communities with fewer formalized social roles. Our data cannot test this interpretation, because the richness of a site’s repertoire also depends on how many objects were recovered there (S1 §</w:t>
      </w:r>
      <w:r>
        <w:t xml:space="preserve">S1.12.3</w:t>
      </w:r>
      <w:r>
        <w:t xml:space="preserve">).</w:t>
      </w:r>
    </w:p>
    <w:p>
      <w:pPr>
        <w:pStyle w:val="BodyText"/>
      </w:pPr>
      <w:r>
        <w:t xml:space="preserve">Non-utilitarian mobility is one process that could produce the connections between sites in</w:t>
      </w:r>
      <w:r>
        <w:t xml:space="preserve"> </w:t>
      </w:r>
      <w:hyperlink w:anchor="fig-neighbor-net">
        <w:r>
          <w:rPr>
            <w:rStyle w:val="Hyperlink"/>
          </w:rPr>
          <w:t xml:space="preserve">Figure 3</w:t>
        </w:r>
      </w:hyperlink>
      <w:r>
        <w:t xml:space="preserve">.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design calculations show that the tests can detect only correlations of moderate size or larger (S1 §</w:t>
      </w:r>
      <w:r>
        <w:t xml:space="preserve">S1.13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Aggregation and dispersion is one form of longer-term residential movement that can be related to non-utilitarian mobility. In aggregation and dispersion, groups periodically separate and come together again for subsistence or social reasons</w:t>
      </w:r>
      <w:r>
        <w:t xml:space="preserve"> </w:t>
      </w:r>
      <w:r>
        <w:t xml:space="preserve">[75]</w:t>
      </w:r>
      <w:r>
        <w:t xml:space="preserve">. One form of longer-term residential movement that may be related to non-utilitarian mobility is aggregation and dispersion. Aggregation and dispersion involve groups periodically separating and congregating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Most of the sites whose diversity is above the simulated mean (a possible indicator of aggregation) are not the most connected sites in</w:t>
      </w:r>
      <w:r>
        <w:t xml:space="preserve"> </w:t>
      </w:r>
      <w:hyperlink w:anchor="fig-neighbor-net">
        <w:r>
          <w:rPr>
            <w:rStyle w:val="Hyperlink"/>
          </w:rPr>
          <w:t xml:space="preserve">Figure 3</w:t>
        </w:r>
      </w:hyperlink>
      <w:r>
        <w:t xml:space="preserve">. However, the correlation between diversity excess and network degree is not significant (see below), so these data do not show whether aggregation sites were more or less connected than other sites.</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To test this hypothesis, we correlated the diversity excess of each site with its network degree. The correlation is weak and not significant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We did not detect an association between geographic distance and sign-type composition in Aur-P1 (Mantel R = 0.046;</w:t>
      </w:r>
      <w:r>
        <w:t xml:space="preserve"> </w:t>
      </w:r>
      <w:hyperlink w:anchor="tbl-mantel-table">
        <w:r>
          <w:rPr>
            <w:rStyle w:val="Hyperlink"/>
          </w:rPr>
          <w:t xml:space="preserve">Table 2</w:t>
        </w:r>
      </w:hyperlink>
      <w:r>
        <w:t xml:space="preserve">). In Aur-P2 the correlation is negative (R = -0.299), which is the opposite of the pattern that isolation by distance predicts, and it is not significant. A permutation test of the difference between these two Mantel correlations (D = 0.34, p = 0.153; sites permuted between phases 1,000 times) did not detect a difference between the phases. These null results may reflect the limited power of the tests at these sample sizes (S1 §</w:t>
      </w:r>
      <w:r>
        <w:t xml:space="preserve">S1.13</w:t>
      </w:r>
      <w:r>
        <w:t xml:space="preserve">); they are not evidence that geography had no effect.</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Our results do not establish a causal link between demographic expansion and the use of geometric signs as group-membership markers in the Aurignacian. Quantitative demographic reconstructions suggest that western and central European Aurignacian populations numbered approximately 1500 individuals</w:t>
      </w:r>
      <w:r>
        <w:t xml:space="preserve"> </w:t>
      </w:r>
      <w:r>
        <w:t xml:space="preserve">[21]</w:t>
      </w:r>
      <w:r>
        <w:t xml:space="preserve">, a relatively small population. However, the size of our networks depends mainly on the number of sites with dated, sign-bearing objects in SignBase, not directly on past population size.</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nor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We did not detect a change in the networks between the phases. Thus, if the model of Banks et al.</w:t>
      </w:r>
      <w:r>
        <w:t xml:space="preserve"> </w:t>
      </w:r>
      <w:r>
        <w:t xml:space="preserve">[22]</w:t>
      </w:r>
      <w:r>
        <w:t xml:space="preserve"> </w:t>
      </w:r>
      <w:r>
        <w:t xml:space="preserve">is correct, the expansion of social networks that it predicts is not visible in the geometric-sign data, possibly because our tests have low power (S1 §</w:t>
      </w:r>
      <w:r>
        <w:t xml:space="preserve">S1.13</w:t>
      </w:r>
      <w:r>
        <w:t xml:space="preserve">).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We did not detect isolation by distance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S1.13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This process could potentially explain the larger sign-type pool in Aur-P1 (26 types) compared with Aur-P2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We found no statistically significant differences in connectivity metrics between the two phases. Because these tests have low power (S1 §</w:t>
      </w:r>
      <w:r>
        <w:t xml:space="preserve">S1.13</w:t>
      </w:r>
      <w:r>
        <w:t xml:space="preserve">), this result does not show that the level of interaction stayed the same; a moderate change could be present but was not detected. If the level of interaction did stay the same, the pattern would parallel the Iberian Mesolithic, where peninsular-scale ornament networks persisted without topological change from the Early to the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 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Geometric signs have been argued to function as notation</w:t>
      </w:r>
      <w:r>
        <w:t xml:space="preserve"> </w:t>
      </w:r>
      <w:r>
        <w:t xml:space="preserve">[106]</w:t>
      </w:r>
      <w:r>
        <w:t xml:space="preserve"> </w:t>
      </w:r>
      <w:r>
        <w:t xml:space="preserve">or calendrical recording</w:t>
      </w:r>
      <w:r>
        <w:t xml:space="preserve"> </w:t>
      </w:r>
      <w:r>
        <w:t xml:space="preserve">[107]</w:t>
      </w:r>
      <w:r>
        <w:t xml:space="preserve"> </w:t>
      </w:r>
      <w:r>
        <w:t xml:space="preserve">systems. However, recent work on these notational and calendrical hypotheses has been disputed</w:t>
      </w:r>
      <w:r>
        <w:t xml:space="preserve"> </w:t>
      </w:r>
      <w:r>
        <w:t xml:space="preserve">[108–111]</w:t>
      </w:r>
      <w:r>
        <w:t xml:space="preserve">, suggesting there is still much work to be done. Our results neither confirm nor rule out these hypotheses, and sign-type ambiguity limits how well these hypotheses can be tested.</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in Aur-P1, stochastic block models place most broad-range and most restricted-range sites in different blocks. However,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Design calculations show that these tests can detect only moderate (Aur-P1) or strong (Aur-P2) correlations (S1 §</w:t>
      </w:r>
      <w:r>
        <w:t xml:space="preserve">S1.13</w:t>
      </w:r>
      <w:r>
        <w:t xml:space="preserve">), so these null results are a lack of evidence, not evidence that geography had no effect.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structural analyses and network statistical tests have limited power. Date parsing also removes sites whose reported dates have no stated uncertainty (S1 §</w:t>
      </w:r>
      <w:r>
        <w:t xml:space="preserve">S1.1</w:t>
      </w:r>
      <w:r>
        <w:t xml:space="preserve">; S2). Under the older-end rule of our main analysis, most of these sites, including the largest (Grotte de Goyet), would probably fall in Aur-P1, so this filter does not explain the small size of the Aur-P2 sample. The choice of date end is important: if we use the midpoint or the younger end of each date range instead of the older end, several date-assigned sites move from Aur-P1 to Aur-P2 (S1 §</w:t>
      </w:r>
      <w:r>
        <w:t xml:space="preserve">S1.5.3</w:t>
      </w:r>
      <w:r>
        <w:t xml:space="preserve">). We did not repeat the network analyses with these alternative date ends. Shifting the phase boundary by up to 1,000 years moves at most a few sites and does not change the raw mean-degree ordering of the phases (S1 §</w:t>
      </w:r>
      <w:r>
        <w:t xml:space="preserve">S1.5.4</w:t>
      </w:r>
      <w:r>
        <w:t xml:space="preserve">).</w:t>
      </w:r>
    </w:p>
    <w:bookmarkEnd w:id="61"/>
    <w:bookmarkStart w:id="309" w:name="references"/>
    <w:p>
      <w:pPr>
        <w:pStyle w:val="Heading1"/>
      </w:pPr>
      <w:r>
        <w:t xml:space="preserve">References</w:t>
      </w:r>
    </w:p>
    <w:bookmarkStart w:id="30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 Rnaturalearth: World map data from</w:t>
      </w:r>
      <w:r>
        <w:t xml:space="preserve"> </w:t>
      </w:r>
      <w:r>
        <w:t xml:space="preserve">Natural Earth</w:t>
      </w:r>
      <w:r>
        <w:t xml:space="preserve">. 2026.</w:t>
      </w:r>
      <w:r>
        <w:t xml:space="preserve"> </w:t>
      </w:r>
      <w:hyperlink r:id="rId112">
        <w:r>
          <w:rPr>
            <w:rStyle w:val="Hyperlink"/>
          </w:rPr>
          <w:t xml:space="preserve">https://doi.org/10.32614/CRAN.package.rnaturalearth</w:t>
        </w:r>
      </w:hyperlink>
      <w:r>
        <w:t xml:space="preserve">.</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2019.</w:t>
      </w:r>
      <w:r>
        <w:t xml:space="preserve"> </w:t>
      </w:r>
      <w:hyperlink r:id="rId134">
        <w:r>
          <w:rPr>
            <w:rStyle w:val="Hyperlink"/>
          </w:rPr>
          <w:t xml:space="preserve">https://doi.org/10.32614/CRAN.package.statnet</w:t>
        </w:r>
      </w:hyperlink>
      <w:r>
        <w:t xml:space="preserve">.</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r>
        <w:t xml:space="preserve"> </w:t>
      </w:r>
      <w:hyperlink r:id="rId188">
        <w:r>
          <w:rPr>
            <w:rStyle w:val="Hyperlink"/>
          </w:rPr>
          <w:t xml:space="preserve">https://doi.org/10.2307/j.ctvdmwwz4.8</w:t>
        </w:r>
      </w:hyperlink>
      <w:r>
        <w:t xml:space="preserve">.</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1992;34:51.</w:t>
      </w:r>
      <w:r>
        <w:t xml:space="preserve"> </w:t>
      </w:r>
      <w:hyperlink r:id="rId225">
        <w:r>
          <w:rPr>
            <w:rStyle w:val="Hyperlink"/>
          </w:rPr>
          <w:t xml:space="preserve">https://doi.org/10.1080/03122417.1992.11681454</w:t>
        </w:r>
      </w:hyperlink>
      <w:r>
        <w:t xml:space="preserve">.</w:t>
      </w:r>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r>
        <w:t xml:space="preserve"> </w:t>
      </w:r>
      <w:hyperlink r:id="rId227">
        <w:r>
          <w:rPr>
            <w:rStyle w:val="Hyperlink"/>
          </w:rPr>
          <w:t xml:space="preserve">https://doi.org/10.1017/cbo9780511720277.008</w:t>
        </w:r>
      </w:hyperlink>
      <w:r>
        <w:t xml:space="preserve">.</w:t>
      </w:r>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9">
        <w:r>
          <w:rPr>
            <w:rStyle w:val="Hyperlink"/>
          </w:rPr>
          <w:t xml:space="preserve">https://doi.org/10.1002/9780470773475.ch5</w:t>
        </w:r>
      </w:hyperlink>
      <w:r>
        <w:t xml:space="preserve">.</w:t>
      </w:r>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1">
        <w:r>
          <w:rPr>
            <w:rStyle w:val="Hyperlink"/>
          </w:rPr>
          <w:t xml:space="preserve">https://doi.org/10.1016/B978-0-12-564750-2.50020-2</w:t>
        </w:r>
      </w:hyperlink>
      <w:r>
        <w:t xml:space="preserve">.</w:t>
      </w:r>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3">
        <w:r>
          <w:rPr>
            <w:rStyle w:val="Hyperlink"/>
          </w:rPr>
          <w:t xml:space="preserve">https://doi.org/10.1080/00438243.1994.9980272</w:t>
        </w:r>
      </w:hyperlink>
      <w:r>
        <w:t xml:space="preserve">.</w:t>
      </w:r>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5">
        <w:r>
          <w:rPr>
            <w:rStyle w:val="Hyperlink"/>
          </w:rPr>
          <w:t xml:space="preserve">https://doi.org/10.1002/9781118253892.ch6</w:t>
        </w:r>
      </w:hyperlink>
      <w:r>
        <w:t xml:space="preserve">.</w:t>
      </w:r>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7">
        <w:r>
          <w:rPr>
            <w:rStyle w:val="Hyperlink"/>
          </w:rPr>
          <w:t xml:space="preserve">https://doi.org/10.2307/40035267</w:t>
        </w:r>
      </w:hyperlink>
      <w:r>
        <w:t xml:space="preserve">.</w:t>
      </w:r>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9">
        <w:r>
          <w:rPr>
            <w:rStyle w:val="Hyperlink"/>
          </w:rPr>
          <w:t xml:space="preserve">https://doi.org/10.1016/0278-4165(84)90002-3</w:t>
        </w:r>
      </w:hyperlink>
      <w:r>
        <w:t xml:space="preserve">.</w:t>
      </w:r>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1">
        <w:r>
          <w:rPr>
            <w:rStyle w:val="Hyperlink"/>
          </w:rPr>
          <w:t xml:space="preserve">https://doi.org/10.1080/03122417.1992.11681450</w:t>
        </w:r>
      </w:hyperlink>
      <w:r>
        <w:t xml:space="preserve">.</w:t>
      </w:r>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3">
        <w:r>
          <w:rPr>
            <w:rStyle w:val="Hyperlink"/>
          </w:rPr>
          <w:t xml:space="preserve">https://doi.org/10.1007/978-4-431-55363-2_8</w:t>
        </w:r>
      </w:hyperlink>
      <w:r>
        <w:t xml:space="preserve">.</w:t>
      </w:r>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8">
        <w:r>
          <w:rPr>
            <w:rStyle w:val="Hyperlink"/>
          </w:rPr>
          <w:t xml:space="preserve">https://doi.org/10.2307/4128416</w:t>
        </w:r>
      </w:hyperlink>
      <w:r>
        <w:t xml:space="preserve">.</w:t>
      </w:r>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0">
        <w:r>
          <w:rPr>
            <w:rStyle w:val="Hyperlink"/>
          </w:rPr>
          <w:t xml:space="preserve">https://doi.org/10.1126/sciadv.aax5913</w:t>
        </w:r>
      </w:hyperlink>
      <w:r>
        <w:t xml:space="preserve">.</w:t>
      </w:r>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2">
        <w:r>
          <w:rPr>
            <w:rStyle w:val="Hyperlink"/>
          </w:rPr>
          <w:t xml:space="preserve">https://doi.org/10.1111/brv.12599</w:t>
        </w:r>
      </w:hyperlink>
      <w:r>
        <w:t xml:space="preserve">.</w:t>
      </w:r>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4">
        <w:r>
          <w:rPr>
            <w:rStyle w:val="Hyperlink"/>
          </w:rPr>
          <w:t xml:space="preserve">https://doi.org/10.1093/oxfordhb/9780198854265.013.34</w:t>
        </w:r>
      </w:hyperlink>
      <w:r>
        <w:t xml:space="preserve">.</w:t>
      </w:r>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2022;14:174.</w:t>
      </w:r>
      <w:r>
        <w:t xml:space="preserve"> </w:t>
      </w:r>
      <w:hyperlink r:id="rId256">
        <w:r>
          <w:rPr>
            <w:rStyle w:val="Hyperlink"/>
          </w:rPr>
          <w:t xml:space="preserve">https://doi.org/10.1007/s12520-022-01641-z</w:t>
        </w:r>
      </w:hyperlink>
      <w:r>
        <w:t xml:space="preserve">.</w:t>
      </w:r>
    </w:p>
    <w:bookmarkEnd w:id="257"/>
    <w:bookmarkStart w:id="259"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0">
        <w:r>
          <w:rPr>
            <w:rStyle w:val="Hyperlink"/>
          </w:rPr>
          <w:t xml:space="preserve">https://doi.org/10.1007/s10816-026-09796-y</w:t>
        </w:r>
      </w:hyperlink>
      <w:r>
        <w:t xml:space="preserve">.</w:t>
      </w:r>
    </w:p>
    <w:bookmarkEnd w:id="261"/>
    <w:bookmarkStart w:id="263"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1"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7"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Start w:id="299"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5"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4">
        <w:r>
          <w:rPr>
            <w:rStyle w:val="Hyperlink"/>
          </w:rPr>
          <w:t xml:space="preserve">https://doi.org/10.1038/nature03585</w:t>
        </w:r>
      </w:hyperlink>
      <w:r>
        <w:t xml:space="preserve">.</w:t>
      </w:r>
    </w:p>
    <w:bookmarkEnd w:id="305"/>
    <w:bookmarkStart w:id="307"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6">
        <w:r>
          <w:rPr>
            <w:rStyle w:val="Hyperlink"/>
          </w:rPr>
          <w:t xml:space="preserve">https://doi.org/10.1007/s41982-025-00246-x</w:t>
        </w:r>
      </w:hyperlink>
      <w:r>
        <w:t xml:space="preserve">.</w:t>
      </w:r>
    </w:p>
    <w:bookmarkEnd w:id="307"/>
    <w:bookmarkEnd w:id="308"/>
    <w:bookmarkEnd w:id="30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2026-10-16T19:09:28Z</dcterms:created>
  <dcterms:modified xsi:type="dcterms:W3CDTF">2026-10-16T19:09:28Z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16,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