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5,</w:t>
      </w:r>
      <w:r>
        <w:t xml:space="preserve"> </w:t>
      </w:r>
      <w:r>
        <w:t xml:space="preserve">2026</w:t>
      </w:r>
    </w:p>
    <w:p>
      <w:pPr>
        <w:pStyle w:val="AbstractTitle"/>
      </w:pPr>
      <w:r>
        <w:t xml:space="preserve">Abstract</w:t>
      </w:r>
    </w:p>
    <w:p>
      <w:pPr>
        <w:pStyle w:val="Abstract"/>
      </w:pPr>
      <w:r>
        <w:t xml:space="preserve">The</w:t>
      </w:r>
      <w:r>
        <w:t xml:space="preserve"> </w:t>
      </w:r>
      <w:r>
        <w:t xml:space="preserve">Aurignacian</w:t>
      </w:r>
      <w:r>
        <w:t xml:space="preserve"> </w:t>
      </w:r>
      <w:r>
        <w:t xml:space="preserve">technocomplex</w:t>
      </w:r>
      <w:r>
        <w:t xml:space="preserve"> </w:t>
      </w:r>
      <w:r>
        <w:t xml:space="preserve">(ca.</w:t>
      </w:r>
      <w:r>
        <w:t xml:space="preserve"> </w:t>
      </w:r>
      <w:r>
        <w:t xml:space="preserve">43–30</w:t>
      </w:r>
      <w:r>
        <w:t xml:space="preserve"> </w:t>
      </w:r>
      <w:r>
        <w:t xml:space="preserve">ka</w:t>
      </w:r>
      <w:r>
        <w:t xml:space="preserve"> </w:t>
      </w:r>
      <w:r>
        <w:t xml:space="preserve">BP)</w:t>
      </w:r>
      <w:r>
        <w:t xml:space="preserve"> </w:t>
      </w:r>
      <w:r>
        <w:t xml:space="preserve">marks</w:t>
      </w:r>
      <w:r>
        <w:t xml:space="preserve"> </w:t>
      </w:r>
      <w:r>
        <w:t xml:space="preserve">a</w:t>
      </w:r>
      <w:r>
        <w:t xml:space="preserve"> </w:t>
      </w:r>
      <w:r>
        <w:t xml:space="preserve">pivotal</w:t>
      </w:r>
      <w:r>
        <w:t xml:space="preserve"> </w:t>
      </w:r>
      <w:r>
        <w:t xml:space="preserve">expansion</w:t>
      </w:r>
      <w:r>
        <w:t xml:space="preserve"> </w:t>
      </w:r>
      <w:r>
        <w:t xml:space="preserve">of</w:t>
      </w:r>
      <w:r>
        <w:t xml:space="preserve"> </w:t>
      </w:r>
      <w:r>
        <w:rPr>
          <w:iCs/>
          <w:i/>
        </w:rPr>
        <w:t xml:space="preserve">Homo</w:t>
      </w:r>
      <w:r>
        <w:rPr>
          <w:iCs/>
          <w:i/>
        </w:rPr>
        <w:t xml:space="preserve"> </w:t>
      </w:r>
      <w:r>
        <w:rPr>
          <w:iCs/>
          <w:i/>
        </w:rPr>
        <w:t xml:space="preserve">sapiens</w:t>
      </w:r>
      <w:r>
        <w:t xml:space="preserve"> </w:t>
      </w:r>
      <w:r>
        <w:t xml:space="preserve">into</w:t>
      </w:r>
      <w:r>
        <w:t xml:space="preserve"> </w:t>
      </w:r>
      <w:r>
        <w:t xml:space="preserve">Western</w:t>
      </w:r>
      <w:r>
        <w:t xml:space="preserve"> </w:t>
      </w:r>
      <w:r>
        <w:t xml:space="preserve">Eurasia,</w:t>
      </w:r>
      <w:r>
        <w:t xml:space="preserve"> </w:t>
      </w:r>
      <w:r>
        <w:t xml:space="preserve">yet</w:t>
      </w:r>
      <w:r>
        <w:t xml:space="preserve"> </w:t>
      </w:r>
      <w:r>
        <w:t xml:space="preserve">the</w:t>
      </w:r>
      <w:r>
        <w:t xml:space="preserve"> </w:t>
      </w:r>
      <w:r>
        <w:t xml:space="preserve">evolution</w:t>
      </w:r>
      <w:r>
        <w:t xml:space="preserve"> </w:t>
      </w:r>
      <w:r>
        <w:t xml:space="preserve">of</w:t>
      </w:r>
      <w:r>
        <w:t xml:space="preserve"> </w:t>
      </w:r>
      <w:r>
        <w:t xml:space="preserve">social</w:t>
      </w:r>
      <w:r>
        <w:t xml:space="preserve"> </w:t>
      </w:r>
      <w:r>
        <w:t xml:space="preserve">organization</w:t>
      </w:r>
      <w:r>
        <w:t xml:space="preserve"> </w:t>
      </w:r>
      <w:r>
        <w:t xml:space="preserve">during</w:t>
      </w:r>
      <w:r>
        <w:t xml:space="preserve"> </w:t>
      </w:r>
      <w:r>
        <w:t xml:space="preserve">this</w:t>
      </w:r>
      <w:r>
        <w:t xml:space="preserve"> </w:t>
      </w:r>
      <w:r>
        <w:t xml:space="preserve">transition</w:t>
      </w:r>
      <w:r>
        <w:t xml:space="preserve"> </w:t>
      </w:r>
      <w:r>
        <w:t xml:space="preserve">remains</w:t>
      </w:r>
      <w:r>
        <w:t xml:space="preserve"> </w:t>
      </w:r>
      <w:r>
        <w:t xml:space="preserve">debated.</w:t>
      </w:r>
      <w:r>
        <w:t xml:space="preserve"> </w:t>
      </w:r>
      <w:r>
        <w:t xml:space="preserve">Here</w:t>
      </w:r>
      <w:r>
        <w:t xml:space="preserve"> </w:t>
      </w:r>
      <w:r>
        <w:t xml:space="preserve">we</w:t>
      </w:r>
      <w:r>
        <w:t xml:space="preserve"> </w:t>
      </w:r>
      <w:r>
        <w:t xml:space="preserve">investigate</w:t>
      </w:r>
      <w:r>
        <w:t xml:space="preserve"> </w:t>
      </w:r>
      <w:r>
        <w:t xml:space="preserve">social</w:t>
      </w:r>
      <w:r>
        <w:t xml:space="preserve"> </w:t>
      </w:r>
      <w:r>
        <w:t xml:space="preserve">dynamics</w:t>
      </w:r>
      <w:r>
        <w:t xml:space="preserve"> </w:t>
      </w:r>
      <w:r>
        <w:t xml:space="preserve">through</w:t>
      </w:r>
      <w:r>
        <w:t xml:space="preserve"> </w:t>
      </w:r>
      <w:r>
        <w:t xml:space="preserve">the</w:t>
      </w:r>
      <w:r>
        <w:t xml:space="preserve"> </w:t>
      </w:r>
      <w:r>
        <w:t xml:space="preserve">analysis</w:t>
      </w:r>
      <w:r>
        <w:t xml:space="preserve"> </w:t>
      </w:r>
      <w:r>
        <w:t xml:space="preserve">of</w:t>
      </w:r>
      <w:r>
        <w:t xml:space="preserve"> </w:t>
      </w:r>
      <w:r>
        <w:t xml:space="preserve">geometric</w:t>
      </w:r>
      <w:r>
        <w:t xml:space="preserve"> </w:t>
      </w:r>
      <w:r>
        <w:t xml:space="preserve">signs</w:t>
      </w:r>
      <w:r>
        <w:t xml:space="preserve"> </w:t>
      </w:r>
      <w:r>
        <w:t xml:space="preserve">on</w:t>
      </w:r>
      <w:r>
        <w:t xml:space="preserve"> </w:t>
      </w:r>
      <w:r>
        <w:t xml:space="preserve">mobile</w:t>
      </w:r>
      <w:r>
        <w:t xml:space="preserve"> </w:t>
      </w:r>
      <w:r>
        <w:t xml:space="preserve">objects</w:t>
      </w:r>
      <w:r>
        <w:t xml:space="preserve"> </w:t>
      </w:r>
      <w:r>
        <w:t xml:space="preserve">within</w:t>
      </w:r>
      <w:r>
        <w:t xml:space="preserve"> </w:t>
      </w:r>
      <w:r>
        <w:t xml:space="preserve">a</w:t>
      </w:r>
      <w:r>
        <w:t xml:space="preserve"> </w:t>
      </w:r>
      <w:r>
        <w:t xml:space="preserve">two-phase</w:t>
      </w:r>
      <w:r>
        <w:t xml:space="preserve"> </w:t>
      </w:r>
      <w:r>
        <w:t xml:space="preserve">framework</w:t>
      </w:r>
      <w:r>
        <w:t xml:space="preserve"> </w:t>
      </w:r>
      <w:r>
        <w:t xml:space="preserve">(Aur-P1/Aur-P2;</w:t>
      </w:r>
      <w:r>
        <w:t xml:space="preserve"> </w:t>
      </w:r>
      <w:r>
        <w:t xml:space="preserve">Shao</w:t>
      </w:r>
      <w:r>
        <w:t xml:space="preserve"> </w:t>
      </w:r>
      <w:r>
        <w:t xml:space="preserve">et</w:t>
      </w:r>
      <w:r>
        <w:t xml:space="preserve"> </w:t>
      </w:r>
      <w:r>
        <w:t xml:space="preserve">al. 2021)</w:t>
      </w:r>
      <w:r>
        <w:t xml:space="preserve"> </w:t>
      </w:r>
      <w:r>
        <w:t xml:space="preserve">that</w:t>
      </w:r>
      <w:r>
        <w:t xml:space="preserve"> </w:t>
      </w:r>
      <w:r>
        <w:t xml:space="preserve">respects</w:t>
      </w:r>
      <w:r>
        <w:t xml:space="preserve"> </w:t>
      </w:r>
      <w:r>
        <w:t xml:space="preserve">specialist</w:t>
      </w:r>
      <w:r>
        <w:t xml:space="preserve"> </w:t>
      </w:r>
      <w:r>
        <w:t xml:space="preserve">technological</w:t>
      </w:r>
      <w:r>
        <w:t xml:space="preserve"> </w:t>
      </w:r>
      <w:r>
        <w:t xml:space="preserve">attributions</w:t>
      </w:r>
      <w:r>
        <w:t xml:space="preserve"> </w:t>
      </w:r>
      <w:r>
        <w:t xml:space="preserve">in</w:t>
      </w:r>
      <w:r>
        <w:t xml:space="preserve"> </w:t>
      </w:r>
      <w:r>
        <w:t xml:space="preserve">site</w:t>
      </w:r>
      <w:r>
        <w:t xml:space="preserve"> </w:t>
      </w:r>
      <w:r>
        <w:t xml:space="preserve">assignment.</w:t>
      </w:r>
      <w:r>
        <w:t xml:space="preserve"> </w:t>
      </w:r>
      <w:r>
        <w:t xml:space="preserve">Using</w:t>
      </w:r>
      <w:r>
        <w:t xml:space="preserve"> </w:t>
      </w:r>
      <w:r>
        <w:t xml:space="preserve">seriation</w:t>
      </w:r>
      <w:r>
        <w:t xml:space="preserve"> </w:t>
      </w:r>
      <w:r>
        <w:t xml:space="preserve">and</w:t>
      </w:r>
      <w:r>
        <w:t xml:space="preserve"> </w:t>
      </w:r>
      <w:r>
        <w:t xml:space="preserve">network</w:t>
      </w:r>
      <w:r>
        <w:t xml:space="preserve"> </w:t>
      </w:r>
      <w:r>
        <w:t xml:space="preserve">analysis,</w:t>
      </w:r>
      <w:r>
        <w:t xml:space="preserve"> </w:t>
      </w:r>
      <w:r>
        <w:t xml:space="preserve">we</w:t>
      </w:r>
      <w:r>
        <w:t xml:space="preserve"> </w:t>
      </w:r>
      <w:r>
        <w:t xml:space="preserve">examine</w:t>
      </w:r>
      <w:r>
        <w:t xml:space="preserve"> </w:t>
      </w:r>
      <w:r>
        <w:t xml:space="preserve">whether</w:t>
      </w:r>
      <w:r>
        <w:t xml:space="preserve"> </w:t>
      </w:r>
      <w:r>
        <w:t xml:space="preserve">sign</w:t>
      </w:r>
      <w:r>
        <w:t xml:space="preserve"> </w:t>
      </w:r>
      <w:r>
        <w:t xml:space="preserve">distribution</w:t>
      </w:r>
      <w:r>
        <w:t xml:space="preserve"> </w:t>
      </w:r>
      <w:r>
        <w:t xml:space="preserve">reflects</w:t>
      </w:r>
      <w:r>
        <w:t xml:space="preserve"> </w:t>
      </w:r>
      <w:r>
        <w:t xml:space="preserve">cultural</w:t>
      </w:r>
      <w:r>
        <w:t xml:space="preserve"> </w:t>
      </w:r>
      <w:r>
        <w:t xml:space="preserve">grouping</w:t>
      </w:r>
      <w:r>
        <w:t xml:space="preserve"> </w:t>
      </w:r>
      <w:r>
        <w:t xml:space="preserve">within</w:t>
      </w:r>
      <w:r>
        <w:t xml:space="preserve"> </w:t>
      </w:r>
      <w:r>
        <w:t xml:space="preserve">each</w:t>
      </w:r>
      <w:r>
        <w:t xml:space="preserve"> </w:t>
      </w:r>
      <w:r>
        <w:t xml:space="preserve">phase,</w:t>
      </w:r>
      <w:r>
        <w:t xml:space="preserve"> </w:t>
      </w:r>
      <w:r>
        <w:t xml:space="preserve">and</w:t>
      </w:r>
      <w:r>
        <w:t xml:space="preserve"> </w:t>
      </w:r>
      <w:r>
        <w:t xml:space="preserve">whether</w:t>
      </w:r>
      <w:r>
        <w:t xml:space="preserve"> </w:t>
      </w:r>
      <w:r>
        <w:t xml:space="preserve">the</w:t>
      </w:r>
      <w:r>
        <w:t xml:space="preserve"> </w:t>
      </w:r>
      <w:r>
        <w:t xml:space="preserve">sign-sharing</w:t>
      </w:r>
      <w:r>
        <w:t xml:space="preserve"> </w:t>
      </w:r>
      <w:r>
        <w:t xml:space="preserve">network</w:t>
      </w:r>
      <w:r>
        <w:t xml:space="preserve"> </w:t>
      </w:r>
      <w:r>
        <w:t xml:space="preserve">differs</w:t>
      </w:r>
      <w:r>
        <w:t xml:space="preserve"> </w:t>
      </w:r>
      <w:r>
        <w:t xml:space="preserve">between</w:t>
      </w:r>
      <w:r>
        <w:t xml:space="preserve"> </w:t>
      </w:r>
      <w:r>
        <w:t xml:space="preserve">the</w:t>
      </w:r>
      <w:r>
        <w:t xml:space="preserve"> </w:t>
      </w:r>
      <w:r>
        <w:t xml:space="preserve">early</w:t>
      </w:r>
      <w:r>
        <w:t xml:space="preserve"> </w:t>
      </w:r>
      <w:r>
        <w:t xml:space="preserve">and</w:t>
      </w:r>
      <w:r>
        <w:t xml:space="preserve"> </w:t>
      </w:r>
      <w:r>
        <w:t xml:space="preserve">late</w:t>
      </w:r>
      <w:r>
        <w:t xml:space="preserve"> </w:t>
      </w:r>
      <w:r>
        <w:t xml:space="preserve">Aurignacian.</w:t>
      </w:r>
      <w:r>
        <w:t xml:space="preserve"> </w:t>
      </w:r>
      <w:r>
        <w:t xml:space="preserve">Within</w:t>
      </w:r>
      <w:r>
        <w:t xml:space="preserve"> </w:t>
      </w:r>
      <w:r>
        <w:t xml:space="preserve">the</w:t>
      </w:r>
      <w:r>
        <w:t xml:space="preserve"> </w:t>
      </w:r>
      <w:r>
        <w:t xml:space="preserve">early</w:t>
      </w:r>
      <w:r>
        <w:t xml:space="preserve"> </w:t>
      </w:r>
      <w:r>
        <w:t xml:space="preserve">phase</w:t>
      </w:r>
      <w:r>
        <w:t xml:space="preserve"> </w:t>
      </w:r>
      <w:r>
        <w:t xml:space="preserve">(Aur-P1;</w:t>
      </w:r>
      <w:r>
        <w:t xml:space="preserve"> </w:t>
      </w:r>
      <w:r>
        <w:t xml:space="preserve">20</w:t>
      </w:r>
      <w:r>
        <w:t xml:space="preserve"> </w:t>
      </w:r>
      <w:r>
        <w:t xml:space="preserve">sites)</w:t>
      </w:r>
      <w:r>
        <w:t xml:space="preserve"> </w:t>
      </w:r>
      <w:r>
        <w:t xml:space="preserve">we</w:t>
      </w:r>
      <w:r>
        <w:t xml:space="preserve"> </w:t>
      </w:r>
      <w:r>
        <w:t xml:space="preserve">identify</w:t>
      </w:r>
      <w:r>
        <w:t xml:space="preserve"> </w:t>
      </w:r>
      <w:r>
        <w:t xml:space="preserve">a</w:t>
      </w:r>
      <w:r>
        <w:t xml:space="preserve"> </w:t>
      </w:r>
      <w:r>
        <w:t xml:space="preserve">robust</w:t>
      </w:r>
      <w:r>
        <w:t xml:space="preserve"> </w:t>
      </w:r>
      <w:r>
        <w:t xml:space="preserve">two-group</w:t>
      </w:r>
      <w:r>
        <w:t xml:space="preserve"> </w:t>
      </w:r>
      <w:r>
        <w:t xml:space="preserve">structure</w:t>
      </w:r>
      <w:r>
        <w:t xml:space="preserve"> </w:t>
      </w:r>
      <w:r>
        <w:t xml:space="preserve">of</w:t>
      </w:r>
      <w:r>
        <w:t xml:space="preserve"> </w:t>
      </w:r>
      <w:r>
        <w:t xml:space="preserve">restricted</w:t>
      </w:r>
      <w:r>
        <w:t xml:space="preserve"> </w:t>
      </w:r>
      <w:r>
        <w:t xml:space="preserve">versus</w:t>
      </w:r>
      <w:r>
        <w:t xml:space="preserve"> </w:t>
      </w:r>
      <w:r>
        <w:t xml:space="preserve">broad</w:t>
      </w:r>
      <w:r>
        <w:t xml:space="preserve"> </w:t>
      </w:r>
      <w:r>
        <w:t xml:space="preserve">geometric-sign</w:t>
      </w:r>
      <w:r>
        <w:t xml:space="preserve"> </w:t>
      </w:r>
      <w:r>
        <w:t xml:space="preserve">repertoires</w:t>
      </w:r>
      <w:r>
        <w:t xml:space="preserve"> </w:t>
      </w:r>
      <w:r>
        <w:t xml:space="preserve">that</w:t>
      </w:r>
      <w:r>
        <w:t xml:space="preserve"> </w:t>
      </w:r>
      <w:r>
        <w:t xml:space="preserve">is</w:t>
      </w:r>
      <w:r>
        <w:t xml:space="preserve"> </w:t>
      </w:r>
      <w:r>
        <w:t xml:space="preserve">stable</w:t>
      </w:r>
      <w:r>
        <w:t xml:space="preserve"> </w:t>
      </w:r>
      <w:r>
        <w:t xml:space="preserve">under</w:t>
      </w:r>
      <w:r>
        <w:t xml:space="preserve"> </w:t>
      </w:r>
      <w:r>
        <w:t xml:space="preserve">bootstrap</w:t>
      </w:r>
      <w:r>
        <w:t xml:space="preserve"> </w:t>
      </w:r>
      <w:r>
        <w:t xml:space="preserve">resampling</w:t>
      </w:r>
      <w:r>
        <w:t xml:space="preserve"> </w:t>
      </w:r>
      <w:r>
        <w:t xml:space="preserve">and</w:t>
      </w:r>
      <w:r>
        <w:t xml:space="preserve"> </w:t>
      </w:r>
      <w:r>
        <w:t xml:space="preserve">largely</w:t>
      </w:r>
      <w:r>
        <w:t xml:space="preserve"> </w:t>
      </w:r>
      <w:r>
        <w:t xml:space="preserve">recovered</w:t>
      </w:r>
      <w:r>
        <w:t xml:space="preserve"> </w:t>
      </w:r>
      <w:r>
        <w:t xml:space="preserve">by</w:t>
      </w:r>
      <w:r>
        <w:t xml:space="preserve"> </w:t>
      </w:r>
      <w:r>
        <w:t xml:space="preserve">an</w:t>
      </w:r>
      <w:r>
        <w:t xml:space="preserve"> </w:t>
      </w:r>
      <w:r>
        <w:t xml:space="preserve">independent</w:t>
      </w:r>
      <w:r>
        <w:t xml:space="preserve"> </w:t>
      </w:r>
      <w:r>
        <w:t xml:space="preserve">stochastic</w:t>
      </w:r>
      <w:r>
        <w:t xml:space="preserve"> </w:t>
      </w:r>
      <w:r>
        <w:t xml:space="preserve">block</w:t>
      </w:r>
      <w:r>
        <w:t xml:space="preserve"> </w:t>
      </w:r>
      <w:r>
        <w:t xml:space="preserve">model.</w:t>
      </w:r>
      <w:r>
        <w:t xml:space="preserve"> </w:t>
      </w:r>
      <w:r>
        <w:t xml:space="preserve">The</w:t>
      </w:r>
      <w:r>
        <w:t xml:space="preserve"> </w:t>
      </w:r>
      <w:r>
        <w:t xml:space="preserve">small</w:t>
      </w:r>
      <w:r>
        <w:t xml:space="preserve"> </w:t>
      </w:r>
      <w:r>
        <w:t xml:space="preserve">late</w:t>
      </w:r>
      <w:r>
        <w:t xml:space="preserve"> </w:t>
      </w:r>
      <w:r>
        <w:t xml:space="preserve">phase</w:t>
      </w:r>
      <w:r>
        <w:t xml:space="preserve"> </w:t>
      </w:r>
      <w:r>
        <w:t xml:space="preserve">(Aur-P2;</w:t>
      </w:r>
      <w:r>
        <w:t xml:space="preserve"> </w:t>
      </w:r>
      <w:r>
        <w:t xml:space="preserve">9</w:t>
      </w:r>
      <w:r>
        <w:t xml:space="preserve"> </w:t>
      </w:r>
      <w:r>
        <w:t xml:space="preserve">sites)</w:t>
      </w:r>
      <w:r>
        <w:t xml:space="preserve"> </w:t>
      </w:r>
      <w:r>
        <w:t xml:space="preserve">shows</w:t>
      </w:r>
      <w:r>
        <w:t xml:space="preserve"> </w:t>
      </w:r>
      <w:r>
        <w:t xml:space="preserve">a</w:t>
      </w:r>
      <w:r>
        <w:t xml:space="preserve"> </w:t>
      </w:r>
      <w:r>
        <w:t xml:space="preserve">weaker,</w:t>
      </w:r>
      <w:r>
        <w:t xml:space="preserve"> </w:t>
      </w:r>
      <w:r>
        <w:t xml:space="preserve">less</w:t>
      </w:r>
      <w:r>
        <w:t xml:space="preserve"> </w:t>
      </w:r>
      <w:r>
        <w:t xml:space="preserve">resolved</w:t>
      </w:r>
      <w:r>
        <w:t xml:space="preserve"> </w:t>
      </w:r>
      <w:r>
        <w:t xml:space="preserve">structure.</w:t>
      </w:r>
      <w:r>
        <w:t xml:space="preserve"> </w:t>
      </w:r>
      <w:r>
        <w:t xml:space="preserve">The</w:t>
      </w:r>
      <w:r>
        <w:t xml:space="preserve"> </w:t>
      </w:r>
      <w:r>
        <w:t xml:space="preserve">early</w:t>
      </w:r>
      <w:r>
        <w:t xml:space="preserve"> </w:t>
      </w:r>
      <w:r>
        <w:t xml:space="preserve">phase</w:t>
      </w:r>
      <w:r>
        <w:t xml:space="preserve"> </w:t>
      </w:r>
      <w:r>
        <w:t xml:space="preserve">supports</w:t>
      </w:r>
      <w:r>
        <w:t xml:space="preserve"> </w:t>
      </w:r>
      <w:r>
        <w:t xml:space="preserve">a</w:t>
      </w:r>
      <w:r>
        <w:t xml:space="preserve"> </w:t>
      </w:r>
      <w:r>
        <w:t xml:space="preserve">larger</w:t>
      </w:r>
      <w:r>
        <w:t xml:space="preserve"> </w:t>
      </w:r>
      <w:r>
        <w:t xml:space="preserve">network</w:t>
      </w:r>
      <w:r>
        <w:t xml:space="preserve"> </w:t>
      </w:r>
      <w:r>
        <w:t xml:space="preserve">centred</w:t>
      </w:r>
      <w:r>
        <w:t xml:space="preserve"> </w:t>
      </w:r>
      <w:r>
        <w:t xml:space="preserve">on</w:t>
      </w:r>
      <w:r>
        <w:t xml:space="preserve"> </w:t>
      </w:r>
      <w:r>
        <w:t xml:space="preserve">key</w:t>
      </w:r>
      <w:r>
        <w:t xml:space="preserve"> </w:t>
      </w:r>
      <w:r>
        <w:t xml:space="preserve">sites,</w:t>
      </w:r>
      <w:r>
        <w:t xml:space="preserve"> </w:t>
      </w:r>
      <w:r>
        <w:t xml:space="preserve">but</w:t>
      </w:r>
      <w:r>
        <w:t xml:space="preserve"> </w:t>
      </w:r>
      <w:r>
        <w:t xml:space="preserve">once</w:t>
      </w:r>
      <w:r>
        <w:t xml:space="preserve"> </w:t>
      </w:r>
      <w:r>
        <w:t xml:space="preserve">network</w:t>
      </w:r>
      <w:r>
        <w:t xml:space="preserve"> </w:t>
      </w:r>
      <w:r>
        <w:t xml:space="preserve">size</w:t>
      </w:r>
      <w:r>
        <w:t xml:space="preserve"> </w:t>
      </w:r>
      <w:r>
        <w:t xml:space="preserve">is</w:t>
      </w:r>
      <w:r>
        <w:t xml:space="preserve"> </w:t>
      </w:r>
      <w:r>
        <w:t xml:space="preserve">taken</w:t>
      </w:r>
      <w:r>
        <w:t xml:space="preserve"> </w:t>
      </w:r>
      <w:r>
        <w:t xml:space="preserve">into</w:t>
      </w:r>
      <w:r>
        <w:t xml:space="preserve"> </w:t>
      </w:r>
      <w:r>
        <w:t xml:space="preserve">account</w:t>
      </w:r>
      <w:r>
        <w:t xml:space="preserve"> </w:t>
      </w:r>
      <w:r>
        <w:t xml:space="preserve">the</w:t>
      </w:r>
      <w:r>
        <w:t xml:space="preserve"> </w:t>
      </w:r>
      <w:r>
        <w:t xml:space="preserve">late</w:t>
      </w:r>
      <w:r>
        <w:t xml:space="preserve"> </w:t>
      </w:r>
      <w:r>
        <w:t xml:space="preserve">phase</w:t>
      </w:r>
      <w:r>
        <w:t xml:space="preserve"> </w:t>
      </w:r>
      <w:r>
        <w:t xml:space="preserve">shows</w:t>
      </w:r>
      <w:r>
        <w:t xml:space="preserve"> </w:t>
      </w:r>
      <w:r>
        <w:t xml:space="preserve">higher</w:t>
      </w:r>
      <w:r>
        <w:t xml:space="preserve"> </w:t>
      </w:r>
      <w:r>
        <w:t xml:space="preserve">edge</w:t>
      </w:r>
      <w:r>
        <w:t xml:space="preserve"> </w:t>
      </w:r>
      <w:r>
        <w:t xml:space="preserve">density,</w:t>
      </w:r>
      <w:r>
        <w:t xml:space="preserve"> </w:t>
      </w:r>
      <w:r>
        <w:t xml:space="preserve">and</w:t>
      </w:r>
      <w:r>
        <w:t xml:space="preserve"> </w:t>
      </w:r>
      <w:r>
        <w:t xml:space="preserve">formal</w:t>
      </w:r>
      <w:r>
        <w:t xml:space="preserve"> </w:t>
      </w:r>
      <w:r>
        <w:t xml:space="preserve">permutation</w:t>
      </w:r>
      <w:r>
        <w:t xml:space="preserve"> </w:t>
      </w:r>
      <w:r>
        <w:t xml:space="preserve">tests</w:t>
      </w:r>
      <w:r>
        <w:t xml:space="preserve"> </w:t>
      </w:r>
      <w:r>
        <w:t xml:space="preserve">indicate</w:t>
      </w:r>
      <w:r>
        <w:t xml:space="preserve"> </w:t>
      </w:r>
      <w:r>
        <w:t xml:space="preserve">that</w:t>
      </w:r>
      <w:r>
        <w:t xml:space="preserve"> </w:t>
      </w:r>
      <w:r>
        <w:t xml:space="preserve">the</w:t>
      </w:r>
      <w:r>
        <w:t xml:space="preserve"> </w:t>
      </w:r>
      <w:r>
        <w:t xml:space="preserve">phases</w:t>
      </w:r>
      <w:r>
        <w:t xml:space="preserve"> </w:t>
      </w:r>
      <w:r>
        <w:t xml:space="preserve">do</w:t>
      </w:r>
      <w:r>
        <w:t xml:space="preserve"> </w:t>
      </w:r>
      <w:r>
        <w:t xml:space="preserve">not</w:t>
      </w:r>
      <w:r>
        <w:t xml:space="preserve"> </w:t>
      </w:r>
      <w:r>
        <w:t xml:space="preserve">differ</w:t>
      </w:r>
      <w:r>
        <w:t xml:space="preserve"> </w:t>
      </w:r>
      <w:r>
        <w:t xml:space="preserve">significantly</w:t>
      </w:r>
      <w:r>
        <w:t xml:space="preserve"> </w:t>
      </w:r>
      <w:r>
        <w:t xml:space="preserve">in</w:t>
      </w:r>
      <w:r>
        <w:t xml:space="preserve"> </w:t>
      </w:r>
      <w:r>
        <w:t xml:space="preserve">edge</w:t>
      </w:r>
      <w:r>
        <w:t xml:space="preserve"> </w:t>
      </w:r>
      <w:r>
        <w:t xml:space="preserve">density,</w:t>
      </w:r>
      <w:r>
        <w:t xml:space="preserve"> </w:t>
      </w:r>
      <w:r>
        <w:t xml:space="preserve">modularity,</w:t>
      </w:r>
      <w:r>
        <w:t xml:space="preserve"> </w:t>
      </w:r>
      <w:r>
        <w:t xml:space="preserve">betweenness,</w:t>
      </w:r>
      <w:r>
        <w:t xml:space="preserve"> </w:t>
      </w:r>
      <w:r>
        <w:t xml:space="preserve">or</w:t>
      </w:r>
      <w:r>
        <w:t xml:space="preserve"> </w:t>
      </w:r>
      <w:r>
        <w:t xml:space="preserve">component</w:t>
      </w:r>
      <w:r>
        <w:t xml:space="preserve"> </w:t>
      </w:r>
      <w:r>
        <w:t xml:space="preserve">count,</w:t>
      </w:r>
      <w:r>
        <w:t xml:space="preserve"> </w:t>
      </w:r>
      <w:r>
        <w:t xml:space="preserve">so</w:t>
      </w:r>
      <w:r>
        <w:t xml:space="preserve"> </w:t>
      </w:r>
      <w:r>
        <w:t xml:space="preserve">the</w:t>
      </w:r>
      <w:r>
        <w:t xml:space="preserve"> </w:t>
      </w:r>
      <w:r>
        <w:t xml:space="preserve">observed</w:t>
      </w:r>
      <w:r>
        <w:t xml:space="preserve"> </w:t>
      </w:r>
      <w:r>
        <w:t xml:space="preserve">differences</w:t>
      </w:r>
      <w:r>
        <w:t xml:space="preserve"> </w:t>
      </w:r>
      <w:r>
        <w:t xml:space="preserve">in</w:t>
      </w:r>
      <w:r>
        <w:t xml:space="preserve"> </w:t>
      </w:r>
      <w:r>
        <w:t xml:space="preserve">connectivity</w:t>
      </w:r>
      <w:r>
        <w:t xml:space="preserve"> </w:t>
      </w:r>
      <w:r>
        <w:t xml:space="preserve">track</w:t>
      </w:r>
      <w:r>
        <w:t xml:space="preserve"> </w:t>
      </w:r>
      <w:r>
        <w:t xml:space="preserve">the</w:t>
      </w:r>
      <w:r>
        <w:t xml:space="preserve"> </w:t>
      </w:r>
      <w:r>
        <w:t xml:space="preserve">larger</w:t>
      </w:r>
      <w:r>
        <w:t xml:space="preserve"> </w:t>
      </w:r>
      <w:r>
        <w:t xml:space="preserve">size</w:t>
      </w:r>
      <w:r>
        <w:t xml:space="preserve"> </w:t>
      </w:r>
      <w:r>
        <w:t xml:space="preserve">of</w:t>
      </w:r>
      <w:r>
        <w:t xml:space="preserve"> </w:t>
      </w:r>
      <w:r>
        <w:t xml:space="preserve">the</w:t>
      </w:r>
      <w:r>
        <w:t xml:space="preserve"> </w:t>
      </w:r>
      <w:r>
        <w:t xml:space="preserve">early</w:t>
      </w:r>
      <w:r>
        <w:t xml:space="preserve"> </w:t>
      </w:r>
      <w:r>
        <w:t xml:space="preserve">phase</w:t>
      </w:r>
      <w:r>
        <w:t xml:space="preserve"> </w:t>
      </w:r>
      <w:r>
        <w:t xml:space="preserve">rather</w:t>
      </w:r>
      <w:r>
        <w:t xml:space="preserve"> </w:t>
      </w:r>
      <w:r>
        <w:t xml:space="preserve">than</w:t>
      </w:r>
      <w:r>
        <w:t xml:space="preserve"> </w:t>
      </w:r>
      <w:r>
        <w:t xml:space="preserve">a</w:t>
      </w:r>
      <w:r>
        <w:t xml:space="preserve"> </w:t>
      </w:r>
      <w:r>
        <w:t xml:space="preserve">statistically</w:t>
      </w:r>
      <w:r>
        <w:t xml:space="preserve"> </w:t>
      </w:r>
      <w:r>
        <w:t xml:space="preserve">distinguishable</w:t>
      </w:r>
      <w:r>
        <w:t xml:space="preserve"> </w:t>
      </w:r>
      <w:r>
        <w:t xml:space="preserve">community</w:t>
      </w:r>
      <w:r>
        <w:t xml:space="preserve"> </w:t>
      </w:r>
      <w:r>
        <w:t xml:space="preserve">structure.</w:t>
      </w:r>
      <w:r>
        <w:t xml:space="preserve"> </w:t>
      </w:r>
      <w:r>
        <w:t xml:space="preserve">Mantel</w:t>
      </w:r>
      <w:r>
        <w:t xml:space="preserve"> </w:t>
      </w:r>
      <w:r>
        <w:t xml:space="preserve">tests</w:t>
      </w:r>
      <w:r>
        <w:t xml:space="preserve"> </w:t>
      </w:r>
      <w:r>
        <w:t xml:space="preserve">did</w:t>
      </w:r>
      <w:r>
        <w:t xml:space="preserve"> </w:t>
      </w:r>
      <w:r>
        <w:t xml:space="preserve">not</w:t>
      </w:r>
      <w:r>
        <w:t xml:space="preserve"> </w:t>
      </w:r>
      <w:r>
        <w:t xml:space="preserve">detect</w:t>
      </w:r>
      <w:r>
        <w:t xml:space="preserve"> </w:t>
      </w:r>
      <w:r>
        <w:t xml:space="preserve">a</w:t>
      </w:r>
      <w:r>
        <w:t xml:space="preserve"> </w:t>
      </w:r>
      <w:r>
        <w:t xml:space="preserve">significant</w:t>
      </w:r>
      <w:r>
        <w:t xml:space="preserve"> </w:t>
      </w:r>
      <w:r>
        <w:t xml:space="preserve">correlation</w:t>
      </w:r>
      <w:r>
        <w:t xml:space="preserve"> </w:t>
      </w:r>
      <w:r>
        <w:t xml:space="preserve">between</w:t>
      </w:r>
      <w:r>
        <w:t xml:space="preserve"> </w:t>
      </w:r>
      <w:r>
        <w:t xml:space="preserve">geographic</w:t>
      </w:r>
      <w:r>
        <w:t xml:space="preserve"> </w:t>
      </w:r>
      <w:r>
        <w:t xml:space="preserve">distance</w:t>
      </w:r>
      <w:r>
        <w:t xml:space="preserve"> </w:t>
      </w:r>
      <w:r>
        <w:t xml:space="preserve">and</w:t>
      </w:r>
      <w:r>
        <w:t xml:space="preserve"> </w:t>
      </w:r>
      <w:r>
        <w:t xml:space="preserve">sign</w:t>
      </w:r>
      <w:r>
        <w:t xml:space="preserve"> </w:t>
      </w:r>
      <w:r>
        <w:t xml:space="preserve">distribution</w:t>
      </w:r>
      <w:r>
        <w:t xml:space="preserve"> </w:t>
      </w:r>
      <w:r>
        <w:t xml:space="preserve">in</w:t>
      </w:r>
      <w:r>
        <w:t xml:space="preserve"> </w:t>
      </w:r>
      <w:r>
        <w:t xml:space="preserve">either</w:t>
      </w:r>
      <w:r>
        <w:t xml:space="preserve"> </w:t>
      </w:r>
      <w:r>
        <w:t xml:space="preserve">phase,</w:t>
      </w:r>
      <w:r>
        <w:t xml:space="preserve"> </w:t>
      </w:r>
      <w:r>
        <w:t xml:space="preserve">and</w:t>
      </w:r>
      <w:r>
        <w:t xml:space="preserve"> </w:t>
      </w:r>
      <w:r>
        <w:t xml:space="preserve">the</w:t>
      </w:r>
      <w:r>
        <w:t xml:space="preserve"> </w:t>
      </w:r>
      <w:r>
        <w:t xml:space="preserve">isolation-by-distance</w:t>
      </w:r>
      <w:r>
        <w:t xml:space="preserve"> </w:t>
      </w:r>
      <w:r>
        <w:t xml:space="preserve">relationship</w:t>
      </w:r>
      <w:r>
        <w:t xml:space="preserve"> </w:t>
      </w:r>
      <w:r>
        <w:t xml:space="preserve">does</w:t>
      </w:r>
      <w:r>
        <w:t xml:space="preserve"> </w:t>
      </w:r>
      <w:r>
        <w:t xml:space="preserve">not</w:t>
      </w:r>
      <w:r>
        <w:t xml:space="preserve"> </w:t>
      </w:r>
      <w:r>
        <w:t xml:space="preserve">differ</w:t>
      </w:r>
      <w:r>
        <w:t xml:space="preserve"> </w:t>
      </w:r>
      <w:r>
        <w:t xml:space="preserve">between</w:t>
      </w:r>
      <w:r>
        <w:t xml:space="preserve"> </w:t>
      </w:r>
      <w:r>
        <w:t xml:space="preserve">them,</w:t>
      </w:r>
      <w:r>
        <w:t xml:space="preserve"> </w:t>
      </w:r>
      <w:r>
        <w:t xml:space="preserve">although</w:t>
      </w:r>
      <w:r>
        <w:t xml:space="preserve"> </w:t>
      </w:r>
      <w:r>
        <w:t xml:space="preserve">this</w:t>
      </w:r>
      <w:r>
        <w:t xml:space="preserve"> </w:t>
      </w:r>
      <w:r>
        <w:t xml:space="preserve">null</w:t>
      </w:r>
      <w:r>
        <w:t xml:space="preserve"> </w:t>
      </w:r>
      <w:r>
        <w:t xml:space="preserve">result</w:t>
      </w:r>
      <w:r>
        <w:t xml:space="preserve"> </w:t>
      </w:r>
      <w:r>
        <w:t xml:space="preserve">should</w:t>
      </w:r>
      <w:r>
        <w:t xml:space="preserve"> </w:t>
      </w:r>
      <w:r>
        <w:t xml:space="preserve">be</w:t>
      </w:r>
      <w:r>
        <w:t xml:space="preserve"> </w:t>
      </w:r>
      <w:r>
        <w:t xml:space="preserve">interpreted</w:t>
      </w:r>
      <w:r>
        <w:t xml:space="preserve"> </w:t>
      </w:r>
      <w:r>
        <w:t xml:space="preserve">cautiously</w:t>
      </w:r>
      <w:r>
        <w:t xml:space="preserve"> </w:t>
      </w:r>
      <w:r>
        <w:t xml:space="preserve">given</w:t>
      </w:r>
      <w:r>
        <w:t xml:space="preserve"> </w:t>
      </w:r>
      <w:r>
        <w:t xml:space="preserve">the</w:t>
      </w:r>
      <w:r>
        <w:t xml:space="preserve"> </w:t>
      </w:r>
      <w:r>
        <w:t xml:space="preserve">small</w:t>
      </w:r>
      <w:r>
        <w:t xml:space="preserve"> </w:t>
      </w:r>
      <w:r>
        <w:t xml:space="preserve">sample</w:t>
      </w:r>
      <w:r>
        <w:t xml:space="preserve"> </w:t>
      </w:r>
      <w:r>
        <w:t xml:space="preserve">sizes.</w:t>
      </w:r>
      <w:r>
        <w:t xml:space="preserve"> </w:t>
      </w:r>
      <w:r>
        <w:t xml:space="preserve">These</w:t>
      </w:r>
      <w:r>
        <w:t xml:space="preserve"> </w:t>
      </w:r>
      <w:r>
        <w:t xml:space="preserve">results</w:t>
      </w:r>
      <w:r>
        <w:t xml:space="preserve"> </w:t>
      </w:r>
      <w:r>
        <w:t xml:space="preserve">indicate</w:t>
      </w:r>
      <w:r>
        <w:t xml:space="preserve"> </w:t>
      </w:r>
      <w:r>
        <w:t xml:space="preserve">that</w:t>
      </w:r>
      <w:r>
        <w:t xml:space="preserve"> </w:t>
      </w:r>
      <w:r>
        <w:t xml:space="preserve">the</w:t>
      </w:r>
      <w:r>
        <w:t xml:space="preserve"> </w:t>
      </w:r>
      <w:r>
        <w:t xml:space="preserve">restricted/broad</w:t>
      </w:r>
      <w:r>
        <w:t xml:space="preserve"> </w:t>
      </w:r>
      <w:r>
        <w:t xml:space="preserve">separation</w:t>
      </w:r>
      <w:r>
        <w:t xml:space="preserve"> </w:t>
      </w:r>
      <w:r>
        <w:t xml:space="preserve">is</w:t>
      </w:r>
      <w:r>
        <w:t xml:space="preserve"> </w:t>
      </w:r>
      <w:r>
        <w:t xml:space="preserve">a</w:t>
      </w:r>
      <w:r>
        <w:t xml:space="preserve"> </w:t>
      </w:r>
      <w:r>
        <w:t xml:space="preserve">persistent</w:t>
      </w:r>
      <w:r>
        <w:t xml:space="preserve"> </w:t>
      </w:r>
      <w:r>
        <w:t xml:space="preserve">organisational</w:t>
      </w:r>
      <w:r>
        <w:t xml:space="preserve"> </w:t>
      </w:r>
      <w:r>
        <w:t xml:space="preserve">feature</w:t>
      </w:r>
      <w:r>
        <w:t xml:space="preserve"> </w:t>
      </w:r>
      <w:r>
        <w:t xml:space="preserve">of</w:t>
      </w:r>
      <w:r>
        <w:t xml:space="preserve"> </w:t>
      </w:r>
      <w:r>
        <w:t xml:space="preserve">Aurignacian</w:t>
      </w:r>
      <w:r>
        <w:t xml:space="preserve"> </w:t>
      </w:r>
      <w:r>
        <w:t xml:space="preserve">symbolic</w:t>
      </w:r>
      <w:r>
        <w:t xml:space="preserve"> </w:t>
      </w:r>
      <w:r>
        <w:t xml:space="preserve">culture;</w:t>
      </w:r>
      <w:r>
        <w:t xml:space="preserve"> </w:t>
      </w:r>
      <w:r>
        <w:t xml:space="preserve">the</w:t>
      </w:r>
      <w:r>
        <w:t xml:space="preserve"> </w:t>
      </w:r>
      <w:r>
        <w:t xml:space="preserve">absence</w:t>
      </w:r>
      <w:r>
        <w:t xml:space="preserve"> </w:t>
      </w:r>
      <w:r>
        <w:t xml:space="preserve">of</w:t>
      </w:r>
      <w:r>
        <w:t xml:space="preserve"> </w:t>
      </w:r>
      <w:r>
        <w:t xml:space="preserve">a</w:t>
      </w:r>
      <w:r>
        <w:t xml:space="preserve"> </w:t>
      </w:r>
      <w:r>
        <w:t xml:space="preserve">significant</w:t>
      </w:r>
      <w:r>
        <w:t xml:space="preserve"> </w:t>
      </w:r>
      <w:r>
        <w:t xml:space="preserve">geographic</w:t>
      </w:r>
      <w:r>
        <w:t xml:space="preserve"> </w:t>
      </w:r>
      <w:r>
        <w:t xml:space="preserve">correlation</w:t>
      </w:r>
      <w:r>
        <w:t xml:space="preserve"> </w:t>
      </w:r>
      <w:r>
        <w:t xml:space="preserve">is</w:t>
      </w:r>
      <w:r>
        <w:t xml:space="preserve"> </w:t>
      </w:r>
      <w:r>
        <w:t xml:space="preserve">consistent</w:t>
      </w:r>
      <w:r>
        <w:t xml:space="preserve"> </w:t>
      </w:r>
      <w:r>
        <w:t xml:space="preserve">with</w:t>
      </w:r>
      <w:r>
        <w:t xml:space="preserve"> </w:t>
      </w:r>
      <w:r>
        <w:t xml:space="preserve">this</w:t>
      </w:r>
      <w:r>
        <w:t xml:space="preserve"> </w:t>
      </w:r>
      <w:r>
        <w:t xml:space="preserve">interpretation</w:t>
      </w:r>
      <w:r>
        <w:t xml:space="preserve"> </w:t>
      </w:r>
      <w:r>
        <w:t xml:space="preserve">but</w:t>
      </w:r>
      <w:r>
        <w:t xml:space="preserve"> </w:t>
      </w:r>
      <w:r>
        <w:t xml:space="preserve">does</w:t>
      </w:r>
      <w:r>
        <w:t xml:space="preserve"> </w:t>
      </w:r>
      <w:r>
        <w:t xml:space="preserve">not</w:t>
      </w:r>
      <w:r>
        <w:t xml:space="preserve"> </w:t>
      </w:r>
      <w:r>
        <w:t xml:space="preserve">establish</w:t>
      </w:r>
      <w:r>
        <w:t xml:space="preserve"> </w:t>
      </w:r>
      <w:r>
        <w:t xml:space="preserve">it,</w:t>
      </w:r>
      <w:r>
        <w:t xml:space="preserve"> </w:t>
      </w:r>
      <w:r>
        <w:t xml:space="preserve">and</w:t>
      </w:r>
      <w:r>
        <w:t xml:space="preserve"> </w:t>
      </w:r>
      <w:r>
        <w:t xml:space="preserve">the</w:t>
      </w:r>
      <w:r>
        <w:t xml:space="preserve"> </w:t>
      </w:r>
      <w:r>
        <w:t xml:space="preserve">connectivity</w:t>
      </w:r>
      <w:r>
        <w:t xml:space="preserve"> </w:t>
      </w:r>
      <w:r>
        <w:t xml:space="preserve">dynamics</w:t>
      </w:r>
      <w:r>
        <w:t xml:space="preserve"> </w:t>
      </w:r>
      <w:r>
        <w:t xml:space="preserve">of</w:t>
      </w:r>
      <w:r>
        <w:t xml:space="preserve"> </w:t>
      </w:r>
      <w:r>
        <w:t xml:space="preserve">the</w:t>
      </w:r>
      <w:r>
        <w:t xml:space="preserve"> </w:t>
      </w:r>
      <w:r>
        <w:t xml:space="preserve">two</w:t>
      </w:r>
      <w:r>
        <w:t xml:space="preserve"> </w:t>
      </w:r>
      <w:r>
        <w:t xml:space="preserve">phases</w:t>
      </w:r>
      <w:r>
        <w:t xml:space="preserve"> </w:t>
      </w:r>
      <w:r>
        <w:t xml:space="preserve">should</w:t>
      </w:r>
      <w:r>
        <w:t xml:space="preserve"> </w:t>
      </w:r>
      <w:r>
        <w:t xml:space="preserve">be</w:t>
      </w:r>
      <w:r>
        <w:t xml:space="preserve"> </w:t>
      </w:r>
      <w:r>
        <w:t xml:space="preserve">compared</w:t>
      </w:r>
      <w:r>
        <w:t xml:space="preserve"> </w:t>
      </w:r>
      <w:r>
        <w:t xml:space="preserve">net</w:t>
      </w:r>
      <w:r>
        <w:t xml:space="preserve"> </w:t>
      </w:r>
      <w:r>
        <w:t xml:space="preserve">of</w:t>
      </w:r>
      <w:r>
        <w:t xml:space="preserve"> </w:t>
      </w:r>
      <w:r>
        <w:t xml:space="preserve">network</w:t>
      </w:r>
      <w:r>
        <w:t xml:space="preserve"> </w:t>
      </w:r>
      <w:r>
        <w:t xml:space="preserve">size</w:t>
      </w:r>
      <w:r>
        <w:t xml:space="preserve"> </w:t>
      </w:r>
      <w:r>
        <w:t xml:space="preserve">rather</w:t>
      </w:r>
      <w:r>
        <w:t xml:space="preserve"> </w:t>
      </w:r>
      <w:r>
        <w:t xml:space="preserve">than</w:t>
      </w:r>
      <w:r>
        <w:t xml:space="preserve"> </w:t>
      </w:r>
      <w:r>
        <w:t xml:space="preserve">through</w:t>
      </w:r>
      <w:r>
        <w:t xml:space="preserve"> </w:t>
      </w:r>
      <w:r>
        <w:t xml:space="preserve">a</w:t>
      </w:r>
      <w:r>
        <w:t xml:space="preserve"> </w:t>
      </w:r>
      <w:r>
        <w:t xml:space="preserve">simple</w:t>
      </w:r>
      <w:r>
        <w:t xml:space="preserve"> </w:t>
      </w:r>
      <w:r>
        <w:t xml:space="preserve">densest-hub</w:t>
      </w:r>
      <w:r>
        <w:t xml:space="preserve"> </w:t>
      </w:r>
      <w:r>
        <w:t xml:space="preserve">narrative.</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 into Aur-P1 (43–37 ka BP) and treat the Evolved/Late Aurignac as Aur-P2 (37–32 ka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[23,28,29]</w:t>
      </w:r>
      <w:r>
        <w:t xml:space="preserve">. Two sites are excluded from the analysis because their assemblages are too mixed to assign to a single phase reliably: Spy</w:t>
      </w:r>
      <w:r>
        <w:t xml:space="preserve"> </w:t>
      </w:r>
      <w:r>
        <w:t xml:space="preserve">[30,31]</w:t>
      </w:r>
      <w:r>
        <w:t xml:space="preserve"> </w:t>
      </w:r>
      <w:r>
        <w:t xml:space="preserve">and El Castillo. The robustness of these assignments to reverting to purely date-based criteria is tested in Supplement S8, where stratigraphic mixing concerns at Vogelherd are also addressed</w:t>
      </w:r>
      <w:r>
        <w:t xml:space="preserve"> </w:t>
      </w:r>
      <w:r>
        <w:t xml:space="preserve">[32]</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9"/>
              <w:gridCol w:w="161"/>
              <w:gridCol w:w="6921"/>
              <w:gridCol w:w="627"/>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[12,20,21,33]</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sites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3714749"/>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[34]</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[35]</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[36]</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[37]</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[38]</w:t>
      </w:r>
      <w:r>
        <w:t xml:space="preserve">. This relationship can be investigated using the isolation-by-distance framework, which proposes that cultural difference can be primarily explained by geographic distance</w:t>
      </w:r>
      <w:r>
        <w:t xml:space="preserve"> </w:t>
      </w:r>
      <w:r>
        <w:t xml:space="preserve">[35]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[39]</w:t>
      </w:r>
      <w:r>
        <w:t xml:space="preserve">. We used the Brower-Kile</w:t>
      </w:r>
      <w:r>
        <w:t xml:space="preserve"> </w:t>
      </w:r>
      <w:r>
        <w:t xml:space="preserve">[40]</w:t>
      </w:r>
      <w:r>
        <w:t xml:space="preserve"> </w:t>
      </w:r>
      <w:r>
        <w:t xml:space="preserve">seriation algorithm from the seriation package</w:t>
      </w:r>
      <w:r>
        <w:t xml:space="preserve"> </w:t>
      </w:r>
      <w:r>
        <w:t xml:space="preserve">[39]</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[41]</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[42]</w:t>
      </w:r>
      <w:r>
        <w:t xml:space="preserve">, a force-directed graph layout for uniform edge lengths, and network analysis was performed using the vegan</w:t>
      </w:r>
      <w:r>
        <w:t xml:space="preserve"> </w:t>
      </w:r>
      <w:r>
        <w:t xml:space="preserve">[37]</w:t>
      </w:r>
      <w:r>
        <w:t xml:space="preserve">, statnet</w:t>
      </w:r>
      <w:r>
        <w:t xml:space="preserve"> </w:t>
      </w:r>
      <w:r>
        <w:t xml:space="preserve">[43]</w:t>
      </w:r>
      <w:r>
        <w:t xml:space="preserve"> </w:t>
      </w:r>
      <w:r>
        <w:t xml:space="preserve">and igraph</w:t>
      </w:r>
      <w:r>
        <w:t xml:space="preserve"> </w:t>
      </w:r>
      <w:r>
        <w:t xml:space="preserve">[44]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[45,46]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[37]</w:t>
      </w:r>
      <w:r>
        <w:t xml:space="preserve"> </w:t>
      </w:r>
      <w:r>
        <w:t xml:space="preserve">and igraph</w:t>
      </w:r>
      <w:r>
        <w:t xml:space="preserve"> </w:t>
      </w:r>
      <w:r>
        <w:t xml:space="preserve">[44]</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3657600"/>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yellow,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 S6.3). Per-site robustness of the restricted/broad assignment is quantified in our Supplementary Material item</w:t>
      </w:r>
      <w:r>
        <w:t xml:space="preserve"> </w:t>
      </w:r>
      <w:r>
        <w:t xml:space="preserve">“</w:t>
      </w:r>
      <w:r>
        <w:t xml:space="preserve">Sensitivity Analyses</w:t>
      </w:r>
      <w:r>
        <w:t xml:space="preserve">”</w:t>
      </w:r>
      <w:r>
        <w:t xml:space="preserve"> </w:t>
      </w:r>
      <w:r>
        <w:t xml:space="preserve">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nine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Networks statistics for the two phases. The vertical black lines are the null 95% confidence interval, the colored dot is the observed statistic value (orange = p&lt;0.05, blue =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Inter-group connectivity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edge density does not significantly differ from random in either phase. Modularity is moderate in Aur-P1 (0.3-0.4), consistent with the restricted/broad community structure</w:t>
      </w:r>
      <w:r>
        <w:t xml:space="preserve"> </w:t>
      </w:r>
      <w:r>
        <w:t xml:space="preserve">[47]</w:t>
      </w:r>
      <w:r>
        <w:t xml:space="preserve">, and the null-benchmarked and size-normalised (Erdős–Rényi) comparisons in our Supplementary Material item</w:t>
      </w:r>
      <w:r>
        <w:t xml:space="preserve"> </w:t>
      </w:r>
      <w:r>
        <w:t xml:space="preserve">“</w:t>
      </w:r>
      <w:r>
        <w:t xml:space="preserve">Sensitivity Analyses</w:t>
      </w:r>
      <w:r>
        <w:t xml:space="preserve">”</w:t>
      </w:r>
      <w:r>
        <w:t xml:space="preserve"> </w:t>
      </w:r>
      <w:r>
        <w:t xml:space="preserve">S5.9 evaluate this structure net of network size. Pairwise permutation tests with Benjamini–Hochberg correction show that the phases do not differ significantly in any of the tested network statistics — edge density (p = 0.4404), modularity (p = 0.5), betweenness (p = 0.6166), or component count (p = 0.5019). The Aur-P1–Aur-P2 contrast is therefore primarily one of network scale rather than a statistically distinguishable community structure.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R^2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w:t>
      </w:r>
      <w:r>
        <w:t xml:space="preserve"> </w:t>
      </w: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[48–55]</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[4,55–66]</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[67]</w:t>
      </w:r>
      <w:r>
        <w:t xml:space="preserve">;</w:t>
      </w:r>
      <w:r>
        <w:t xml:space="preserve"> </w:t>
      </w:r>
      <w:r>
        <w:t xml:space="preserve">[68]</w:t>
      </w:r>
      <w:r>
        <w:t xml:space="preserve">;</w:t>
      </w:r>
      <w:r>
        <w:t xml:space="preserve"> </w:t>
      </w:r>
      <w:r>
        <w:t xml:space="preserve">[53]</w:t>
      </w:r>
      <w:r>
        <w:t xml:space="preserve">;</w:t>
      </w:r>
      <w:r>
        <w:t xml:space="preserve"> </w:t>
      </w:r>
      <w:r>
        <w:t xml:space="preserve">[69]</w:t>
      </w:r>
      <w:r>
        <w:t xml:space="preserve">;</w:t>
      </w:r>
      <w:r>
        <w:t xml:space="preserve"> </w:t>
      </w:r>
      <w:r>
        <w:t xml:space="preserve">[54]</w:t>
      </w:r>
      <w:r>
        <w:t xml:space="preserve">. Non-utilitarian mobility establishes regional social networks which facilitate the spread of information and the survival of hunter-gatherers in uncertain environments</w:t>
      </w:r>
      <w:r>
        <w:t xml:space="preserve"> </w:t>
      </w:r>
      <w:r>
        <w:t xml:space="preserve">[70]</w:t>
      </w:r>
      <w:r>
        <w:t xml:space="preserve">;</w:t>
      </w:r>
      <w:r>
        <w:t xml:space="preserve"> </w:t>
      </w:r>
      <w:r>
        <w:t xml:space="preserve">[71]</w:t>
      </w:r>
      <w:r>
        <w:t xml:space="preserve">;</w:t>
      </w:r>
      <w:r>
        <w:t xml:space="preserve"> </w:t>
      </w:r>
      <w:r>
        <w:t xml:space="preserve">[72]</w:t>
      </w:r>
      <w:r>
        <w:t xml:space="preserve">;</w:t>
      </w:r>
      <w:r>
        <w:t xml:space="preserve"> </w:t>
      </w:r>
      <w:r>
        <w:t xml:space="preserve">[73]</w:t>
      </w:r>
      <w:r>
        <w:t xml:space="preserve">;</w:t>
      </w:r>
      <w:r>
        <w:t xml:space="preserve"> </w:t>
      </w:r>
      <w:r>
        <w:t xml:space="preserve">[74]</w:t>
      </w:r>
      <w:r>
        <w:t xml:space="preserve">. The exchange and production of decorative items, such as objects with geometric signs, has been associated with non-utilitarian mobility and recognized as an indicator of social contact</w:t>
      </w:r>
      <w:r>
        <w:t xml:space="preserve"> </w:t>
      </w:r>
      <w:r>
        <w:t xml:space="preserve">[70]</w:t>
      </w:r>
      <w:r>
        <w:t xml:space="preserve">;</w:t>
      </w:r>
      <w:r>
        <w:t xml:space="preserve"> </w:t>
      </w:r>
      <w:r>
        <w:t xml:space="preserve">[75]</w:t>
      </w:r>
      <w:r>
        <w:t xml:space="preserve">;</w:t>
      </w:r>
      <w:r>
        <w:t xml:space="preserve"> </w:t>
      </w:r>
      <w:r>
        <w:t xml:space="preserve">[76]</w:t>
      </w:r>
      <w:r>
        <w:t xml:space="preserve">;</w:t>
      </w:r>
      <w:r>
        <w:t xml:space="preserve"> </w:t>
      </w:r>
      <w:r>
        <w:t xml:space="preserve">[77]</w:t>
      </w:r>
      <w:r>
        <w:t xml:space="preserve">;</w:t>
      </w:r>
      <w:r>
        <w:t xml:space="preserve"> </w:t>
      </w:r>
      <w:r>
        <w:t xml:space="preserve">[78]</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[79]</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[79]</w:t>
      </w:r>
      <w:r>
        <w:t xml:space="preserve">, including, in some cases, decorative objects</w:t>
      </w:r>
      <w:r>
        <w:t xml:space="preserve"> </w:t>
      </w:r>
      <w:r>
        <w:t xml:space="preserve">[75]</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[2,80–86]</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[87,88]</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significant negative correlation with network degree (ρ = -0.35, p = 0.0614295), indicating that aggregation candidates are less connected rather than merely decoupled from network hubs. The correlation with betweenness was not significant (ρ = -0.18, p = 0.3487049). Object count was positively correlated with degree centrality (degree: ρ = 0.35, p = 0.063328), indicating that hubs tend to be among the better-sampled sites. The elevated diversity identifying aggregation candidates did not differ significantly between the restricted and broad-range groups (Wilcoxon W = 59, p = 0.0436321), so this metric does not by itself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[89]</w:t>
      </w:r>
      <w:r>
        <w:t xml:space="preserve">. This was followed by rapid expansion from 43.25–41 ka BP, with the maximum extent of early Aurignacian (Aur-P1) settlement being reached around 41 ka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[90–98]</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a higher edge density,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[89]</w:t>
      </w:r>
      <w:r>
        <w:t xml:space="preserve"> </w:t>
      </w:r>
      <w:r>
        <w:t xml:space="preserve">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[99]</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[99]</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[100–102]</w:t>
      </w:r>
      <w:r>
        <w:t xml:space="preserve">. Smaller populations are predicted to experience greater drift and reduced capacity to maintain complex cultural repertoires</w:t>
      </w:r>
      <w:r>
        <w:t xml:space="preserve"> </w:t>
      </w:r>
      <w:r>
        <w:t xml:space="preserve">[103]</w:t>
      </w:r>
      <w:r>
        <w:t xml:space="preserve">, which is consistent with our observation that the sign-type pool is larger in the Aur-P1 phase (26 types) than in the Aur-P2 phase (15 types). Network structure also shapes cultural information flow: highly connected networks with hub structures facilitate rapid transmission and reduce drift</w:t>
      </w:r>
      <w:r>
        <w:t xml:space="preserve"> </w:t>
      </w:r>
      <w:r>
        <w:t xml:space="preserve">[104,105]</w:t>
      </w:r>
      <w:r>
        <w:t xml:space="preserve">, while more clustered networks promote localised conformist transmission and differentiation within subgroups</w:t>
      </w:r>
      <w:r>
        <w:t xml:space="preserve"> </w:t>
      </w:r>
      <w:r>
        <w:t xml:space="preserve">[106]</w:t>
      </w:r>
      <w:r>
        <w:t xml:space="preserve">. Our Aur-P1 network, with the higher mean degree (7.5°) and hub structure centred on key sites, would be expected to show efficient sign-type transmission — consistent with the wide geographic spread of common signs. Aur-P2 shows higher relative edge density but a lower mean degree (4.2°) and no significant geographic signal (Mantel R = -0.299, p = 0.933),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w:t>
      </w:r>
      <w:r>
        <w:t xml:space="preserve"> </w:t>
      </w:r>
      <w:r>
        <w:t xml:space="preserve">[103,107]</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[108]</w:t>
      </w:r>
      <w:r>
        <w:t xml:space="preserve"> </w:t>
      </w:r>
      <w:r>
        <w:t xml:space="preserve">(sign sequences having protocuneiform-like information density, suggesting notational function) and</w:t>
      </w:r>
      <w:r>
        <w:t xml:space="preserve"> </w:t>
      </w:r>
      <w:r>
        <w:t xml:space="preserve">[109]</w:t>
      </w:r>
      <w:r>
        <w:t xml:space="preserve"> </w:t>
      </w:r>
      <w:r>
        <w:t xml:space="preserve">(some signs recording seasonal prey information). However, both hypotheses are contested:</w:t>
      </w:r>
      <w:r>
        <w:t xml:space="preserve"> </w:t>
      </w:r>
      <w:r>
        <w:t xml:space="preserve">[110]</w:t>
      </w:r>
      <w:r>
        <w:t xml:space="preserve"> </w:t>
      </w:r>
      <w:r>
        <w:t xml:space="preserve">note methodological issues in Bentz &amp; Dutkiewicz;</w:t>
      </w:r>
      <w:r>
        <w:t xml:space="preserve"> </w:t>
      </w:r>
      <w:r>
        <w:t xml:space="preserve">[111]</w:t>
      </w:r>
      <w:r>
        <w:t xml:space="preserve"> </w:t>
      </w:r>
      <w:r>
        <w:t xml:space="preserve">and</w:t>
      </w:r>
      <w:r>
        <w:t xml:space="preserve"> </w:t>
      </w:r>
      <w:r>
        <w:t xml:space="preserve">[112]</w:t>
      </w:r>
      <w:r>
        <w:t xml:space="preserve"> </w:t>
      </w:r>
      <w:r>
        <w:t xml:space="preserve">argue the lunar calendar hypothesis is untestable, circular, and selectively uses data;</w:t>
      </w:r>
      <w:r>
        <w:t xml:space="preserve"> </w:t>
      </w:r>
      <w:r>
        <w:t xml:space="preserve">[113]</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[3,81,114–117]</w:t>
      </w:r>
      <w:r>
        <w:t xml:space="preserve"> </w:t>
      </w:r>
      <w:r>
        <w:t xml:space="preserve">has used material culture analysis to reconstruct Upper Palaeolithic social networks, which have been argued to be a driver of cultural and evolutionary change</w:t>
      </w:r>
      <w:r>
        <w:t xml:space="preserve"> </w:t>
      </w:r>
      <w:r>
        <w:t xml:space="preserve">[2,74,118–122]</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[123]</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[80]</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[99]</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[124]</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[125]</w:t>
      </w:r>
      <w:r>
        <w:t xml:space="preserve">, and additionally, greater quantities of included sign types serve to establish stronger connections</w:t>
      </w:r>
      <w:r>
        <w:t xml:space="preserve"> </w:t>
      </w:r>
      <w:r>
        <w:t xml:space="preserve">[123]</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[108]</w:t>
      </w:r>
      <w:r>
        <w:t xml:space="preserve">.</w:t>
      </w:r>
    </w:p>
    <w:p>
      <w:pPr>
        <w:pStyle w:val="BodyText"/>
      </w:pPr>
      <w:r>
        <w:t xml:space="preserve">A further limitation concerns the effects of time-averaging on our network reconstructions.</w:t>
      </w:r>
      <w:r>
        <w:t xml:space="preserve"> </w:t>
      </w:r>
      <w:r>
        <w:t xml:space="preserve">[126]</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[69]</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[32]</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[127,128]</w:t>
      </w:r>
      <w:r>
        <w:t xml:space="preserve">.</w:t>
      </w:r>
    </w:p>
    <w:bookmarkEnd w:id="61"/>
    <w:bookmarkStart w:id="282" w:name="references"/>
    <w:p>
      <w:pPr>
        <w:pStyle w:val="Heading1"/>
      </w:pPr>
      <w:r>
        <w:t xml:space="preserve">References</w:t>
      </w:r>
    </w:p>
    <w:bookmarkStart w:id="281"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5" w:name="ref-dinnis2019thoughts"/>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p>
    <w:bookmarkEnd w:id="85"/>
    <w:bookmarkStart w:id="86"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6"/>
    <w:bookmarkStart w:id="87"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7"/>
    <w:bookmarkStart w:id="88"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8"/>
    <w:bookmarkStart w:id="89"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 p</w:t>
      </w:r>
      <w:r>
        <w:t xml:space="preserve">é</w:t>
      </w:r>
      <w:r>
        <w:t xml:space="preserve">rigord. Towards a Definition of the Aurignacian 2006;45:147–71.</w:t>
      </w:r>
    </w:p>
    <w:bookmarkEnd w:id="89"/>
    <w:bookmarkStart w:id="90"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0"/>
    <w:bookmarkStart w:id="92"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1">
        <w:r>
          <w:rPr>
            <w:rStyle w:val="Hyperlink"/>
          </w:rPr>
          <w:t xml:space="preserve">https://doi.org/10.1371/journal.pone.0211562</w:t>
        </w:r>
      </w:hyperlink>
      <w:r>
        <w:t xml:space="preserve">.</w:t>
      </w:r>
    </w:p>
    <w:bookmarkEnd w:id="92"/>
    <w:bookmarkStart w:id="94"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3">
        <w:r>
          <w:rPr>
            <w:rStyle w:val="Hyperlink"/>
          </w:rPr>
          <w:t xml:space="preserve">https://doi.org/10.1016/j.jhevol.2012.10.001</w:t>
        </w:r>
      </w:hyperlink>
      <w:r>
        <w:t xml:space="preserve">.</w:t>
      </w:r>
    </w:p>
    <w:bookmarkEnd w:id="94"/>
    <w:bookmarkStart w:id="96"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5">
        <w:r>
          <w:rPr>
            <w:rStyle w:val="Hyperlink"/>
          </w:rPr>
          <w:t xml:space="preserve">https://doi.org/10.1016/j.quascirev.2021.106995</w:t>
        </w:r>
      </w:hyperlink>
      <w:r>
        <w:t xml:space="preserve">.</w:t>
      </w:r>
    </w:p>
    <w:bookmarkEnd w:id="96"/>
    <w:bookmarkStart w:id="98"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7">
        <w:r>
          <w:rPr>
            <w:rStyle w:val="Hyperlink"/>
          </w:rPr>
          <w:t xml:space="preserve">https://doi.org/10.1371/journal.pone.0189241</w:t>
        </w:r>
      </w:hyperlink>
      <w:r>
        <w:t xml:space="preserve">.</w:t>
      </w:r>
    </w:p>
    <w:bookmarkEnd w:id="98"/>
    <w:bookmarkStart w:id="100"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99">
        <w:r>
          <w:rPr>
            <w:rStyle w:val="Hyperlink"/>
          </w:rPr>
          <w:t xml:space="preserve">https://doi.org/10.7485/QU65_2</w:t>
        </w:r>
      </w:hyperlink>
      <w:r>
        <w:t xml:space="preserve">.</w:t>
      </w:r>
    </w:p>
    <w:bookmarkEnd w:id="100"/>
    <w:bookmarkStart w:id="101"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1"/>
    <w:bookmarkStart w:id="103"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2">
        <w:r>
          <w:rPr>
            <w:rStyle w:val="Hyperlink"/>
          </w:rPr>
          <w:t xml:space="preserve">https://doi.org/10.1016/j.jhevol.2011.06.001</w:t>
        </w:r>
      </w:hyperlink>
      <w:r>
        <w:t xml:space="preserve">.</w:t>
      </w:r>
    </w:p>
    <w:bookmarkEnd w:id="103"/>
    <w:bookmarkStart w:id="105"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4">
        <w:r>
          <w:rPr>
            <w:rStyle w:val="Hyperlink"/>
          </w:rPr>
          <w:t xml:space="preserve">https://doi.org/10.1002/jqs.3223</w:t>
        </w:r>
      </w:hyperlink>
      <w:r>
        <w:t xml:space="preserve">.</w:t>
      </w:r>
    </w:p>
    <w:bookmarkEnd w:id="105"/>
    <w:bookmarkStart w:id="107"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6">
        <w:r>
          <w:rPr>
            <w:rStyle w:val="Hyperlink"/>
          </w:rPr>
          <w:t xml:space="preserve">https://doi.org/10.1007/3-211-38327-6_3</w:t>
        </w:r>
      </w:hyperlink>
      <w:r>
        <w:t xml:space="preserve">.</w:t>
      </w:r>
    </w:p>
    <w:bookmarkEnd w:id="107"/>
    <w:bookmarkStart w:id="109"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8">
        <w:r>
          <w:rPr>
            <w:rStyle w:val="Hyperlink"/>
          </w:rPr>
          <w:t xml:space="preserve">https://doi.org/10.1371/journal.pone.0194097</w:t>
        </w:r>
      </w:hyperlink>
      <w:r>
        <w:t xml:space="preserve">.</w:t>
      </w:r>
    </w:p>
    <w:bookmarkEnd w:id="109"/>
    <w:bookmarkStart w:id="111" w:name="ref-Dinnis_et_al_2019"/>
    <w:p>
      <w:pPr>
        <w:pStyle w:val="Bibliography"/>
      </w:pPr>
      <w:r>
        <w:t xml:space="preserve">[29]</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110">
        <w:r>
          <w:rPr>
            <w:rStyle w:val="Hyperlink"/>
          </w:rPr>
          <w:t xml:space="preserve">https://doi.org/10.1017/ppr.2019.5</w:t>
        </w:r>
      </w:hyperlink>
      <w:r>
        <w:t xml:space="preserve">.</w:t>
      </w:r>
    </w:p>
    <w:bookmarkEnd w:id="111"/>
    <w:bookmarkStart w:id="112" w:name="ref-Flas_et_al_2013"/>
    <w:p>
      <w:pPr>
        <w:pStyle w:val="Bibliography"/>
      </w:pPr>
      <w:r>
        <w:t xml:space="preserve">[30]</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2"/>
    <w:bookmarkStart w:id="114" w:name="ref-Flas_2015"/>
    <w:p>
      <w:pPr>
        <w:pStyle w:val="Bibliography"/>
      </w:pPr>
      <w:r>
        <w:t xml:space="preserve">[31]</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3">
        <w:r>
          <w:rPr>
            <w:rStyle w:val="Hyperlink"/>
          </w:rPr>
          <w:t xml:space="preserve">https://doi.org/10.4000/palethnologie.736</w:t>
        </w:r>
      </w:hyperlink>
      <w:r>
        <w:t xml:space="preserve">.</w:t>
      </w:r>
    </w:p>
    <w:bookmarkEnd w:id="114"/>
    <w:bookmarkStart w:id="116" w:name="ref-Schurch_Conard_2026"/>
    <w:p>
      <w:pPr>
        <w:pStyle w:val="Bibliography"/>
      </w:pPr>
      <w:r>
        <w:t xml:space="preserve">[32]</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15">
        <w:r>
          <w:rPr>
            <w:rStyle w:val="Hyperlink"/>
          </w:rPr>
          <w:t xml:space="preserve">https://doi.org/10.1007/s41982-025-00298-3</w:t>
        </w:r>
      </w:hyperlink>
      <w:r>
        <w:t xml:space="preserve">.</w:t>
      </w:r>
    </w:p>
    <w:bookmarkEnd w:id="116"/>
    <w:bookmarkStart w:id="118" w:name="ref-Fletcher_Sánchez"/>
    <w:p>
      <w:pPr>
        <w:pStyle w:val="Bibliography"/>
      </w:pPr>
      <w:r>
        <w:t xml:space="preserve">[33]</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7">
        <w:r>
          <w:rPr>
            <w:rStyle w:val="Hyperlink"/>
          </w:rPr>
          <w:t xml:space="preserve">https://doi.org/10.1016/j.quascirev.2009.11.015</w:t>
        </w:r>
      </w:hyperlink>
      <w:r>
        <w:t xml:space="preserve">.</w:t>
      </w:r>
    </w:p>
    <w:bookmarkEnd w:id="118"/>
    <w:bookmarkStart w:id="120" w:name="ref-Crema_Bevan_2021"/>
    <w:p>
      <w:pPr>
        <w:pStyle w:val="Bibliography"/>
      </w:pPr>
      <w:r>
        <w:t xml:space="preserve">[34]</w:t>
      </w:r>
      <w:r>
        <w:t xml:space="preserve"> </w:t>
      </w:r>
      <w:r>
        <w:t xml:space="preserve">	</w:t>
      </w:r>
      <w:r>
        <w:t xml:space="preserve">Crema ER, Bevan A. INFERENCE FROM LARGE SETS OF RADIOCARBON DATES: SOFTWARE AND METHODS. Radiocarbon 2021;63:23–39.</w:t>
      </w:r>
      <w:r>
        <w:t xml:space="preserve"> </w:t>
      </w:r>
      <w:hyperlink r:id="rId119">
        <w:r>
          <w:rPr>
            <w:rStyle w:val="Hyperlink"/>
          </w:rPr>
          <w:t xml:space="preserve">https://doi.org/10.1017/RDC.2020.95</w:t>
        </w:r>
      </w:hyperlink>
      <w:r>
        <w:t xml:space="preserve">.</w:t>
      </w:r>
    </w:p>
    <w:bookmarkEnd w:id="120"/>
    <w:bookmarkStart w:id="122" w:name="ref-Lycett_2019"/>
    <w:p>
      <w:pPr>
        <w:pStyle w:val="Bibliography"/>
      </w:pPr>
      <w:r>
        <w:t xml:space="preserve">[35]</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1">
        <w:r>
          <w:rPr>
            <w:rStyle w:val="Hyperlink"/>
          </w:rPr>
          <w:t xml:space="preserve">https://doi.org/10.1007/s12520-018-0742-3</w:t>
        </w:r>
      </w:hyperlink>
      <w:r>
        <w:t xml:space="preserve">.</w:t>
      </w:r>
    </w:p>
    <w:bookmarkEnd w:id="122"/>
    <w:bookmarkStart w:id="124" w:name="ref-Mantel_Smouse"/>
    <w:p>
      <w:pPr>
        <w:pStyle w:val="Bibliography"/>
      </w:pPr>
      <w:r>
        <w:t xml:space="preserve">[36]</w:t>
      </w:r>
      <w:r>
        <w:t xml:space="preserve"> </w:t>
      </w:r>
      <w:r>
        <w:t xml:space="preserve">	</w:t>
      </w:r>
      <w:r>
        <w:t xml:space="preserve">Smouse PE, Long JC. Matrix correlation analysis in anthropology and genetics. American Journal of Physical Anthropology 1992;35:187–213. https://doi.org/</w:t>
      </w:r>
      <w:hyperlink r:id="rId123">
        <w:r>
          <w:rPr>
            <w:rStyle w:val="Hyperlink"/>
          </w:rPr>
          <w:t xml:space="preserve">https://doi.org/10.1002/ajpa.1330350608</w:t>
        </w:r>
      </w:hyperlink>
      <w:r>
        <w:t xml:space="preserve">.</w:t>
      </w:r>
    </w:p>
    <w:bookmarkEnd w:id="124"/>
    <w:bookmarkStart w:id="126" w:name="ref-Vegan2001"/>
    <w:p>
      <w:pPr>
        <w:pStyle w:val="Bibliography"/>
      </w:pPr>
      <w:r>
        <w:t xml:space="preserve">[37]</w:t>
      </w:r>
      <w:r>
        <w:t xml:space="preserve"> </w:t>
      </w:r>
      <w:r>
        <w:t xml:space="preserve">	</w:t>
      </w:r>
      <w:r>
        <w:t xml:space="preserve">Oksanen J, Simpson GL, Blanchet FG, Kindt R, Legendre P, Minchin PR, et al. Vegan: Community ecology package 2001:25–31.</w:t>
      </w:r>
      <w:r>
        <w:t xml:space="preserve"> </w:t>
      </w:r>
      <w:hyperlink r:id="rId125">
        <w:r>
          <w:rPr>
            <w:rStyle w:val="Hyperlink"/>
          </w:rPr>
          <w:t xml:space="preserve">https://doi.org/10.32614/CRAN.package.vegan</w:t>
        </w:r>
      </w:hyperlink>
      <w:r>
        <w:t xml:space="preserve">.</w:t>
      </w:r>
    </w:p>
    <w:bookmarkEnd w:id="126"/>
    <w:bookmarkStart w:id="128" w:name="ref-Rigaud_dErrico_Vanhaeren_2015"/>
    <w:p>
      <w:pPr>
        <w:pStyle w:val="Bibliography"/>
      </w:pPr>
      <w:r>
        <w:t xml:space="preserve">[38]</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7">
        <w:r>
          <w:rPr>
            <w:rStyle w:val="Hyperlink"/>
          </w:rPr>
          <w:t xml:space="preserve">https://doi.org/10.1371/journal.pone.0121166</w:t>
        </w:r>
      </w:hyperlink>
      <w:r>
        <w:t xml:space="preserve">.</w:t>
      </w:r>
    </w:p>
    <w:bookmarkEnd w:id="128"/>
    <w:bookmarkStart w:id="130" w:name="ref-seriation_pckge"/>
    <w:p>
      <w:pPr>
        <w:pStyle w:val="Bibliography"/>
      </w:pPr>
      <w:r>
        <w:t xml:space="preserve">[39]</w:t>
      </w:r>
      <w:r>
        <w:t xml:space="preserve"> </w:t>
      </w:r>
      <w:r>
        <w:t xml:space="preserve">	</w:t>
      </w:r>
      <w:r>
        <w:t xml:space="preserve">Hahsler M, Hornik K, Buchta C. Getting things in order: An introduction to the r package seriation. Journal of Statistical Software 2008;25:1–34.</w:t>
      </w:r>
      <w:r>
        <w:t xml:space="preserve"> </w:t>
      </w:r>
      <w:hyperlink r:id="rId129">
        <w:r>
          <w:rPr>
            <w:rStyle w:val="Hyperlink"/>
          </w:rPr>
          <w:t xml:space="preserve">https://doi.org/10.18637/jss.v025.i03</w:t>
        </w:r>
      </w:hyperlink>
      <w:r>
        <w:t xml:space="preserve">.</w:t>
      </w:r>
    </w:p>
    <w:bookmarkEnd w:id="130"/>
    <w:bookmarkStart w:id="132" w:name="ref-Brower_Kile_1988"/>
    <w:p>
      <w:pPr>
        <w:pStyle w:val="Bibliography"/>
      </w:pPr>
      <w:r>
        <w:t xml:space="preserve">[40]</w:t>
      </w:r>
      <w:r>
        <w:t xml:space="preserve"> </w:t>
      </w:r>
      <w:r>
        <w:t xml:space="preserve">	</w:t>
      </w:r>
      <w:r>
        <w:t xml:space="preserve">Brower JC, Kile KM. Seriation of an original data matrix as applied to paleoecology. Lethaia 1988;21:79–93.</w:t>
      </w:r>
      <w:r>
        <w:t xml:space="preserve"> </w:t>
      </w:r>
      <w:hyperlink r:id="rId131">
        <w:r>
          <w:rPr>
            <w:rStyle w:val="Hyperlink"/>
          </w:rPr>
          <w:t xml:space="preserve">https://doi.org/10.1111/j.1502-3931.1988.tb01756.x</w:t>
        </w:r>
      </w:hyperlink>
      <w:r>
        <w:t xml:space="preserve">.</w:t>
      </w:r>
    </w:p>
    <w:bookmarkEnd w:id="132"/>
    <w:bookmarkStart w:id="134" w:name="ref-Mills_2017"/>
    <w:p>
      <w:pPr>
        <w:pStyle w:val="Bibliography"/>
      </w:pPr>
      <w:r>
        <w:t xml:space="preserve">[41]</w:t>
      </w:r>
      <w:r>
        <w:t xml:space="preserve"> </w:t>
      </w:r>
      <w:r>
        <w:t xml:space="preserve">	</w:t>
      </w:r>
      <w:r>
        <w:t xml:space="preserve">Mills BJ. Social network analysis in archaeology. Annual Review of Anthropology 2017;46:379–97.</w:t>
      </w:r>
      <w:r>
        <w:t xml:space="preserve"> </w:t>
      </w:r>
      <w:hyperlink r:id="rId133">
        <w:r>
          <w:rPr>
            <w:rStyle w:val="Hyperlink"/>
          </w:rPr>
          <w:t xml:space="preserve">https://doi.org/10.1146/annurev-anthro-102116-041423</w:t>
        </w:r>
      </w:hyperlink>
      <w:r>
        <w:t xml:space="preserve">.</w:t>
      </w:r>
    </w:p>
    <w:bookmarkEnd w:id="134"/>
    <w:bookmarkStart w:id="136" w:name="ref-Fruchterman_Reingold_1991"/>
    <w:p>
      <w:pPr>
        <w:pStyle w:val="Bibliography"/>
      </w:pPr>
      <w:r>
        <w:t xml:space="preserve">[42]</w:t>
      </w:r>
      <w:r>
        <w:t xml:space="preserve"> </w:t>
      </w:r>
      <w:r>
        <w:t xml:space="preserve">	</w:t>
      </w:r>
      <w:r>
        <w:t xml:space="preserve">Fruchterman TMJ, Reingold EM. Graph drawing by force-directed placement. Software: Practice and Experience 1991;21:1129–64.</w:t>
      </w:r>
      <w:r>
        <w:t xml:space="preserve"> </w:t>
      </w:r>
      <w:hyperlink r:id="rId135">
        <w:r>
          <w:rPr>
            <w:rStyle w:val="Hyperlink"/>
          </w:rPr>
          <w:t xml:space="preserve">https://doi.org/10.1002/spe.4380211102</w:t>
        </w:r>
      </w:hyperlink>
      <w:r>
        <w:t xml:space="preserve">.</w:t>
      </w:r>
    </w:p>
    <w:bookmarkEnd w:id="136"/>
    <w:bookmarkStart w:id="138" w:name="ref-statnet_package"/>
    <w:p>
      <w:pPr>
        <w:pStyle w:val="Bibliography"/>
      </w:pPr>
      <w:r>
        <w:t xml:space="preserve">[43]</w:t>
      </w:r>
      <w:r>
        <w:t xml:space="preserve"> </w:t>
      </w:r>
      <w:r>
        <w:t xml:space="preserve">	</w:t>
      </w:r>
      <w:r>
        <w:t xml:space="preserve">Pavel N. Krivitsky MSH, Hunter DR, Butts CT, Bojanowski M, Klumb C, Goodreau SM, et al.</w:t>
      </w:r>
      <w:r>
        <w:t xml:space="preserve"> </w:t>
      </w:r>
      <w:hyperlink r:id="rId137">
        <w:r>
          <w:rPr>
            <w:rStyle w:val="Hyperlink"/>
          </w:rPr>
          <w:t xml:space="preserve">Statnet: Tools for the statistical modeling of network data</w:t>
        </w:r>
      </w:hyperlink>
      <w:r>
        <w:t xml:space="preserve"> </w:t>
      </w:r>
      <w:r>
        <w:t xml:space="preserve">2003–2024.</w:t>
      </w:r>
    </w:p>
    <w:bookmarkEnd w:id="138"/>
    <w:bookmarkStart w:id="140" w:name="ref-igraph_package"/>
    <w:p>
      <w:pPr>
        <w:pStyle w:val="Bibliography"/>
      </w:pPr>
      <w:r>
        <w:t xml:space="preserve">[44]</w:t>
      </w:r>
      <w:r>
        <w:t xml:space="preserve"> </w:t>
      </w:r>
      <w:r>
        <w:t xml:space="preserve">	</w:t>
      </w:r>
      <w:r>
        <w:t xml:space="preserve">Csardi G, Nepusz T.</w:t>
      </w:r>
      <w:r>
        <w:t xml:space="preserve"> </w:t>
      </w:r>
      <w:hyperlink r:id="rId139">
        <w:r>
          <w:rPr>
            <w:rStyle w:val="Hyperlink"/>
          </w:rPr>
          <w:t xml:space="preserve">The igraph software package for complex network research</w:t>
        </w:r>
      </w:hyperlink>
      <w:r>
        <w:t xml:space="preserve">. InterJournal 2006;Complex Systems:1695.</w:t>
      </w:r>
    </w:p>
    <w:bookmarkEnd w:id="140"/>
    <w:bookmarkStart w:id="142" w:name="ref-Anderson_2017"/>
    <w:p>
      <w:pPr>
        <w:pStyle w:val="Bibliography"/>
      </w:pPr>
      <w:r>
        <w:t xml:space="preserve">[45]</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1">
        <w:r>
          <w:rPr>
            <w:rStyle w:val="Hyperlink"/>
          </w:rPr>
          <w:t xml:space="preserve">https://doi.org/10.1002/9781118445112.stat07841</w:t>
        </w:r>
      </w:hyperlink>
      <w:r>
        <w:t xml:space="preserve">.</w:t>
      </w:r>
    </w:p>
    <w:bookmarkEnd w:id="142"/>
    <w:bookmarkStart w:id="144" w:name="ref-Shennan_Crema_Kerig_2015"/>
    <w:p>
      <w:pPr>
        <w:pStyle w:val="Bibliography"/>
      </w:pPr>
      <w:r>
        <w:t xml:space="preserve">[46]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3">
        <w:r>
          <w:rPr>
            <w:rStyle w:val="Hyperlink"/>
          </w:rPr>
          <w:t xml:space="preserve">https://doi.org/10.1016/j.evolhumbehav.2014.09.006</w:t>
        </w:r>
      </w:hyperlink>
      <w:r>
        <w:t xml:space="preserve">.</w:t>
      </w:r>
    </w:p>
    <w:bookmarkEnd w:id="144"/>
    <w:bookmarkStart w:id="145" w:name="ref-newman2004finding"/>
    <w:p>
      <w:pPr>
        <w:pStyle w:val="Bibliography"/>
      </w:pPr>
      <w:r>
        <w:t xml:space="preserve">[47]</w:t>
      </w:r>
      <w:r>
        <w:t xml:space="preserve"> </w:t>
      </w:r>
      <w:r>
        <w:t xml:space="preserve">	</w:t>
      </w:r>
      <w:r>
        <w:t xml:space="preserve">Newman ME, Girvan M. Finding and evaluating community structure in networks. Physical Review E 2004;69:026113.</w:t>
      </w:r>
    </w:p>
    <w:bookmarkEnd w:id="145"/>
    <w:bookmarkStart w:id="147" w:name="ref-Finlayson_Warren_2017"/>
    <w:p>
      <w:pPr>
        <w:pStyle w:val="Bibliography"/>
      </w:pPr>
      <w:r>
        <w:t xml:space="preserve">[48]</w:t>
      </w:r>
      <w:r>
        <w:t xml:space="preserve"> </w:t>
      </w:r>
      <w:r>
        <w:t xml:space="preserve">	</w:t>
      </w:r>
      <w:r>
        <w:t xml:space="preserve">Finlayson B, Warren G.</w:t>
      </w:r>
      <w:r>
        <w:t xml:space="preserve"> </w:t>
      </w:r>
      <w:hyperlink r:id="rId146">
        <w:r>
          <w:rPr>
            <w:rStyle w:val="Hyperlink"/>
          </w:rPr>
          <w:t xml:space="preserve">The diversity of hunter-gatherer pasts: An introduction</w:t>
        </w:r>
      </w:hyperlink>
      <w:r>
        <w:t xml:space="preserve">. In: Finlayson B, Warren G, editors. The diversity of hunter gatherer pasts. 1st ed., Oxbow Books; 2017, p. 1–14.</w:t>
      </w:r>
    </w:p>
    <w:bookmarkEnd w:id="147"/>
    <w:bookmarkStart w:id="149" w:name="ref-Riches_1995"/>
    <w:p>
      <w:pPr>
        <w:pStyle w:val="Bibliography"/>
      </w:pPr>
      <w:r>
        <w:t xml:space="preserve">[49]</w:t>
      </w:r>
      <w:r>
        <w:t xml:space="preserve"> </w:t>
      </w:r>
      <w:r>
        <w:t xml:space="preserve">	</w:t>
      </w:r>
      <w:r>
        <w:t xml:space="preserve">Riches D. Hunter-gatherer structural transformations. The Journal of the Royal Anthropological Institute 1995;1:679–701.</w:t>
      </w:r>
      <w:r>
        <w:t xml:space="preserve"> </w:t>
      </w:r>
      <w:hyperlink r:id="rId148">
        <w:r>
          <w:rPr>
            <w:rStyle w:val="Hyperlink"/>
          </w:rPr>
          <w:t xml:space="preserve">https://doi.org/10.2307/3034956</w:t>
        </w:r>
      </w:hyperlink>
      <w:r>
        <w:t xml:space="preserve">.</w:t>
      </w:r>
    </w:p>
    <w:bookmarkEnd w:id="149"/>
    <w:bookmarkStart w:id="151" w:name="ref-Price_Brown_1985"/>
    <w:p>
      <w:pPr>
        <w:pStyle w:val="Bibliography"/>
      </w:pPr>
      <w:r>
        <w:t xml:space="preserve">[50]</w:t>
      </w:r>
      <w:r>
        <w:t xml:space="preserve"> </w:t>
      </w:r>
      <w:r>
        <w:t xml:space="preserve">	</w:t>
      </w:r>
      <w:r>
        <w:t xml:space="preserve">Price TD, Brown JA. Aspects of hunter–gatherer complexity. In: Price TD, Brown JA, editors. Prehistoric hunters-gatherers, Academic Press; 1985, p. 3–20. https://doi.org/</w:t>
      </w:r>
      <w:hyperlink r:id="rId150">
        <w:r>
          <w:rPr>
            <w:rStyle w:val="Hyperlink"/>
          </w:rPr>
          <w:t xml:space="preserve">https://doi.org/10.1016/B978-0-12-564750-2.50006-8</w:t>
        </w:r>
      </w:hyperlink>
      <w:r>
        <w:t xml:space="preserve">.</w:t>
      </w:r>
    </w:p>
    <w:bookmarkEnd w:id="151"/>
    <w:bookmarkStart w:id="153" w:name="ref-Lane_2017"/>
    <w:p>
      <w:pPr>
        <w:pStyle w:val="Bibliography"/>
      </w:pPr>
      <w:r>
        <w:t xml:space="preserve">[51]</w:t>
      </w:r>
      <w:r>
        <w:t xml:space="preserve"> </w:t>
      </w:r>
      <w:r>
        <w:t xml:space="preserve">	</w:t>
      </w:r>
      <w:r>
        <w:t xml:space="preserve">Lane PJ.</w:t>
      </w:r>
      <w:r>
        <w:t xml:space="preserve"> </w:t>
      </w:r>
      <w:hyperlink r:id="rId152">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3"/>
    <w:bookmarkStart w:id="154" w:name="ref-Pate_2006"/>
    <w:p>
      <w:pPr>
        <w:pStyle w:val="Bibliography"/>
      </w:pPr>
      <w:r>
        <w:t xml:space="preserve">[52]</w:t>
      </w:r>
      <w:r>
        <w:t xml:space="preserve"> </w:t>
      </w:r>
      <w:r>
        <w:t xml:space="preserve">	</w:t>
      </w:r>
      <w:r>
        <w:t xml:space="preserve">Pate F. Hunter-gatherer social complexity at roonka flat, south australia. The social archaeology of australian indigenous societies, Aboriginal Studies Press; 2006, p. 226–41.</w:t>
      </w:r>
    </w:p>
    <w:bookmarkEnd w:id="154"/>
    <w:bookmarkStart w:id="156" w:name="ref-Johnson_2014"/>
    <w:p>
      <w:pPr>
        <w:pStyle w:val="Bibliography"/>
      </w:pPr>
      <w:r>
        <w:t xml:space="preserve">[53]</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5">
        <w:r>
          <w:rPr>
            <w:rStyle w:val="Hyperlink"/>
          </w:rPr>
          <w:t xml:space="preserve">https://doi.org/10.1007/s10814-013-9068-y</w:t>
        </w:r>
      </w:hyperlink>
      <w:r>
        <w:t xml:space="preserve">.</w:t>
      </w:r>
    </w:p>
    <w:bookmarkEnd w:id="156"/>
    <w:bookmarkStart w:id="158" w:name="ref-Singh_Glowacki_2022"/>
    <w:p>
      <w:pPr>
        <w:pStyle w:val="Bibliography"/>
      </w:pPr>
      <w:r>
        <w:t xml:space="preserve">[54]</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7">
        <w:r>
          <w:rPr>
            <w:rStyle w:val="Hyperlink"/>
          </w:rPr>
          <w:t xml:space="preserve">https://doi.org/10.1016/j.evolhumbehav.2022.07.003</w:t>
        </w:r>
      </w:hyperlink>
      <w:r>
        <w:t xml:space="preserve">.</w:t>
      </w:r>
    </w:p>
    <w:bookmarkEnd w:id="158"/>
    <w:bookmarkStart w:id="160" w:name="ref-Schwendler_2012"/>
    <w:p>
      <w:pPr>
        <w:pStyle w:val="Bibliography"/>
      </w:pPr>
      <w:r>
        <w:t xml:space="preserve">[55]</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9">
        <w:r>
          <w:rPr>
            <w:rStyle w:val="Hyperlink"/>
          </w:rPr>
          <w:t xml:space="preserve">https://doi.org/10.1016/j.quaint.2012.03.054</w:t>
        </w:r>
      </w:hyperlink>
      <w:r>
        <w:t xml:space="preserve">.</w:t>
      </w:r>
    </w:p>
    <w:bookmarkEnd w:id="160"/>
    <w:bookmarkStart w:id="162" w:name="ref-Morwood_1987"/>
    <w:p>
      <w:pPr>
        <w:pStyle w:val="Bibliography"/>
      </w:pPr>
      <w:r>
        <w:t xml:space="preserve">[56]</w:t>
      </w:r>
      <w:r>
        <w:t xml:space="preserve"> </w:t>
      </w:r>
      <w:r>
        <w:t xml:space="preserve">	</w:t>
      </w:r>
      <w:r>
        <w:t xml:space="preserve">Morwood MJ. The archaeology of social complexity in south-east queensland. Proceedings of the Prehistoric Society 1987;53:337–50.</w:t>
      </w:r>
      <w:r>
        <w:t xml:space="preserve"> </w:t>
      </w:r>
      <w:hyperlink r:id="rId161">
        <w:r>
          <w:rPr>
            <w:rStyle w:val="Hyperlink"/>
          </w:rPr>
          <w:t xml:space="preserve">https://doi.org/10.1017/S0079497X00006265</w:t>
        </w:r>
      </w:hyperlink>
      <w:r>
        <w:t xml:space="preserve">.</w:t>
      </w:r>
    </w:p>
    <w:bookmarkEnd w:id="162"/>
    <w:bookmarkStart w:id="164" w:name="ref-Mattson_2021"/>
    <w:p>
      <w:pPr>
        <w:pStyle w:val="Bibliography"/>
      </w:pPr>
      <w:r>
        <w:t xml:space="preserve">[57]</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3">
        <w:r>
          <w:rPr>
            <w:rStyle w:val="Hyperlink"/>
          </w:rPr>
          <w:t xml:space="preserve">https://doi.org/10.2307/j.ctv24q4z2g.5</w:t>
        </w:r>
      </w:hyperlink>
      <w:r>
        <w:t xml:space="preserve">.</w:t>
      </w:r>
    </w:p>
    <w:bookmarkEnd w:id="164"/>
    <w:bookmarkStart w:id="165" w:name="ref-Larsson_2006"/>
    <w:p>
      <w:pPr>
        <w:pStyle w:val="Bibliography"/>
      </w:pPr>
      <w:r>
        <w:t xml:space="preserve">[58]</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5"/>
    <w:bookmarkStart w:id="167" w:name="ref-Moore_2010"/>
    <w:p>
      <w:pPr>
        <w:pStyle w:val="Bibliography"/>
      </w:pPr>
      <w:r>
        <w:t xml:space="preserve">[59]</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6">
        <w:r>
          <w:rPr>
            <w:rStyle w:val="Hyperlink"/>
          </w:rPr>
          <w:t xml:space="preserve">https://doi.org/10.1179/sea.2010.29.1.013</w:t>
        </w:r>
      </w:hyperlink>
      <w:r>
        <w:t xml:space="preserve">.</w:t>
      </w:r>
    </w:p>
    <w:bookmarkEnd w:id="167"/>
    <w:bookmarkStart w:id="169" w:name="ref-Alfonso-Durrruty_Giles_Misarti2015"/>
    <w:p>
      <w:pPr>
        <w:pStyle w:val="Bibliography"/>
      </w:pPr>
      <w:r>
        <w:t xml:space="preserve">[60]</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8">
        <w:r>
          <w:rPr>
            <w:rStyle w:val="Hyperlink"/>
          </w:rPr>
          <w:t xml:space="preserve">https://doi.org/10.1002/ajpa.22832</w:t>
        </w:r>
      </w:hyperlink>
      <w:r>
        <w:t xml:space="preserve">.</w:t>
      </w:r>
    </w:p>
    <w:bookmarkEnd w:id="169"/>
    <w:bookmarkStart w:id="170" w:name="ref-Vanhaeren_2005"/>
    <w:p>
      <w:pPr>
        <w:pStyle w:val="Bibliography"/>
      </w:pPr>
      <w:r>
        <w:t xml:space="preserve">[61]</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70"/>
    <w:bookmarkStart w:id="172" w:name="ref-Conkey_1985"/>
    <w:p>
      <w:pPr>
        <w:pStyle w:val="Bibliography"/>
      </w:pPr>
      <w:r>
        <w:t xml:space="preserve">[62]</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71">
        <w:r>
          <w:rPr>
            <w:rStyle w:val="Hyperlink"/>
          </w:rPr>
          <w:t xml:space="preserve">https://doi.org/10.1016/B978-0-12-564750-2.50016-0</w:t>
        </w:r>
      </w:hyperlink>
      <w:r>
        <w:t xml:space="preserve">.</w:t>
      </w:r>
    </w:p>
    <w:bookmarkEnd w:id="172"/>
    <w:bookmarkStart w:id="173" w:name="ref-Conkey_1978"/>
    <w:p>
      <w:pPr>
        <w:pStyle w:val="Bibliography"/>
      </w:pPr>
      <w:r>
        <w:t xml:space="preserve">[63]</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3"/>
    <w:bookmarkStart w:id="175" w:name="ref-Tilley_1982"/>
    <w:p>
      <w:pPr>
        <w:pStyle w:val="Bibliography"/>
      </w:pPr>
      <w:r>
        <w:t xml:space="preserve">[64]</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4">
        <w:r>
          <w:rPr>
            <w:rStyle w:val="Hyperlink"/>
          </w:rPr>
          <w:t xml:space="preserve">https://doi.org/10.1017/CBO9780511558252.004</w:t>
        </w:r>
      </w:hyperlink>
      <w:r>
        <w:t xml:space="preserve">.</w:t>
      </w:r>
    </w:p>
    <w:bookmarkEnd w:id="175"/>
    <w:bookmarkStart w:id="177" w:name="ref-Hodder1979"/>
    <w:p>
      <w:pPr>
        <w:pStyle w:val="Bibliography"/>
      </w:pPr>
      <w:r>
        <w:t xml:space="preserve">[65]</w:t>
      </w:r>
      <w:r>
        <w:t xml:space="preserve"> </w:t>
      </w:r>
      <w:r>
        <w:t xml:space="preserve">	</w:t>
      </w:r>
      <w:r>
        <w:t xml:space="preserve">Hodder I.</w:t>
      </w:r>
      <w:r>
        <w:t xml:space="preserve"> </w:t>
      </w:r>
      <w:hyperlink r:id="rId176">
        <w:r>
          <w:rPr>
            <w:rStyle w:val="Hyperlink"/>
          </w:rPr>
          <w:t xml:space="preserve">Economic and social stress and material culture patterning</w:t>
        </w:r>
      </w:hyperlink>
      <w:r>
        <w:t xml:space="preserve">. American Antiquity 1979;44:446–54.</w:t>
      </w:r>
    </w:p>
    <w:bookmarkEnd w:id="177"/>
    <w:bookmarkStart w:id="179" w:name="ref-Hodder1977"/>
    <w:p>
      <w:pPr>
        <w:pStyle w:val="Bibliography"/>
      </w:pPr>
      <w:r>
        <w:t xml:space="preserve">[66]</w:t>
      </w:r>
      <w:r>
        <w:t xml:space="preserve"> </w:t>
      </w:r>
      <w:r>
        <w:t xml:space="preserve">	</w:t>
      </w:r>
      <w:r>
        <w:t xml:space="preserve">Hodder I.</w:t>
      </w:r>
      <w:r>
        <w:t xml:space="preserve"> </w:t>
      </w:r>
      <w:hyperlink r:id="rId178">
        <w:r>
          <w:rPr>
            <w:rStyle w:val="Hyperlink"/>
          </w:rPr>
          <w:t xml:space="preserve">The distribution of material culture items in the baringo district, western kenya</w:t>
        </w:r>
      </w:hyperlink>
      <w:r>
        <w:t xml:space="preserve">. Man 1977;12:239–69.</w:t>
      </w:r>
    </w:p>
    <w:bookmarkEnd w:id="179"/>
    <w:bookmarkStart w:id="180" w:name="ref-Binford_1990"/>
    <w:p>
      <w:pPr>
        <w:pStyle w:val="Bibliography"/>
      </w:pPr>
      <w:r>
        <w:t xml:space="preserve">[67]</w:t>
      </w:r>
      <w:r>
        <w:t xml:space="preserve"> </w:t>
      </w:r>
      <w:r>
        <w:t xml:space="preserve">	</w:t>
      </w:r>
      <w:r>
        <w:t xml:space="preserve">Binford LR. Mobility, housing, and environment: A comparative study. Journal of Anthropological Research 1990;46:119–52.</w:t>
      </w:r>
    </w:p>
    <w:bookmarkEnd w:id="180"/>
    <w:bookmarkStart w:id="181" w:name="ref-Kelly_1983"/>
    <w:p>
      <w:pPr>
        <w:pStyle w:val="Bibliography"/>
      </w:pPr>
      <w:r>
        <w:t xml:space="preserve">[68]</w:t>
      </w:r>
      <w:r>
        <w:t xml:space="preserve"> </w:t>
      </w:r>
      <w:r>
        <w:t xml:space="preserve">	</w:t>
      </w:r>
      <w:r>
        <w:t xml:space="preserve">Kelly RL. Hunter-gatherer mobility strategies. Journal of Anthropological Research 1983;39:277–306.</w:t>
      </w:r>
    </w:p>
    <w:bookmarkEnd w:id="181"/>
    <w:bookmarkStart w:id="183" w:name="ref-Padilla-Iglesias_Bischoff_2024"/>
    <w:p>
      <w:pPr>
        <w:pStyle w:val="Bibliography"/>
      </w:pPr>
      <w:r>
        <w:t xml:space="preserve">[69]</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2">
        <w:r>
          <w:rPr>
            <w:rStyle w:val="Hyperlink"/>
          </w:rPr>
          <w:t xml:space="preserve">https://doi.org/10.1016/j.jasrep.2024.104798</w:t>
        </w:r>
      </w:hyperlink>
      <w:r>
        <w:t xml:space="preserve">.</w:t>
      </w:r>
    </w:p>
    <w:bookmarkEnd w:id="183"/>
    <w:bookmarkStart w:id="185" w:name="ref-Whallon_2006"/>
    <w:p>
      <w:pPr>
        <w:pStyle w:val="Bibliography"/>
      </w:pPr>
      <w:r>
        <w:t xml:space="preserve">[70]</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4">
        <w:r>
          <w:rPr>
            <w:rStyle w:val="Hyperlink"/>
          </w:rPr>
          <w:t xml:space="preserve">https://doi.org/10.1016/j.jaa.2005.11.004</w:t>
        </w:r>
      </w:hyperlink>
      <w:r>
        <w:t xml:space="preserve">.</w:t>
      </w:r>
    </w:p>
    <w:bookmarkEnd w:id="185"/>
    <w:bookmarkStart w:id="186" w:name="ref-Fitzhugh_Phillips_Gjesfeld_2011"/>
    <w:p>
      <w:pPr>
        <w:pStyle w:val="Bibliography"/>
      </w:pPr>
      <w:r>
        <w:t xml:space="preserve">[71]</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6"/>
    <w:bookmarkStart w:id="188" w:name="ref-Lovis_Donahue_2011"/>
    <w:p>
      <w:pPr>
        <w:pStyle w:val="Bibliography"/>
      </w:pPr>
      <w:r>
        <w:t xml:space="preserve">[72]</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7">
        <w:r>
          <w:rPr>
            <w:rStyle w:val="Hyperlink"/>
          </w:rPr>
          <w:t xml:space="preserve">https://doi.org/10.2307/j.ctvdmwwz4.7</w:t>
        </w:r>
      </w:hyperlink>
      <w:r>
        <w:t xml:space="preserve">.</w:t>
      </w:r>
    </w:p>
    <w:bookmarkEnd w:id="188"/>
    <w:bookmarkStart w:id="190" w:name="ref-Hitchcock_Ebert_2011"/>
    <w:p>
      <w:pPr>
        <w:pStyle w:val="Bibliography"/>
      </w:pPr>
      <w:r>
        <w:t xml:space="preserve">[73]</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9">
        <w:r>
          <w:rPr>
            <w:rStyle w:val="Hyperlink"/>
          </w:rPr>
          <w:t xml:space="preserve">https://doi.org/10.2307/j.ctvdmwwz4.10</w:t>
        </w:r>
      </w:hyperlink>
      <w:r>
        <w:t xml:space="preserve">.</w:t>
      </w:r>
    </w:p>
    <w:bookmarkEnd w:id="190"/>
    <w:bookmarkStart w:id="192" w:name="ref-Romano_Lozano_Fern2022"/>
    <w:p>
      <w:pPr>
        <w:pStyle w:val="Bibliography"/>
      </w:pPr>
      <w:r>
        <w:t xml:space="preserve">[74]</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91">
        <w:r>
          <w:rPr>
            <w:rStyle w:val="Hyperlink"/>
          </w:rPr>
          <w:t xml:space="preserve">https://doi.org/10.1098/rstb.2020.0318</w:t>
        </w:r>
      </w:hyperlink>
      <w:r>
        <w:t xml:space="preserve">.</w:t>
      </w:r>
    </w:p>
    <w:bookmarkEnd w:id="192"/>
    <w:bookmarkStart w:id="194" w:name="ref-Kelly_2024"/>
    <w:p>
      <w:pPr>
        <w:pStyle w:val="Bibliography"/>
      </w:pPr>
      <w:r>
        <w:t xml:space="preserve">[75]</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3">
        <w:r>
          <w:rPr>
            <w:rStyle w:val="Hyperlink"/>
          </w:rPr>
          <w:t xml:space="preserve">https://doi.org/10.1111/tops.12762</w:t>
        </w:r>
      </w:hyperlink>
      <w:r>
        <w:t xml:space="preserve">.</w:t>
      </w:r>
    </w:p>
    <w:bookmarkEnd w:id="194"/>
    <w:bookmarkStart w:id="196" w:name="ref-Kinahan_2013"/>
    <w:p>
      <w:pPr>
        <w:pStyle w:val="Bibliography"/>
      </w:pPr>
      <w:r>
        <w:t xml:space="preserve">[76]</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5">
        <w:r>
          <w:rPr>
            <w:rStyle w:val="Hyperlink"/>
          </w:rPr>
          <w:t xml:space="preserve">https://doi.org/10.3213/2191-5784-10243</w:t>
        </w:r>
      </w:hyperlink>
      <w:r>
        <w:t xml:space="preserve">.</w:t>
      </w:r>
    </w:p>
    <w:bookmarkEnd w:id="196"/>
    <w:bookmarkStart w:id="198" w:name="ref-Newlander_2012"/>
    <w:p>
      <w:pPr>
        <w:pStyle w:val="Bibliography"/>
      </w:pPr>
      <w:r>
        <w:t xml:space="preserve">[77]</w:t>
      </w:r>
      <w:r>
        <w:t xml:space="preserve"> </w:t>
      </w:r>
      <w:r>
        <w:t xml:space="preserve">	</w:t>
      </w:r>
      <w:r>
        <w:t xml:space="preserve">Newlander KS.</w:t>
      </w:r>
      <w:r>
        <w:t xml:space="preserve"> </w:t>
      </w:r>
      <w:hyperlink r:id="rId197">
        <w:r>
          <w:rPr>
            <w:rStyle w:val="Hyperlink"/>
          </w:rPr>
          <w:t xml:space="preserve">Exchange, embedded procurement, and hunter-gatherer mobility: A case study from the north american great basin</w:t>
        </w:r>
      </w:hyperlink>
      <w:r>
        <w:t xml:space="preserve">. Ph.D. University of Michigan, 2012.</w:t>
      </w:r>
    </w:p>
    <w:bookmarkEnd w:id="198"/>
    <w:bookmarkStart w:id="200" w:name="ref-Iizuka_Ferguson_Izuho_2022"/>
    <w:p>
      <w:pPr>
        <w:pStyle w:val="Bibliography"/>
      </w:pPr>
      <w:r>
        <w:t xml:space="preserve">[78]</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9">
        <w:r>
          <w:rPr>
            <w:rStyle w:val="Hyperlink"/>
          </w:rPr>
          <w:t xml:space="preserve">https://doi.org/10.1371/journal.pone.0265329</w:t>
        </w:r>
      </w:hyperlink>
      <w:r>
        <w:t xml:space="preserve">.</w:t>
      </w:r>
    </w:p>
    <w:bookmarkEnd w:id="200"/>
    <w:bookmarkStart w:id="202" w:name="ref-conkley_agg"/>
    <w:p>
      <w:pPr>
        <w:pStyle w:val="Bibliography"/>
      </w:pPr>
      <w:r>
        <w:t xml:space="preserve">[79]</w:t>
      </w:r>
      <w:r>
        <w:t xml:space="preserve"> </w:t>
      </w:r>
      <w:r>
        <w:t xml:space="preserve">	</w:t>
      </w:r>
      <w:r>
        <w:t xml:space="preserve">Conkey M, Beltran A, Beltrán A, Clark GA, Echegaray JG, Echegaray JG, et al.</w:t>
      </w:r>
      <w:r>
        <w:t xml:space="preserve"> </w:t>
      </w:r>
      <w:hyperlink r:id="rId201">
        <w:r>
          <w:rPr>
            <w:rStyle w:val="Hyperlink"/>
          </w:rPr>
          <w:t xml:space="preserve">The identification of prehistoric hunter-gatherer aggregation sites: The case of altamira [and comments and reply]</w:t>
        </w:r>
      </w:hyperlink>
      <w:r>
        <w:t xml:space="preserve">. Current Anthropology 1980;21:609–30.</w:t>
      </w:r>
    </w:p>
    <w:bookmarkEnd w:id="202"/>
    <w:bookmarkStart w:id="204" w:name="ref-Maher_Conkey_2019"/>
    <w:p>
      <w:pPr>
        <w:pStyle w:val="Bibliography"/>
      </w:pPr>
      <w:r>
        <w:t xml:space="preserve">[80]</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3">
        <w:r>
          <w:rPr>
            <w:rStyle w:val="Hyperlink"/>
          </w:rPr>
          <w:t xml:space="preserve">https://doi.org/10.1086/701523</w:t>
        </w:r>
      </w:hyperlink>
      <w:r>
        <w:t xml:space="preserve">.</w:t>
      </w:r>
    </w:p>
    <w:bookmarkEnd w:id="204"/>
    <w:bookmarkStart w:id="205" w:name="ref-bahn1982inter"/>
    <w:p>
      <w:pPr>
        <w:pStyle w:val="Bibliography"/>
      </w:pPr>
      <w:r>
        <w:t xml:space="preserve">[81]</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5"/>
    <w:bookmarkStart w:id="207" w:name="ref-Bourdier_2013"/>
    <w:p>
      <w:pPr>
        <w:pStyle w:val="Bibliography"/>
      </w:pPr>
      <w:r>
        <w:t xml:space="preserve">[82]</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6">
        <w:r>
          <w:rPr>
            <w:rStyle w:val="Hyperlink"/>
          </w:rPr>
          <w:t xml:space="preserve">https://doi.org/10.1016/j.jaa.2013.05.005</w:t>
        </w:r>
      </w:hyperlink>
      <w:r>
        <w:t xml:space="preserve">.</w:t>
      </w:r>
    </w:p>
    <w:bookmarkEnd w:id="207"/>
    <w:bookmarkStart w:id="209" w:name="ref-Svoboda_2013"/>
    <w:p>
      <w:pPr>
        <w:pStyle w:val="Bibliography"/>
      </w:pPr>
      <w:r>
        <w:t xml:space="preserve">[83]</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8">
        <w:r>
          <w:rPr>
            <w:rStyle w:val="Hyperlink"/>
          </w:rPr>
          <w:t xml:space="preserve">https://doi.org/10.4000/palethnologie.4945</w:t>
        </w:r>
      </w:hyperlink>
      <w:r>
        <w:t xml:space="preserve">.</w:t>
      </w:r>
    </w:p>
    <w:bookmarkEnd w:id="209"/>
    <w:bookmarkStart w:id="210" w:name="ref-white1992rethinking"/>
    <w:p>
      <w:pPr>
        <w:pStyle w:val="Bibliography"/>
      </w:pPr>
      <w:r>
        <w:t xml:space="preserve">[84]</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10"/>
    <w:bookmarkStart w:id="211" w:name="X79d7c52b9cdbe72fc1b94e51c6ee6057d0c4a50"/>
    <w:p>
      <w:pPr>
        <w:pStyle w:val="Bibliography"/>
      </w:pPr>
      <w:r>
        <w:t xml:space="preserve">[85]</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11"/>
    <w:bookmarkStart w:id="213" w:name="ref-montet-white1994"/>
    <w:p>
      <w:pPr>
        <w:pStyle w:val="Bibliography"/>
      </w:pPr>
      <w:r>
        <w:t xml:space="preserve">[86]</w:t>
      </w:r>
      <w:r>
        <w:t xml:space="preserve"> </w:t>
      </w:r>
      <w:r>
        <w:t xml:space="preserve">	</w:t>
      </w:r>
      <w:r>
        <w:t xml:space="preserve">Montet-White A.</w:t>
      </w:r>
      <w:r>
        <w:t xml:space="preserve"> </w:t>
      </w:r>
      <w:hyperlink r:id="rId212">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3"/>
    <w:bookmarkStart w:id="215" w:name="ref-Frerebeau_2025"/>
    <w:p>
      <w:pPr>
        <w:pStyle w:val="Bibliography"/>
      </w:pPr>
      <w:r>
        <w:t xml:space="preserve">[87]</w:t>
      </w:r>
      <w:r>
        <w:t xml:space="preserve"> </w:t>
      </w:r>
      <w:r>
        <w:t xml:space="preserve">	</w:t>
      </w:r>
      <w:r>
        <w:t xml:space="preserve">Frerebeau N. Tabula: Analysis and visualization of archaeological count data 2025.</w:t>
      </w:r>
      <w:r>
        <w:t xml:space="preserve"> </w:t>
      </w:r>
      <w:hyperlink r:id="rId214">
        <w:r>
          <w:rPr>
            <w:rStyle w:val="Hyperlink"/>
          </w:rPr>
          <w:t xml:space="preserve">https://doi.org/10.5281/zenodo.15397990</w:t>
        </w:r>
      </w:hyperlink>
      <w:r>
        <w:t xml:space="preserve">.</w:t>
      </w:r>
    </w:p>
    <w:bookmarkEnd w:id="215"/>
    <w:bookmarkStart w:id="217" w:name="ref-Kintigh_1984"/>
    <w:p>
      <w:pPr>
        <w:pStyle w:val="Bibliography"/>
      </w:pPr>
      <w:r>
        <w:t xml:space="preserve">[88]</w:t>
      </w:r>
      <w:r>
        <w:t xml:space="preserve"> </w:t>
      </w:r>
      <w:r>
        <w:t xml:space="preserve">	</w:t>
      </w:r>
      <w:r>
        <w:t xml:space="preserve">Kintigh KW. Measuring archaeological diversity by comparison with simulated assemblages. American Antiquity 1984;49:44–54.</w:t>
      </w:r>
      <w:r>
        <w:t xml:space="preserve"> </w:t>
      </w:r>
      <w:hyperlink r:id="rId216">
        <w:r>
          <w:rPr>
            <w:rStyle w:val="Hyperlink"/>
          </w:rPr>
          <w:t xml:space="preserve">https://doi.org/10.2307/280511</w:t>
        </w:r>
      </w:hyperlink>
      <w:r>
        <w:t xml:space="preserve">.</w:t>
      </w:r>
    </w:p>
    <w:bookmarkEnd w:id="217"/>
    <w:bookmarkStart w:id="219" w:name="X8c17deb08b87fbfa26556dda630532ff62c8bd1"/>
    <w:p>
      <w:pPr>
        <w:pStyle w:val="Bibliography"/>
      </w:pPr>
      <w:r>
        <w:t xml:space="preserve">[89]</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8">
        <w:r>
          <w:rPr>
            <w:rStyle w:val="Hyperlink"/>
          </w:rPr>
          <w:t xml:space="preserve">https://doi.org/10.1038/s41467-024-51349-y</w:t>
        </w:r>
      </w:hyperlink>
      <w:r>
        <w:t xml:space="preserve">.</w:t>
      </w:r>
    </w:p>
    <w:bookmarkEnd w:id="219"/>
    <w:bookmarkStart w:id="221" w:name="ref-smith1992Design"/>
    <w:p>
      <w:pPr>
        <w:pStyle w:val="Bibliography"/>
      </w:pPr>
      <w:r>
        <w:t xml:space="preserve">[90]</w:t>
      </w:r>
      <w:r>
        <w:t xml:space="preserve"> </w:t>
      </w:r>
      <w:r>
        <w:t xml:space="preserve">	</w:t>
      </w:r>
      <w:r>
        <w:t xml:space="preserve">Smith C.</w:t>
      </w:r>
      <w:r>
        <w:t xml:space="preserve"> </w:t>
      </w:r>
      <w:hyperlink r:id="rId220">
        <w:r>
          <w:rPr>
            <w:rStyle w:val="Hyperlink"/>
          </w:rPr>
          <w:t xml:space="preserve">Designed dreaming: Assessing the relationship between style, social structure and environment in aboriginal australia</w:t>
        </w:r>
      </w:hyperlink>
      <w:r>
        <w:t xml:space="preserve">. Australian Archaeology 1992:51–1.</w:t>
      </w:r>
    </w:p>
    <w:bookmarkEnd w:id="221"/>
    <w:bookmarkStart w:id="222" w:name="ref-hays1993symbol"/>
    <w:p>
      <w:pPr>
        <w:pStyle w:val="Bibliography"/>
      </w:pPr>
      <w:r>
        <w:t xml:space="preserve">[91]</w:t>
      </w:r>
      <w:r>
        <w:t xml:space="preserve"> </w:t>
      </w:r>
      <w:r>
        <w:t xml:space="preserve">	</w:t>
      </w:r>
      <w:r>
        <w:t xml:space="preserve">Hays KA. When is a symbol archaeologically meaningful? Meaning, function, and prehistoric visual arts. Archaeological Theory: Who Sets the Agenda 1993:81–92.</w:t>
      </w:r>
    </w:p>
    <w:bookmarkEnd w:id="222"/>
    <w:bookmarkStart w:id="223" w:name="ref-McDonald_Veth_Lilley_2006"/>
    <w:p>
      <w:pPr>
        <w:pStyle w:val="Bibliography"/>
      </w:pPr>
      <w:r>
        <w:t xml:space="preserve">[92]</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3"/>
    <w:bookmarkStart w:id="225" w:name="ref-Lourandos_1985"/>
    <w:p>
      <w:pPr>
        <w:pStyle w:val="Bibliography"/>
      </w:pPr>
      <w:r>
        <w:t xml:space="preserve">[93]</w:t>
      </w:r>
      <w:r>
        <w:t xml:space="preserve"> </w:t>
      </w:r>
      <w:r>
        <w:t xml:space="preserve">	</w:t>
      </w:r>
      <w:r>
        <w:t xml:space="preserve">Lourandos H. 15 - intensification and australian prehistory. In: Price TD, Brown JA, editors. Prehistoric hunters-gatherers, Academic Press; 1985, p. 385–423. https://doi.org/</w:t>
      </w:r>
      <w:hyperlink r:id="rId224">
        <w:r>
          <w:rPr>
            <w:rStyle w:val="Hyperlink"/>
          </w:rPr>
          <w:t xml:space="preserve">https://doi.org/10.1016/B978-0-12-564750-2.50020-2</w:t>
        </w:r>
      </w:hyperlink>
      <w:r>
        <w:t xml:space="preserve">.</w:t>
      </w:r>
    </w:p>
    <w:bookmarkEnd w:id="225"/>
    <w:bookmarkStart w:id="227" w:name="ref-barton_clark_cohen1994"/>
    <w:p>
      <w:pPr>
        <w:pStyle w:val="Bibliography"/>
      </w:pPr>
      <w:r>
        <w:t xml:space="preserve">[94]</w:t>
      </w:r>
      <w:r>
        <w:t xml:space="preserve"> </w:t>
      </w:r>
      <w:r>
        <w:t xml:space="preserve">	</w:t>
      </w:r>
      <w:r>
        <w:t xml:space="preserve">Barton CM, Clark GA, Cohen AE.</w:t>
      </w:r>
      <w:r>
        <w:t xml:space="preserve"> </w:t>
      </w:r>
      <w:hyperlink r:id="rId226">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7"/>
    <w:bookmarkStart w:id="228" w:name="ref-mcdonald2012social"/>
    <w:p>
      <w:pPr>
        <w:pStyle w:val="Bibliography"/>
      </w:pPr>
      <w:r>
        <w:t xml:space="preserve">[95]</w:t>
      </w:r>
      <w:r>
        <w:t xml:space="preserve"> </w:t>
      </w:r>
      <w:r>
        <w:t xml:space="preserve">	</w:t>
      </w:r>
      <w:r>
        <w:t xml:space="preserve">McDonald J, Veth P. The social dynamics of aggregation and dispersal in the western desert. A Companion to Rock Art 2012:90–102.</w:t>
      </w:r>
    </w:p>
    <w:bookmarkEnd w:id="228"/>
    <w:bookmarkStart w:id="229" w:name="ref-bernardini2005reconsidering"/>
    <w:p>
      <w:pPr>
        <w:pStyle w:val="Bibliography"/>
      </w:pPr>
      <w:r>
        <w:t xml:space="preserve">[96]</w:t>
      </w:r>
      <w:r>
        <w:t xml:space="preserve"> </w:t>
      </w:r>
      <w:r>
        <w:t xml:space="preserve">	</w:t>
      </w:r>
      <w:r>
        <w:t xml:space="preserve">Bernardini W. Reconsidering spatial and temporal aspects of prehistoric cultural identity: A case study from the american southwest. American Antiquity 2005;70:31–54.</w:t>
      </w:r>
    </w:p>
    <w:bookmarkEnd w:id="229"/>
    <w:bookmarkStart w:id="230" w:name="ref-wiessner1984reconsidering"/>
    <w:p>
      <w:pPr>
        <w:pStyle w:val="Bibliography"/>
      </w:pPr>
      <w:r>
        <w:t xml:space="preserve">[97]</w:t>
      </w:r>
      <w:r>
        <w:t xml:space="preserve"> </w:t>
      </w:r>
      <w:r>
        <w:t xml:space="preserve">	</w:t>
      </w:r>
      <w:r>
        <w:t xml:space="preserve">Wiessner P. Reconsidering the behavioral basis for style: A case study among the kalahari san. Journal of Anthropological Archaeology 1984;3:190–234.</w:t>
      </w:r>
    </w:p>
    <w:bookmarkEnd w:id="230"/>
    <w:bookmarkStart w:id="232" w:name="ref-smith1992"/>
    <w:p>
      <w:pPr>
        <w:pStyle w:val="Bibliography"/>
      </w:pPr>
      <w:r>
        <w:t xml:space="preserve">[98]</w:t>
      </w:r>
      <w:r>
        <w:t xml:space="preserve"> </w:t>
      </w:r>
      <w:r>
        <w:t xml:space="preserve">	</w:t>
      </w:r>
      <w:r>
        <w:t xml:space="preserve">Smith C.</w:t>
      </w:r>
      <w:r>
        <w:t xml:space="preserve"> </w:t>
      </w:r>
      <w:hyperlink r:id="rId231">
        <w:r>
          <w:rPr>
            <w:rStyle w:val="Hyperlink"/>
          </w:rPr>
          <w:t xml:space="preserve">Colonising with style: Reviewing the nexus between rock art, territorially and the colonisation and occupation of sahul</w:t>
        </w:r>
      </w:hyperlink>
      <w:r>
        <w:t xml:space="preserve">. Australian Archaeology 1992:34–42.</w:t>
      </w:r>
    </w:p>
    <w:bookmarkEnd w:id="232"/>
    <w:bookmarkStart w:id="234" w:name="X4fed35d53d406ce17aea32f9d6f163fcb563519"/>
    <w:p>
      <w:pPr>
        <w:pStyle w:val="Bibliography"/>
      </w:pPr>
      <w:r>
        <w:t xml:space="preserve">[99]</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3">
        <w:r>
          <w:rPr>
            <w:rStyle w:val="Hyperlink"/>
          </w:rPr>
          <w:t xml:space="preserve">https://doi.org/10.1007/978-4-431-55363-2_8</w:t>
        </w:r>
      </w:hyperlink>
      <w:r>
        <w:t xml:space="preserve">.</w:t>
      </w:r>
    </w:p>
    <w:bookmarkEnd w:id="234"/>
    <w:bookmarkStart w:id="235" w:name="ref-Cavalli_Sforza_Feldman_1981"/>
    <w:p>
      <w:pPr>
        <w:pStyle w:val="Bibliography"/>
      </w:pPr>
      <w:r>
        <w:t xml:space="preserve">[100]</w:t>
      </w:r>
      <w:r>
        <w:t xml:space="preserve"> </w:t>
      </w:r>
      <w:r>
        <w:t xml:space="preserve">	</w:t>
      </w:r>
      <w:r>
        <w:t xml:space="preserve">Cavalli-Sforza LL, Feldman MW. Cultural transmission and evolution: A quantitative approach. Princeton University Press; 1981.</w:t>
      </w:r>
    </w:p>
    <w:bookmarkEnd w:id="235"/>
    <w:bookmarkStart w:id="236" w:name="ref-Boyd_Richerson_1985"/>
    <w:p>
      <w:pPr>
        <w:pStyle w:val="Bibliography"/>
      </w:pPr>
      <w:r>
        <w:t xml:space="preserve">[101]</w:t>
      </w:r>
      <w:r>
        <w:t xml:space="preserve"> </w:t>
      </w:r>
      <w:r>
        <w:t xml:space="preserve">	</w:t>
      </w:r>
      <w:r>
        <w:t xml:space="preserve">Boyd R, Richerson PJ. Culture and the evolutionary process. University of Chicago Press; 1985.</w:t>
      </w:r>
    </w:p>
    <w:bookmarkEnd w:id="236"/>
    <w:bookmarkStart w:id="237" w:name="ref-Richerson_Boyd_2005"/>
    <w:p>
      <w:pPr>
        <w:pStyle w:val="Bibliography"/>
      </w:pPr>
      <w:r>
        <w:t xml:space="preserve">[102]</w:t>
      </w:r>
      <w:r>
        <w:t xml:space="preserve"> </w:t>
      </w:r>
      <w:r>
        <w:t xml:space="preserve">	</w:t>
      </w:r>
      <w:r>
        <w:t xml:space="preserve">Richerson PJ, Boyd R. Not by genes alone: How culture transformed human evolution. University of Chicago Press; 2005.</w:t>
      </w:r>
    </w:p>
    <w:bookmarkEnd w:id="237"/>
    <w:bookmarkStart w:id="238" w:name="ref-Henrich_2004"/>
    <w:p>
      <w:pPr>
        <w:pStyle w:val="Bibliography"/>
      </w:pPr>
      <w:r>
        <w:t xml:space="preserve">[103]</w:t>
      </w:r>
      <w:r>
        <w:t xml:space="preserve"> </w:t>
      </w:r>
      <w:r>
        <w:t xml:space="preserve">	</w:t>
      </w:r>
      <w:r>
        <w:t xml:space="preserve">Henrich J. Demography and cultural evolution: How adaptive cultural processes can produce maladaptive losses—the tasmanian case. American Antiquity 2004;44:185–201.</w:t>
      </w:r>
    </w:p>
    <w:bookmarkEnd w:id="238"/>
    <w:bookmarkStart w:id="239" w:name="ref-Migliano_2020"/>
    <w:p>
      <w:pPr>
        <w:pStyle w:val="Bibliography"/>
      </w:pPr>
      <w:r>
        <w:t xml:space="preserve">[104]</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9"/>
    <w:bookmarkStart w:id="240" w:name="ref-Allen_2020"/>
    <w:p>
      <w:pPr>
        <w:pStyle w:val="Bibliography"/>
      </w:pPr>
      <w:r>
        <w:t xml:space="preserve">[105]</w:t>
      </w:r>
      <w:r>
        <w:t xml:space="preserve"> </w:t>
      </w:r>
      <w:r>
        <w:t xml:space="preserve">	</w:t>
      </w:r>
      <w:r>
        <w:t xml:space="preserve">Allen J. A multilevel analytical framework for studying cultural evolution in prehistoric hunter–gatherer societies. Biological Reviews 2020;59:2527–46.</w:t>
      </w:r>
    </w:p>
    <w:bookmarkEnd w:id="240"/>
    <w:bookmarkStart w:id="241" w:name="ref-Buchanan_Hamilton_2023"/>
    <w:p>
      <w:pPr>
        <w:pStyle w:val="Bibliography"/>
      </w:pPr>
      <w:r>
        <w:t xml:space="preserve">[106]</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41"/>
    <w:bookmarkStart w:id="242" w:name="ref-Eerkens_Lipo_2005"/>
    <w:p>
      <w:pPr>
        <w:pStyle w:val="Bibliography"/>
      </w:pPr>
      <w:r>
        <w:t xml:space="preserve">[107]</w:t>
      </w:r>
      <w:r>
        <w:t xml:space="preserve"> </w:t>
      </w:r>
      <w:r>
        <w:t xml:space="preserve">	</w:t>
      </w:r>
      <w:r>
        <w:t xml:space="preserve">Eerkens JW, Lipo CP. Cultural transmission and the evolution of material culture: Modeling the coefficient of variation. American Antiquity 2005;48:1–21.</w:t>
      </w:r>
    </w:p>
    <w:bookmarkEnd w:id="242"/>
    <w:bookmarkStart w:id="243" w:name="ref-Bentz_Dutkiewicz_2025"/>
    <w:p>
      <w:pPr>
        <w:pStyle w:val="Bibliography"/>
      </w:pPr>
      <w:r>
        <w:t xml:space="preserve">[108]</w:t>
      </w:r>
      <w:r>
        <w:t xml:space="preserve"> </w:t>
      </w:r>
      <w:r>
        <w:t xml:space="preserve">	</w:t>
      </w:r>
      <w:r>
        <w:t xml:space="preserve">Bentz C, Dutkiewicz E. Humans 40,000 y ago developed a system of conventional signs. Proceedings of the National Academy of Sciences 2025:1–8.</w:t>
      </w:r>
    </w:p>
    <w:bookmarkEnd w:id="243"/>
    <w:bookmarkStart w:id="244" w:name="ref-Bacon_2023"/>
    <w:p>
      <w:pPr>
        <w:pStyle w:val="Bibliography"/>
      </w:pPr>
      <w:r>
        <w:t xml:space="preserve">[109]</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4"/>
    <w:bookmarkStart w:id="246" w:name="Xa4990169aeb885a690070ab4fd90972c31994f8"/>
    <w:p>
      <w:pPr>
        <w:pStyle w:val="Bibliography"/>
      </w:pPr>
      <w:r>
        <w:t xml:space="preserve">[110]</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5">
        <w:r>
          <w:rPr>
            <w:rStyle w:val="Hyperlink"/>
          </w:rPr>
          <w:t xml:space="preserve">https://doi.org/10.2139/ssrn.7053279</w:t>
        </w:r>
      </w:hyperlink>
      <w:r>
        <w:t xml:space="preserve">.</w:t>
      </w:r>
    </w:p>
    <w:bookmarkEnd w:id="246"/>
    <w:bookmarkStart w:id="248" w:name="X8ea620419c64d551554c48b7075c9934881930b"/>
    <w:p>
      <w:pPr>
        <w:pStyle w:val="Bibliography"/>
      </w:pPr>
      <w:r>
        <w:t xml:space="preserve">[111]</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7">
        <w:r>
          <w:rPr>
            <w:rStyle w:val="Hyperlink"/>
          </w:rPr>
          <w:t xml:space="preserve">https://doi.org/10.1007/s41982-023-00158-8</w:t>
        </w:r>
      </w:hyperlink>
      <w:r>
        <w:t xml:space="preserve">.</w:t>
      </w:r>
    </w:p>
    <w:bookmarkEnd w:id="248"/>
    <w:bookmarkStart w:id="250" w:name="ref-Magli_2024"/>
    <w:p>
      <w:pPr>
        <w:pStyle w:val="Bibliography"/>
      </w:pPr>
      <w:r>
        <w:t xml:space="preserve">[112]</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9">
        <w:r>
          <w:rPr>
            <w:rStyle w:val="Hyperlink"/>
          </w:rPr>
          <w:t xml:space="preserve">https://doi.org/10.1093/mind/fzae011</w:t>
        </w:r>
      </w:hyperlink>
      <w:r>
        <w:t xml:space="preserve">.</w:t>
      </w:r>
    </w:p>
    <w:bookmarkEnd w:id="250"/>
    <w:bookmarkStart w:id="252" w:name="ref-Nowell_2024_evidence"/>
    <w:p>
      <w:pPr>
        <w:pStyle w:val="Bibliography"/>
      </w:pPr>
      <w:r>
        <w:t xml:space="preserve">[113]</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51">
        <w:r>
          <w:rPr>
            <w:rStyle w:val="Hyperlink"/>
          </w:rPr>
          <w:t xml:space="preserve">https://doi.org/10.1017/S0959774324000155</w:t>
        </w:r>
      </w:hyperlink>
      <w:r>
        <w:t xml:space="preserve">.</w:t>
      </w:r>
    </w:p>
    <w:bookmarkEnd w:id="252"/>
    <w:bookmarkStart w:id="254" w:name="ref-Horiuchi_Takakura_2019"/>
    <w:p>
      <w:pPr>
        <w:pStyle w:val="Bibliography"/>
      </w:pPr>
      <w:r>
        <w:t xml:space="preserve">[114]</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3">
        <w:r>
          <w:rPr>
            <w:rStyle w:val="Hyperlink"/>
          </w:rPr>
          <w:t xml:space="preserve">https://doi.org/10.1007/978-981-13-8980-1_12</w:t>
        </w:r>
      </w:hyperlink>
      <w:r>
        <w:t xml:space="preserve">.</w:t>
      </w:r>
    </w:p>
    <w:bookmarkEnd w:id="254"/>
    <w:bookmarkStart w:id="255" w:name="ref-Rogers_2013"/>
    <w:p>
      <w:pPr>
        <w:pStyle w:val="Bibliography"/>
      </w:pPr>
      <w:r>
        <w:t xml:space="preserve">[115]</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5"/>
    <w:bookmarkStart w:id="257" w:name="X94f875be1b7e5d23641daff5d53857bec24e739"/>
    <w:p>
      <w:pPr>
        <w:pStyle w:val="Bibliography"/>
      </w:pPr>
      <w:r>
        <w:t xml:space="preserve">[116]</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6">
        <w:r>
          <w:rPr>
            <w:rStyle w:val="Hyperlink"/>
          </w:rPr>
          <w:t xml:space="preserve">https://doi.org/10.1016/j.jasrep.2021.103118</w:t>
        </w:r>
      </w:hyperlink>
      <w:r>
        <w:t xml:space="preserve">.</w:t>
      </w:r>
    </w:p>
    <w:bookmarkEnd w:id="257"/>
    <w:bookmarkStart w:id="259" w:name="ref-Gamble_1982"/>
    <w:p>
      <w:pPr>
        <w:pStyle w:val="Bibliography"/>
      </w:pPr>
      <w:r>
        <w:t xml:space="preserve">[117]</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8">
        <w:r>
          <w:rPr>
            <w:rStyle w:val="Hyperlink"/>
          </w:rPr>
          <w:t xml:space="preserve">https://doi.org/10.2307/2802103</w:t>
        </w:r>
      </w:hyperlink>
      <w:r>
        <w:t xml:space="preserve">.</w:t>
      </w:r>
    </w:p>
    <w:bookmarkEnd w:id="259"/>
    <w:bookmarkStart w:id="261" w:name="Xba346573845225b1b1d5ef358e2fea0d893a789"/>
    <w:p>
      <w:pPr>
        <w:pStyle w:val="Bibliography"/>
      </w:pPr>
      <w:r>
        <w:t xml:space="preserve">[118]</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60">
        <w:r>
          <w:rPr>
            <w:rStyle w:val="Hyperlink"/>
          </w:rPr>
          <w:t xml:space="preserve">https://doi.org/10.1016/j.quascirev.2018.12.011</w:t>
        </w:r>
      </w:hyperlink>
      <w:r>
        <w:t xml:space="preserve">.</w:t>
      </w:r>
    </w:p>
    <w:bookmarkEnd w:id="261"/>
    <w:bookmarkStart w:id="263" w:name="ref-Creanza_Kolodny_Feldman_2017"/>
    <w:p>
      <w:pPr>
        <w:pStyle w:val="Bibliography"/>
      </w:pPr>
      <w:r>
        <w:t xml:space="preserve">[119]</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2">
        <w:r>
          <w:rPr>
            <w:rStyle w:val="Hyperlink"/>
          </w:rPr>
          <w:t xml:space="preserve">https://doi.org/10.1098/rsif.2017.0171</w:t>
        </w:r>
      </w:hyperlink>
      <w:r>
        <w:t xml:space="preserve">.</w:t>
      </w:r>
    </w:p>
    <w:bookmarkEnd w:id="263"/>
    <w:bookmarkStart w:id="265" w:name="ref-Cullen_1996"/>
    <w:p>
      <w:pPr>
        <w:pStyle w:val="Bibliography"/>
      </w:pPr>
      <w:r>
        <w:t xml:space="preserve">[120]</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4">
        <w:r>
          <w:rPr>
            <w:rStyle w:val="Hyperlink"/>
          </w:rPr>
          <w:t xml:space="preserve">https://doi.org/10.1007/978-1-4757-9945-3_4</w:t>
        </w:r>
      </w:hyperlink>
      <w:r>
        <w:t xml:space="preserve">.</w:t>
      </w:r>
    </w:p>
    <w:bookmarkEnd w:id="265"/>
    <w:bookmarkStart w:id="267" w:name="ref-Hill_Wood_Baggio_Hurtado_Boyd_2014"/>
    <w:p>
      <w:pPr>
        <w:pStyle w:val="Bibliography"/>
      </w:pPr>
      <w:r>
        <w:t xml:space="preserve">[121]</w:t>
      </w:r>
      <w:r>
        <w:t xml:space="preserve"> </w:t>
      </w:r>
      <w:r>
        <w:t xml:space="preserve">	</w:t>
      </w:r>
      <w:r>
        <w:t xml:space="preserve">Hill KR, Wood BM, Baggio J, Hurtado AM, Boyd RT. Hunter-gatherer inter-band interaction rates: Implications for cumulative culture. PLOS ONE 2014;9:1–9.</w:t>
      </w:r>
      <w:r>
        <w:t xml:space="preserve"> </w:t>
      </w:r>
      <w:hyperlink r:id="rId266">
        <w:r>
          <w:rPr>
            <w:rStyle w:val="Hyperlink"/>
          </w:rPr>
          <w:t xml:space="preserve">https://doi.org/10.1371/journal.pone.0102806</w:t>
        </w:r>
      </w:hyperlink>
      <w:r>
        <w:t xml:space="preserve">.</w:t>
      </w:r>
    </w:p>
    <w:bookmarkEnd w:id="267"/>
    <w:bookmarkStart w:id="269" w:name="ref-Derex_Boyd_2016"/>
    <w:p>
      <w:pPr>
        <w:pStyle w:val="Bibliography"/>
      </w:pPr>
      <w:r>
        <w:t xml:space="preserve">[122]</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8">
        <w:r>
          <w:rPr>
            <w:rStyle w:val="Hyperlink"/>
          </w:rPr>
          <w:t xml:space="preserve">https://doi.org/10.1073/pnas.1518798113</w:t>
        </w:r>
      </w:hyperlink>
      <w:r>
        <w:t xml:space="preserve">.</w:t>
      </w:r>
    </w:p>
    <w:bookmarkEnd w:id="269"/>
    <w:bookmarkStart w:id="271" w:name="ref-Gravel-Miguel_Coward_2023"/>
    <w:p>
      <w:pPr>
        <w:pStyle w:val="Bibliography"/>
      </w:pPr>
      <w:r>
        <w:t xml:space="preserve">[123]</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70">
        <w:r>
          <w:rPr>
            <w:rStyle w:val="Hyperlink"/>
          </w:rPr>
          <w:t xml:space="preserve">https://doi.org/10.1093/oxfordhb/9780198854265.013.31</w:t>
        </w:r>
      </w:hyperlink>
      <w:r>
        <w:t xml:space="preserve">.</w:t>
      </w:r>
    </w:p>
    <w:bookmarkEnd w:id="271"/>
    <w:bookmarkStart w:id="272" w:name="ref-Von_Petzinger_2009"/>
    <w:p>
      <w:pPr>
        <w:pStyle w:val="Bibliography"/>
      </w:pPr>
      <w:r>
        <w:t xml:space="preserve">[124]</w:t>
      </w:r>
      <w:r>
        <w:t xml:space="preserve"> </w:t>
      </w:r>
      <w:r>
        <w:t xml:space="preserve">	</w:t>
      </w:r>
      <w:r>
        <w:t xml:space="preserve">Von Petzinger G. Making the abstract concrete: The place of geometric signs in french</w:t>
      </w:r>
      <w:r>
        <w:t xml:space="preserve"> </w:t>
      </w:r>
      <w:r>
        <w:t xml:space="preserve">Upper Paleolithic</w:t>
      </w:r>
      <w:r>
        <w:t xml:space="preserve"> </w:t>
      </w:r>
      <w:r>
        <w:t xml:space="preserve">parietal art. Master of Arts in Anthropology. University of Victoria, 2009.</w:t>
      </w:r>
    </w:p>
    <w:bookmarkEnd w:id="272"/>
    <w:bookmarkStart w:id="274" w:name="ref-Herskind2023"/>
    <w:p>
      <w:pPr>
        <w:pStyle w:val="Bibliography"/>
      </w:pPr>
      <w:r>
        <w:t xml:space="preserve">[125]</w:t>
      </w:r>
      <w:r>
        <w:t xml:space="preserve"> </w:t>
      </w:r>
      <w:r>
        <w:t xml:space="preserve">	</w:t>
      </w:r>
      <w:r>
        <w:t xml:space="preserve">Platz HLL. A case for idle graffiti. Hunter Gatherer Research 2023;9:59–93.</w:t>
      </w:r>
      <w:r>
        <w:t xml:space="preserve"> </w:t>
      </w:r>
      <w:hyperlink r:id="rId273">
        <w:r>
          <w:rPr>
            <w:rStyle w:val="Hyperlink"/>
          </w:rPr>
          <w:t xml:space="preserve">https://doi.org/10.3828/hgr.2023.12</w:t>
        </w:r>
      </w:hyperlink>
      <w:r>
        <w:t xml:space="preserve">.</w:t>
      </w:r>
    </w:p>
    <w:bookmarkEnd w:id="274"/>
    <w:bookmarkStart w:id="276" w:name="X42e36537dda68556aeacf852410efd6ac3bb1ca"/>
    <w:p>
      <w:pPr>
        <w:pStyle w:val="Bibliography"/>
      </w:pPr>
      <w:r>
        <w:t xml:space="preserve">[126]</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5">
        <w:r>
          <w:rPr>
            <w:rStyle w:val="Hyperlink"/>
          </w:rPr>
          <w:t xml:space="preserve">https://doi.org/10.1007/s10816-023-09608-7</w:t>
        </w:r>
      </w:hyperlink>
      <w:r>
        <w:t xml:space="preserve">.</w:t>
      </w:r>
    </w:p>
    <w:bookmarkEnd w:id="276"/>
    <w:bookmarkStart w:id="278" w:name="ref-Marwick2017"/>
    <w:p>
      <w:pPr>
        <w:pStyle w:val="Bibliography"/>
      </w:pPr>
      <w:r>
        <w:t xml:space="preserve">[127]</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7">
        <w:r>
          <w:rPr>
            <w:rStyle w:val="Hyperlink"/>
          </w:rPr>
          <w:t xml:space="preserve">https://doi.org/10.1007/s10816-015-9272-9</w:t>
        </w:r>
      </w:hyperlink>
      <w:r>
        <w:t xml:space="preserve">.</w:t>
      </w:r>
    </w:p>
    <w:bookmarkEnd w:id="278"/>
    <w:bookmarkStart w:id="280" w:name="ref-Marwick_2025"/>
    <w:p>
      <w:pPr>
        <w:pStyle w:val="Bibliography"/>
      </w:pPr>
      <w:r>
        <w:t xml:space="preserve">[128]</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9">
        <w:r>
          <w:rPr>
            <w:rStyle w:val="Hyperlink"/>
          </w:rPr>
          <w:t xml:space="preserve">https://doi.org/10.1016/j.jas.2025.106281</w:t>
        </w:r>
      </w:hyperlink>
      <w:r>
        <w:t xml:space="preserve">.</w:t>
      </w:r>
    </w:p>
    <w:bookmarkEnd w:id="280"/>
    <w:bookmarkEnd w:id="281"/>
    <w:bookmarkEnd w:id="282"/>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w="http://schemas.openxmlformats.org/wordprocessingml/2006/main"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customStyle="1" w:styleId="Table" w:type="table">
    <w:tblPr/>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226" Target="http://www.jstor.org/stable/124852" TargetMode="External" /><Relationship Type="http://schemas.openxmlformats.org/officeDocument/2006/relationships/hyperlink" Id="rId212" Target="http://www.jstor.org/stable/2156023" TargetMode="External" /><Relationship Type="http://schemas.openxmlformats.org/officeDocument/2006/relationships/hyperlink" Id="rId201" Target="http://www.jstor.org/stable/2741828" TargetMode="External" /><Relationship Type="http://schemas.openxmlformats.org/officeDocument/2006/relationships/hyperlink" Id="rId176" Target="http://www.jstor.org/stable/279544" TargetMode="External" /><Relationship Type="http://schemas.openxmlformats.org/officeDocument/2006/relationships/hyperlink" Id="rId178" Target="http://www.jstor.org/stable/2800797" TargetMode="External" /><Relationship Type="http://schemas.openxmlformats.org/officeDocument/2006/relationships/hyperlink" Id="rId231" Target="http://www.jstor.org/stable/40287092" TargetMode="External" /><Relationship Type="http://schemas.openxmlformats.org/officeDocument/2006/relationships/hyperlink" Id="rId220"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1" Target="https://doi.org/10.1002/9781118445112.stat07841" TargetMode="External" /><Relationship Type="http://schemas.openxmlformats.org/officeDocument/2006/relationships/hyperlink" Id="rId123"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104" Target="https://doi.org/10.1002/jqs.3223" TargetMode="External" /><Relationship Type="http://schemas.openxmlformats.org/officeDocument/2006/relationships/hyperlink" Id="rId135" Target="https://doi.org/10.1002/spe.4380211102" TargetMode="External" /><Relationship Type="http://schemas.openxmlformats.org/officeDocument/2006/relationships/hyperlink" Id="rId106" Target="https://doi.org/10.1007/3-211-38327-6_3" TargetMode="External" /><Relationship Type="http://schemas.openxmlformats.org/officeDocument/2006/relationships/hyperlink" Id="rId264"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3" Target="https://doi.org/10.1007/978-4-431-55363-2_8" TargetMode="External" /><Relationship Type="http://schemas.openxmlformats.org/officeDocument/2006/relationships/hyperlink" Id="rId253"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277" Target="https://doi.org/10.1007/s10816-015-9272-9" TargetMode="External" /><Relationship Type="http://schemas.openxmlformats.org/officeDocument/2006/relationships/hyperlink" Id="rId275" Target="https://doi.org/10.1007/s10816-023-09608-7" TargetMode="External" /><Relationship Type="http://schemas.openxmlformats.org/officeDocument/2006/relationships/hyperlink" Id="rId121" Target="https://doi.org/10.1007/s12520-018-0742-3" TargetMode="External" /><Relationship Type="http://schemas.openxmlformats.org/officeDocument/2006/relationships/hyperlink" Id="rId247" Target="https://doi.org/10.1007/s41982-023-00158-8" TargetMode="External" /><Relationship Type="http://schemas.openxmlformats.org/officeDocument/2006/relationships/hyperlink" Id="rId115" Target="https://doi.org/10.1007/s41982-025-00298-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4" Target="https://doi.org/10.1016/B978-0-12-564750-2.50020-2" TargetMode="External" /><Relationship Type="http://schemas.openxmlformats.org/officeDocument/2006/relationships/hyperlink" Id="rId143"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184" Target="https://doi.org/10.1016/j.jaa.2005.11.004" TargetMode="External" /><Relationship Type="http://schemas.openxmlformats.org/officeDocument/2006/relationships/hyperlink" Id="rId206"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9" Target="https://doi.org/10.1016/j.jas.2025.106281" TargetMode="External" /><Relationship Type="http://schemas.openxmlformats.org/officeDocument/2006/relationships/hyperlink" Id="rId256" Target="https://doi.org/10.1016/j.jasrep.2021.103118" TargetMode="External" /><Relationship Type="http://schemas.openxmlformats.org/officeDocument/2006/relationships/hyperlink" Id="rId182" Target="https://doi.org/10.1016/j.jasrep.2024.104798" TargetMode="External" /><Relationship Type="http://schemas.openxmlformats.org/officeDocument/2006/relationships/hyperlink" Id="rId102" Target="https://doi.org/10.1016/j.jhevol.2011.06.001" TargetMode="External" /><Relationship Type="http://schemas.openxmlformats.org/officeDocument/2006/relationships/hyperlink" Id="rId93" Target="https://doi.org/10.1016/j.jhevol.2012.10.001" TargetMode="External" /><Relationship Type="http://schemas.openxmlformats.org/officeDocument/2006/relationships/hyperlink" Id="rId159"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7" Target="https://doi.org/10.1016/j.quascirev.2009.11.015" TargetMode="External" /><Relationship Type="http://schemas.openxmlformats.org/officeDocument/2006/relationships/hyperlink" Id="rId260" Target="https://doi.org/10.1016/j.quascirev.2018.12.011" TargetMode="External" /><Relationship Type="http://schemas.openxmlformats.org/officeDocument/2006/relationships/hyperlink" Id="rId95"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9"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51" Target="https://doi.org/10.1017/S0959774324000155" TargetMode="External" /><Relationship Type="http://schemas.openxmlformats.org/officeDocument/2006/relationships/hyperlink" Id="rId110" Target="https://doi.org/10.1017/ppr.2019.5" TargetMode="External" /><Relationship Type="http://schemas.openxmlformats.org/officeDocument/2006/relationships/hyperlink" Id="rId218"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8" Target="https://doi.org/10.1073/pnas.1518798113" TargetMode="External" /><Relationship Type="http://schemas.openxmlformats.org/officeDocument/2006/relationships/hyperlink" Id="rId203" Target="https://doi.org/10.1086/701523" TargetMode="External" /><Relationship Type="http://schemas.openxmlformats.org/officeDocument/2006/relationships/hyperlink" Id="rId249" Target="https://doi.org/10.1093/mind/fzae011" TargetMode="External" /><Relationship Type="http://schemas.openxmlformats.org/officeDocument/2006/relationships/hyperlink" Id="rId270" Target="https://doi.org/10.1093/oxfordhb/9780198854265.013.31" TargetMode="External" /><Relationship Type="http://schemas.openxmlformats.org/officeDocument/2006/relationships/hyperlink" Id="rId262" Target="https://doi.org/10.1098/rsif.2017.0171" TargetMode="External" /><Relationship Type="http://schemas.openxmlformats.org/officeDocument/2006/relationships/hyperlink" Id="rId191" Target="https://doi.org/10.1098/rstb.2020.0318" TargetMode="External" /><Relationship Type="http://schemas.openxmlformats.org/officeDocument/2006/relationships/hyperlink" Id="rId131" Target="https://doi.org/10.1111/j.1502-3931.1988.tb01756.x" TargetMode="External" /><Relationship Type="http://schemas.openxmlformats.org/officeDocument/2006/relationships/hyperlink" Id="rId193" Target="https://doi.org/10.1111/tops.12762" TargetMode="External" /><Relationship Type="http://schemas.openxmlformats.org/officeDocument/2006/relationships/hyperlink" Id="rId133"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66" Target="https://doi.org/10.1371/journal.pone.0102806" TargetMode="External" /><Relationship Type="http://schemas.openxmlformats.org/officeDocument/2006/relationships/hyperlink" Id="rId127"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8" Target="https://doi.org/10.1371/journal.pone.0194097" TargetMode="External" /><Relationship Type="http://schemas.openxmlformats.org/officeDocument/2006/relationships/hyperlink" Id="rId91" Target="https://doi.org/10.1371/journal.pone.0211562" TargetMode="External" /><Relationship Type="http://schemas.openxmlformats.org/officeDocument/2006/relationships/hyperlink" Id="rId19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9" Target="https://doi.org/10.18637/jss.v025.i03" TargetMode="External" /><Relationship Type="http://schemas.openxmlformats.org/officeDocument/2006/relationships/hyperlink" Id="rId245" Target="https://doi.org/10.2139/ssrn.7053279" TargetMode="External" /><Relationship Type="http://schemas.openxmlformats.org/officeDocument/2006/relationships/hyperlink" Id="rId258" Target="https://doi.org/10.2307/2802103" TargetMode="External" /><Relationship Type="http://schemas.openxmlformats.org/officeDocument/2006/relationships/hyperlink" Id="rId216"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163" Target="https://doi.org/10.2307/j.ctv24q4z2g.5" TargetMode="External" /><Relationship Type="http://schemas.openxmlformats.org/officeDocument/2006/relationships/hyperlink" Id="rId189" Target="https://doi.org/10.2307/j.ctvdmwwz4.10" TargetMode="External" /><Relationship Type="http://schemas.openxmlformats.org/officeDocument/2006/relationships/hyperlink" Id="rId187" Target="https://doi.org/10.2307/j.ctvdmwwz4.7" TargetMode="External" /><Relationship Type="http://schemas.openxmlformats.org/officeDocument/2006/relationships/hyperlink" Id="rId195" Target="https://doi.org/10.3213/2191-5784-10243" TargetMode="External" /><Relationship Type="http://schemas.openxmlformats.org/officeDocument/2006/relationships/hyperlink" Id="rId125" Target="https://doi.org/10.32614/CRAN.package.vegan" TargetMode="External" /><Relationship Type="http://schemas.openxmlformats.org/officeDocument/2006/relationships/hyperlink" Id="rId273" Target="https://doi.org/10.3828/hgr.2023.12" TargetMode="External" /><Relationship Type="http://schemas.openxmlformats.org/officeDocument/2006/relationships/hyperlink" Id="rId208" Target="https://doi.org/10.4000/palethnologie.4945" TargetMode="External" /><Relationship Type="http://schemas.openxmlformats.org/officeDocument/2006/relationships/hyperlink" Id="rId113" Target="https://doi.org/10.4000/palethnologie.736" TargetMode="External" /><Relationship Type="http://schemas.openxmlformats.org/officeDocument/2006/relationships/hyperlink" Id="rId214" Target="https://doi.org/10.5281/zenodo.15397990" TargetMode="External" /><Relationship Type="http://schemas.openxmlformats.org/officeDocument/2006/relationships/hyperlink" Id="rId99" Target="https://doi.org/10.7485/QU65_2" TargetMode="External" /><Relationship Type="http://schemas.openxmlformats.org/officeDocument/2006/relationships/hyperlink" Id="rId139" Target="https://igraph.org" TargetMode="External" /><Relationship Type="http://schemas.openxmlformats.org/officeDocument/2006/relationships/hyperlink" Id="rId137" Target="https://statnet.org" TargetMode="External" /><Relationship Type="http://schemas.openxmlformats.org/officeDocument/2006/relationships/hyperlink" Id="rId19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2" Target="http://www.jstor.org.offcampus.lib.washington.edu/stable/j.ctt1pk86rr.16" TargetMode="External" /><Relationship Type="http://schemas.openxmlformats.org/officeDocument/2006/relationships/hyperlink" Id="rId146" Target="http://www.jstor.org.offcampus.lib.washington.edu/stable/j.ctt1pk86rr.5" TargetMode="External" /><Relationship Type="http://schemas.openxmlformats.org/officeDocument/2006/relationships/hyperlink" Id="rId226" Target="http://www.jstor.org/stable/124852" TargetMode="External" /><Relationship Type="http://schemas.openxmlformats.org/officeDocument/2006/relationships/hyperlink" Id="rId212" Target="http://www.jstor.org/stable/2156023" TargetMode="External" /><Relationship Type="http://schemas.openxmlformats.org/officeDocument/2006/relationships/hyperlink" Id="rId201" Target="http://www.jstor.org/stable/2741828" TargetMode="External" /><Relationship Type="http://schemas.openxmlformats.org/officeDocument/2006/relationships/hyperlink" Id="rId176" Target="http://www.jstor.org/stable/279544" TargetMode="External" /><Relationship Type="http://schemas.openxmlformats.org/officeDocument/2006/relationships/hyperlink" Id="rId178" Target="http://www.jstor.org/stable/2800797" TargetMode="External" /><Relationship Type="http://schemas.openxmlformats.org/officeDocument/2006/relationships/hyperlink" Id="rId231" Target="http://www.jstor.org/stable/40287092" TargetMode="External" /><Relationship Type="http://schemas.openxmlformats.org/officeDocument/2006/relationships/hyperlink" Id="rId220"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1" Target="https://doi.org/10.1002/9781118445112.stat07841" TargetMode="External" /><Relationship Type="http://schemas.openxmlformats.org/officeDocument/2006/relationships/hyperlink" Id="rId123" Target="https://doi.org/10.1002/ajpa.1330350608" TargetMode="External" /><Relationship Type="http://schemas.openxmlformats.org/officeDocument/2006/relationships/hyperlink" Id="rId168" Target="https://doi.org/10.1002/ajpa.22832" TargetMode="External" /><Relationship Type="http://schemas.openxmlformats.org/officeDocument/2006/relationships/hyperlink" Id="rId104" Target="https://doi.org/10.1002/jqs.3223" TargetMode="External" /><Relationship Type="http://schemas.openxmlformats.org/officeDocument/2006/relationships/hyperlink" Id="rId135" Target="https://doi.org/10.1002/spe.4380211102" TargetMode="External" /><Relationship Type="http://schemas.openxmlformats.org/officeDocument/2006/relationships/hyperlink" Id="rId106" Target="https://doi.org/10.1007/3-211-38327-6_3" TargetMode="External" /><Relationship Type="http://schemas.openxmlformats.org/officeDocument/2006/relationships/hyperlink" Id="rId264"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3" Target="https://doi.org/10.1007/978-4-431-55363-2_8" TargetMode="External" /><Relationship Type="http://schemas.openxmlformats.org/officeDocument/2006/relationships/hyperlink" Id="rId253" Target="https://doi.org/10.1007/978-981-13-8980-1_12" TargetMode="External" /><Relationship Type="http://schemas.openxmlformats.org/officeDocument/2006/relationships/hyperlink" Id="rId155" Target="https://doi.org/10.1007/s10814-013-9068-y" TargetMode="External" /><Relationship Type="http://schemas.openxmlformats.org/officeDocument/2006/relationships/hyperlink" Id="rId277" Target="https://doi.org/10.1007/s10816-015-9272-9" TargetMode="External" /><Relationship Type="http://schemas.openxmlformats.org/officeDocument/2006/relationships/hyperlink" Id="rId275" Target="https://doi.org/10.1007/s10816-023-09608-7" TargetMode="External" /><Relationship Type="http://schemas.openxmlformats.org/officeDocument/2006/relationships/hyperlink" Id="rId121" Target="https://doi.org/10.1007/s12520-018-0742-3" TargetMode="External" /><Relationship Type="http://schemas.openxmlformats.org/officeDocument/2006/relationships/hyperlink" Id="rId247" Target="https://doi.org/10.1007/s41982-023-00158-8" TargetMode="External" /><Relationship Type="http://schemas.openxmlformats.org/officeDocument/2006/relationships/hyperlink" Id="rId115" Target="https://doi.org/10.1007/s41982-025-00298-3" TargetMode="External" /><Relationship Type="http://schemas.openxmlformats.org/officeDocument/2006/relationships/hyperlink" Id="rId150" Target="https://doi.org/10.1016/B978-0-12-564750-2.50006-8" TargetMode="External" /><Relationship Type="http://schemas.openxmlformats.org/officeDocument/2006/relationships/hyperlink" Id="rId171" Target="https://doi.org/10.1016/B978-0-12-564750-2.50016-0" TargetMode="External" /><Relationship Type="http://schemas.openxmlformats.org/officeDocument/2006/relationships/hyperlink" Id="rId224" Target="https://doi.org/10.1016/B978-0-12-564750-2.50020-2" TargetMode="External" /><Relationship Type="http://schemas.openxmlformats.org/officeDocument/2006/relationships/hyperlink" Id="rId143" Target="https://doi.org/10.1016/j.evolhumbehav.2014.09.006" TargetMode="External" /><Relationship Type="http://schemas.openxmlformats.org/officeDocument/2006/relationships/hyperlink" Id="rId157" Target="https://doi.org/10.1016/j.evolhumbehav.2022.07.003" TargetMode="External" /><Relationship Type="http://schemas.openxmlformats.org/officeDocument/2006/relationships/hyperlink" Id="rId184" Target="https://doi.org/10.1016/j.jaa.2005.11.004" TargetMode="External" /><Relationship Type="http://schemas.openxmlformats.org/officeDocument/2006/relationships/hyperlink" Id="rId206"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9" Target="https://doi.org/10.1016/j.jas.2025.106281" TargetMode="External" /><Relationship Type="http://schemas.openxmlformats.org/officeDocument/2006/relationships/hyperlink" Id="rId256" Target="https://doi.org/10.1016/j.jasrep.2021.103118" TargetMode="External" /><Relationship Type="http://schemas.openxmlformats.org/officeDocument/2006/relationships/hyperlink" Id="rId182" Target="https://doi.org/10.1016/j.jasrep.2024.104798" TargetMode="External" /><Relationship Type="http://schemas.openxmlformats.org/officeDocument/2006/relationships/hyperlink" Id="rId102" Target="https://doi.org/10.1016/j.jhevol.2011.06.001" TargetMode="External" /><Relationship Type="http://schemas.openxmlformats.org/officeDocument/2006/relationships/hyperlink" Id="rId93" Target="https://doi.org/10.1016/j.jhevol.2012.10.001" TargetMode="External" /><Relationship Type="http://schemas.openxmlformats.org/officeDocument/2006/relationships/hyperlink" Id="rId159"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7" Target="https://doi.org/10.1016/j.quascirev.2009.11.015" TargetMode="External" /><Relationship Type="http://schemas.openxmlformats.org/officeDocument/2006/relationships/hyperlink" Id="rId260" Target="https://doi.org/10.1016/j.quascirev.2018.12.011" TargetMode="External" /><Relationship Type="http://schemas.openxmlformats.org/officeDocument/2006/relationships/hyperlink" Id="rId95" Target="https://doi.org/10.1016/j.quascirev.2021.106995" TargetMode="External" /><Relationship Type="http://schemas.openxmlformats.org/officeDocument/2006/relationships/hyperlink" Id="rId174" Target="https://doi.org/10.1017/CBO9780511558252.004" TargetMode="External" /><Relationship Type="http://schemas.openxmlformats.org/officeDocument/2006/relationships/hyperlink" Id="rId119" Target="https://doi.org/10.1017/RDC.2020.95" TargetMode="External" /><Relationship Type="http://schemas.openxmlformats.org/officeDocument/2006/relationships/hyperlink" Id="rId161" Target="https://doi.org/10.1017/S0079497X00006265" TargetMode="External" /><Relationship Type="http://schemas.openxmlformats.org/officeDocument/2006/relationships/hyperlink" Id="rId251" Target="https://doi.org/10.1017/S0959774324000155" TargetMode="External" /><Relationship Type="http://schemas.openxmlformats.org/officeDocument/2006/relationships/hyperlink" Id="rId110" Target="https://doi.org/10.1017/ppr.2019.5" TargetMode="External" /><Relationship Type="http://schemas.openxmlformats.org/officeDocument/2006/relationships/hyperlink" Id="rId218"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8" Target="https://doi.org/10.1073/pnas.1518798113" TargetMode="External" /><Relationship Type="http://schemas.openxmlformats.org/officeDocument/2006/relationships/hyperlink" Id="rId203" Target="https://doi.org/10.1086/701523" TargetMode="External" /><Relationship Type="http://schemas.openxmlformats.org/officeDocument/2006/relationships/hyperlink" Id="rId249" Target="https://doi.org/10.1093/mind/fzae011" TargetMode="External" /><Relationship Type="http://schemas.openxmlformats.org/officeDocument/2006/relationships/hyperlink" Id="rId270" Target="https://doi.org/10.1093/oxfordhb/9780198854265.013.31" TargetMode="External" /><Relationship Type="http://schemas.openxmlformats.org/officeDocument/2006/relationships/hyperlink" Id="rId262" Target="https://doi.org/10.1098/rsif.2017.0171" TargetMode="External" /><Relationship Type="http://schemas.openxmlformats.org/officeDocument/2006/relationships/hyperlink" Id="rId191" Target="https://doi.org/10.1098/rstb.2020.0318" TargetMode="External" /><Relationship Type="http://schemas.openxmlformats.org/officeDocument/2006/relationships/hyperlink" Id="rId131" Target="https://doi.org/10.1111/j.1502-3931.1988.tb01756.x" TargetMode="External" /><Relationship Type="http://schemas.openxmlformats.org/officeDocument/2006/relationships/hyperlink" Id="rId193" Target="https://doi.org/10.1111/tops.12762" TargetMode="External" /><Relationship Type="http://schemas.openxmlformats.org/officeDocument/2006/relationships/hyperlink" Id="rId133"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6" Target="https://doi.org/10.1179/sea.2010.29.1.013" TargetMode="External" /><Relationship Type="http://schemas.openxmlformats.org/officeDocument/2006/relationships/hyperlink" Id="rId266" Target="https://doi.org/10.1371/journal.pone.0102806" TargetMode="External" /><Relationship Type="http://schemas.openxmlformats.org/officeDocument/2006/relationships/hyperlink" Id="rId127"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108" Target="https://doi.org/10.1371/journal.pone.0194097" TargetMode="External" /><Relationship Type="http://schemas.openxmlformats.org/officeDocument/2006/relationships/hyperlink" Id="rId91" Target="https://doi.org/10.1371/journal.pone.0211562" TargetMode="External" /><Relationship Type="http://schemas.openxmlformats.org/officeDocument/2006/relationships/hyperlink" Id="rId199"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9" Target="https://doi.org/10.18637/jss.v025.i03" TargetMode="External" /><Relationship Type="http://schemas.openxmlformats.org/officeDocument/2006/relationships/hyperlink" Id="rId245" Target="https://doi.org/10.2139/ssrn.7053279" TargetMode="External" /><Relationship Type="http://schemas.openxmlformats.org/officeDocument/2006/relationships/hyperlink" Id="rId258" Target="https://doi.org/10.2307/2802103" TargetMode="External" /><Relationship Type="http://schemas.openxmlformats.org/officeDocument/2006/relationships/hyperlink" Id="rId216" Target="https://doi.org/10.2307/280511" TargetMode="External" /><Relationship Type="http://schemas.openxmlformats.org/officeDocument/2006/relationships/hyperlink" Id="rId148" Target="https://doi.org/10.2307/3034956" TargetMode="External" /><Relationship Type="http://schemas.openxmlformats.org/officeDocument/2006/relationships/hyperlink" Id="rId163" Target="https://doi.org/10.2307/j.ctv24q4z2g.5" TargetMode="External" /><Relationship Type="http://schemas.openxmlformats.org/officeDocument/2006/relationships/hyperlink" Id="rId189" Target="https://doi.org/10.2307/j.ctvdmwwz4.10" TargetMode="External" /><Relationship Type="http://schemas.openxmlformats.org/officeDocument/2006/relationships/hyperlink" Id="rId187" Target="https://doi.org/10.2307/j.ctvdmwwz4.7" TargetMode="External" /><Relationship Type="http://schemas.openxmlformats.org/officeDocument/2006/relationships/hyperlink" Id="rId195" Target="https://doi.org/10.3213/2191-5784-10243" TargetMode="External" /><Relationship Type="http://schemas.openxmlformats.org/officeDocument/2006/relationships/hyperlink" Id="rId125" Target="https://doi.org/10.32614/CRAN.package.vegan" TargetMode="External" /><Relationship Type="http://schemas.openxmlformats.org/officeDocument/2006/relationships/hyperlink" Id="rId273" Target="https://doi.org/10.3828/hgr.2023.12" TargetMode="External" /><Relationship Type="http://schemas.openxmlformats.org/officeDocument/2006/relationships/hyperlink" Id="rId208" Target="https://doi.org/10.4000/palethnologie.4945" TargetMode="External" /><Relationship Type="http://schemas.openxmlformats.org/officeDocument/2006/relationships/hyperlink" Id="rId113" Target="https://doi.org/10.4000/palethnologie.736" TargetMode="External" /><Relationship Type="http://schemas.openxmlformats.org/officeDocument/2006/relationships/hyperlink" Id="rId214" Target="https://doi.org/10.5281/zenodo.15397990" TargetMode="External" /><Relationship Type="http://schemas.openxmlformats.org/officeDocument/2006/relationships/hyperlink" Id="rId99" Target="https://doi.org/10.7485/QU65_2" TargetMode="External" /><Relationship Type="http://schemas.openxmlformats.org/officeDocument/2006/relationships/hyperlink" Id="rId139" Target="https://igraph.org" TargetMode="External" /><Relationship Type="http://schemas.openxmlformats.org/officeDocument/2006/relationships/hyperlink" Id="rId137" Target="https://statnet.org" TargetMode="External" /><Relationship Type="http://schemas.openxmlformats.org/officeDocument/2006/relationships/hyperlink" Id="rId197"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2026-08-06T06:46:41Z</dcterms:created>
  <dcterms:modified xsi:type="dcterms:W3CDTF">2026-08-06T06:46:41Z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Aurignacian technocomplex (ca. 43–30 ka BP) marks a pivotal expansion of Homo sapiens 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once network size is taken into account the late phase shows higher edge density, and formal permutation tests indicate that the phases do not differ significantly in edge density, modularity,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sl">
    <vt:lpwstr>../templates/elsevier-vancouver.csl</vt:lpwstr>
  </property>
  <property fmtid="{D5CDD505-2E9C-101B-9397-08002B2CF9AE}" pid="8" name="date">
    <vt:lpwstr>August 5,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