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32.png" ContentType="image/png"/>
  <Override PartName="/word/media/rId24.png" ContentType="image/png"/>
  <Override PartName="/word/media/rId147.png" ContentType="image/png"/>
  <Override PartName="/word/media/rId164.png" ContentType="image/png"/>
  <Override PartName="/word/media/rId156.png" ContentType="image/png"/>
  <Override PartName="/word/media/rId73.png" ContentType="image/png"/>
  <Override PartName="/word/media/rId95.png" ContentType="image/png"/>
  <Override PartName="/word/media/rId98.png" ContentType="image/png"/>
  <Override PartName="/word/media/rId101.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24,</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4: Reference: network statistics under the two-phase periodisation used in the main text (threshold = 0.2). Aur-P1 = Proto + Early; Aur-P2 = Evolved.</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Network statistics for the technology-assigned components of the two-phase baseline (Proto-Aurignacian, Early Aurignacian, Evolved Aurignacian) at threshold = 0.2. Aur-P1 = Proto + Early; Aur-P2 = Evolved.</w:t>
            </w:r>
          </w:p>
          <w:bookmarkEnd w:id="44"/>
        </w:tc>
      </w:tr>
    </w:tbl>
    <w:bookmarkEnd w:id="45"/>
    <w:bookmarkStart w:id="48"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6</w:t>
                  </w:r>
                </w:p>
              </w:tc>
              <w:tc>
                <w:tcPr/>
                <w:p>
                  <w:pPr>
                    <w:pStyle w:val="Compact"/>
                    <w:jc w:val="right"/>
                    <w:jc w:val="center"/>
                  </w:pPr>
                  <w:r>
                    <w:t xml:space="preserve">11</w:t>
                  </w:r>
                </w:p>
              </w:tc>
              <w:tc>
                <w:tcPr/>
                <w:p>
                  <w:pPr>
                    <w:pStyle w:val="Compact"/>
                    <w:jc w:val="right"/>
                    <w:jc w:val="center"/>
                  </w:pPr>
                  <w:r>
                    <w:t xml:space="preserve">0.733</w:t>
                  </w:r>
                </w:p>
              </w:tc>
              <w:tc>
                <w:tcPr/>
                <w:p>
                  <w:pPr>
                    <w:pStyle w:val="Compact"/>
                    <w:jc w:val="right"/>
                    <w:jc w:val="center"/>
                  </w:pPr>
                  <w:r>
                    <w:t xml:space="preserve">3.67</w:t>
                  </w:r>
                </w:p>
              </w:tc>
              <w:tc>
                <w:tcPr/>
                <w:p>
                  <w:pPr>
                    <w:pStyle w:val="Compact"/>
                    <w:jc w:val="right"/>
                    <w:jc w:val="center"/>
                  </w:pPr>
                  <w:r>
                    <w:t xml:space="preserve">0.727</w:t>
                  </w:r>
                </w:p>
              </w:tc>
              <w:tc>
                <w:tcPr/>
                <w:p>
                  <w:pPr>
                    <w:pStyle w:val="Compact"/>
                    <w:jc w:val="right"/>
                    <w:jc w:val="center"/>
                  </w:pPr>
                  <w:r>
                    <w:t xml:space="preserve">0.019</w:t>
                  </w:r>
                </w:p>
              </w:tc>
            </w:tr>
            <w:tr>
              <w:tc>
                <w:tcPr/>
                <w:p>
                  <w:pPr>
                    <w:pStyle w:val="Compact"/>
                    <w:jc w:val="left"/>
                    <w:jc w:val="center"/>
                  </w:pPr>
                  <w:r>
                    <w:t xml:space="preserve">Late Aurignacian (35-32 ka BP)</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0.167</w:t>
                  </w:r>
                </w:p>
              </w:tc>
              <w:tc>
                <w:tcPr/>
                <w:p>
                  <w:pPr>
                    <w:pStyle w:val="Compact"/>
                    <w:jc w:val="right"/>
                    <w:jc w:val="center"/>
                  </w:pPr>
                  <w:r>
                    <w:t xml:space="preserve">0.50</w:t>
                  </w:r>
                </w:p>
              </w:tc>
              <w:tc>
                <w:tcPr/>
                <w:p>
                  <w:pPr>
                    <w:pStyle w:val="Compact"/>
                    <w:jc w:val="right"/>
                    <w:jc w:val="center"/>
                  </w:pPr>
                  <w:r>
                    <w:t xml:space="preserve">NaN</w:t>
                  </w:r>
                </w:p>
              </w:tc>
              <w:tc>
                <w:tcPr/>
                <w:p>
                  <w:pPr>
                    <w:pStyle w:val="Compact"/>
                    <w:jc w:val="right"/>
                    <w:jc w:val="center"/>
                  </w:pPr>
                  <w:r>
                    <w:t xml:space="preserve">0.000</w:t>
                  </w:r>
                </w:p>
              </w:tc>
            </w:tr>
          </w:tbl>
          <w:p>
            <w:pPr>
              <w:jc w:val="center"/>
            </w:pPr>
            <w:pPr>
              <w:jc w:val="start"/>
              <w:spacing w:before="200"/>
              <w:pStyle w:val="ImageCaption"/>
            </w:pPr>
            <w:r>
              <w:t xml:space="preserve">Table 6: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11 edges and a mean degree of 3.67 across 6 sites, while the Late Aurignacian (35–32 ka BP) is severely data-limited: with only 4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7"/>
    <w:bookmarkEnd w:id="48"/>
    <w:bookmarkEnd w:id="49"/>
    <w:bookmarkStart w:id="84"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7</w:t>
        </w:r>
      </w:hyperlink>
      <w:r>
        <w:t xml:space="preserve">.</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w:t>
      </w:r>
      <w:r>
        <w:t xml:space="preserve"> </w:t>
      </w:r>
      <w:r>
        <w:t xml:space="preserve">[3]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7</w:t>
        </w:r>
      </w:hyperlink>
      <w:r>
        <w:t xml:space="preserv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6" w:name="fig-threshold-sweep"/>
          <w:p>
            <w:pPr>
              <w:pStyle w:val="Compact"/>
              <w:jc w:val="center"/>
            </w:pPr>
            <w:r>
              <w:drawing>
                <wp:inline>
                  <wp:extent cx="5943600" cy="2971800"/>
                  <wp:effectExtent b="0" l="0" r="0" t="0"/>
                  <wp:docPr descr="" title="" id="74" name="Picture"/>
                  <a:graphic>
                    <a:graphicData uri="http://schemas.openxmlformats.org/drawingml/2006/picture">
                      <pic:pic>
                        <pic:nvPicPr>
                          <pic:cNvPr descr="S1-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8"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0"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2"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3"/>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3"/>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83"/>
    <w:bookmarkEnd w:id="84"/>
    <w:bookmarkStart w:id="117" w:name="sec-s6"/>
    <w:p>
      <w:pPr>
        <w:pStyle w:val="Heading1"/>
      </w:pPr>
      <w:r>
        <w:t xml:space="preserve">S6. Robustness of the Two-Group Structure: Bootstrap Consensus and Stochastic Block Models</w:t>
      </w:r>
    </w:p>
    <w:bookmarkStart w:id="85"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[4]</w:t>
      </w:r>
      <w:r>
        <w:t xml:space="preserve">,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85"/>
    <w:bookmarkStart w:id="94" w:name="sec-s6-2"/>
    <w:p>
      <w:pPr>
        <w:pStyle w:val="Heading2"/>
      </w:pPr>
      <w:r>
        <w:t xml:space="preserve">S6.2 Bootstrap Consensus Analysis</w:t>
      </w:r>
    </w:p>
    <w:bookmarkStart w:id="92" w:name="rationale-3"/>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8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8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87"/>
        </w:tc>
      </w:tr>
    </w:tbl>
    <w:tbl>
      <w:tblPr>
        <w:tblStyle w:val="Table"/>
        <w:tblW w:type="pct" w:w="5000"/>
        <w:tblLook w:firstRow="0" w:lastRow="0" w:firstColumn="0" w:lastColumn="0" w:noHBand="0" w:noVBand="0" w:val="0000"/>
        <w:jc w:val="start"/>
        <w:tblLayout w:type="fixed"/>
      </w:tblPr>
      <w:tblGrid>
        <w:gridCol w:w="7920"/>
      </w:tblGrid>
      <w:tr>
        <w:tc>
          <w:tcPr/>
          <w:bookmarkStart w:id="91" w:name="fig-bootstrap-consensus"/>
          <w:p>
            <w:pPr>
              <w:pStyle w:val="Compact"/>
              <w:jc w:val="center"/>
            </w:pPr>
            <w:r>
              <w:drawing>
                <wp:inline>
                  <wp:extent cx="5943600" cy="6604000"/>
                  <wp:effectExtent b="0" l="0" r="0" t="0"/>
                  <wp:docPr descr="" title="" id="89" name="Picture"/>
                  <a:graphic>
                    <a:graphicData uri="http://schemas.openxmlformats.org/drawingml/2006/picture">
                      <pic:pic>
                        <pic:nvPicPr>
                          <pic:cNvPr descr="../figures/bootstrap-consensus-plot.png" id="90" name="Picture"/>
                          <pic:cNvPicPr>
                            <a:picLocks noChangeArrowheads="1" noChangeAspect="1"/>
                          </pic:cNvPicPr>
                        </pic:nvPicPr>
                        <pic:blipFill>
                          <a:blip r:embed="rId8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91"/>
        </w:tc>
      </w:tr>
    </w:tbl>
    <w:bookmarkEnd w:id="92"/>
    <w:bookmarkStart w:id="93" w:name="interpretation"/>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4</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93"/>
    <w:bookmarkEnd w:id="94"/>
    <w:bookmarkStart w:id="111" w:name="sec-s6-3"/>
    <w:p>
      <w:pPr>
        <w:pStyle w:val="Heading2"/>
      </w:pPr>
      <w:r>
        <w:t xml:space="preserve">S6.3 Stochastic Block Models</w:t>
      </w:r>
    </w:p>
    <w:bookmarkStart w:id="109" w:name="rationale-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the</w:t>
      </w:r>
      <w:r>
        <w:t xml:space="preserve"> </w:t>
      </w:r>
      <w:r>
        <w:rPr>
          <w:iCs/>
          <w:i/>
        </w:rPr>
        <w:t xml:space="preserve">symmetric</w:t>
      </w:r>
      <w:r>
        <w:t xml:space="preserve"> </w:t>
      </w:r>
      <w:r>
        <w:t xml:space="preserve">stochastic block model (</w:t>
      </w:r>
      <w:r>
        <w:rPr>
          <w:rStyle w:val="VerbatimChar"/>
        </w:rPr>
        <w:t xml:space="preserve">SBM_sym</w:t>
      </w:r>
      <w:r>
        <w:t xml:space="preserve">) using the</w:t>
      </w:r>
      <w:r>
        <w:t xml:space="preserve"> </w:t>
      </w:r>
      <w:r>
        <w:rPr>
          <w:iCs/>
          <w:i/>
        </w:rPr>
        <w:t xml:space="preserve">weighted</w:t>
      </w:r>
      <w:r>
        <w:t xml:space="preserve"> </w:t>
      </w:r>
      <w:r>
        <w:t xml:space="preserve">Jaccard similarity adjacency matrix (threshold = 0.2), preserving edge strength rather than binarizing. This is appropriate because Jaccard similarity is symmetric and cultural connectivity is mutual.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96" name="Picture"/>
            <a:graphic>
              <a:graphicData uri="http://schemas.openxmlformats.org/drawingml/2006/picture">
                <pic:pic>
                  <pic:nvPicPr>
                    <pic:cNvPr descr="S1-supplement-sensitivity_files/figure-docx/s6-sbm-compute-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99" name="Picture"/>
            <a:graphic>
              <a:graphicData uri="http://schemas.openxmlformats.org/drawingml/2006/picture">
                <pic:pic>
                  <pic:nvPicPr>
                    <pic:cNvPr descr="S1-supplement-sensitivity_files/figure-docx/s6-sbm-compute-2.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2" name="Picture"/>
            <a:graphic>
              <a:graphicData uri="http://schemas.openxmlformats.org/drawingml/2006/picture">
                <pic:pic>
                  <pic:nvPicPr>
                    <pic:cNvPr descr="S1-supplement-sensitivity_files/figure-docx/s6-sbm-compute-3.png" id="103" name="Picture"/>
                    <pic:cNvPicPr>
                      <a:picLocks noChangeArrowheads="1" noChangeAspect="1"/>
                    </pic:cNvPicPr>
                  </pic:nvPicPr>
                  <pic:blipFill>
                    <a:blip r:embed="rId10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5" name="Picture"/>
            <a:graphic>
              <a:graphicData uri="http://schemas.openxmlformats.org/drawingml/2006/picture">
                <pic:pic>
                  <pic:nvPicPr>
                    <pic:cNvPr descr="S1-supplement-sensitivity_files/figure-docx/s6-sbm-compute-4.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07" w:name="tbl-sbm-icl"/>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Aur-P1</w:t>
                  </w:r>
                </w:p>
              </w:tc>
              <w:tc>
                <w:tcPr/>
                <w:p>
                  <w:pPr>
                    <w:pStyle w:val="Compact"/>
                    <w:jc w:val="center"/>
                    <w:jc w:val="center"/>
                  </w:pPr>
                  <w:r>
                    <w:t xml:space="preserve">-90.0</w:t>
                  </w:r>
                </w:p>
              </w:tc>
              <w:tc>
                <w:tcPr/>
                <w:p>
                  <w:pPr>
                    <w:pStyle w:val="Compact"/>
                    <w:jc w:val="center"/>
                    <w:jc w:val="center"/>
                  </w:pPr>
                  <w:r>
                    <w:t xml:space="preserve">-92.9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center"/>
                    <w:jc w:val="center"/>
                  </w:pPr>
                  <w:r>
                    <w:t xml:space="preserve">-21.5</w:t>
                  </w:r>
                </w:p>
              </w:tc>
              <w:tc>
                <w:tcPr/>
                <w:p>
                  <w:pPr>
                    <w:pStyle w:val="Compact"/>
                    <w:jc w:val="center"/>
                    <w:jc w:val="center"/>
                  </w:pPr>
                  <w:r>
                    <w:t xml:space="preserve">-28.9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bl>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0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8" w:name="tbl-sbm-membershi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r>
            <w:tr>
              <w:tc>
                <w:tcPr/>
                <w:p>
                  <w:pPr>
                    <w:pStyle w:val="Compact"/>
                    <w:jc w:val="left"/>
                    <w:jc w:val="center"/>
                  </w:pPr>
                  <w:r>
                    <w:t xml:space="preserve">1…1</w:t>
                  </w:r>
                </w:p>
              </w:tc>
              <w:tc>
                <w:tcPr/>
                <w:p>
                  <w:pPr>
                    <w:pStyle w:val="Compact"/>
                    <w:jc w:val="left"/>
                    <w:jc w:val="center"/>
                  </w:pPr>
                  <w:r>
                    <w:t xml:space="preserve">Aur-P1</w:t>
                  </w:r>
                </w:p>
              </w:tc>
              <w:tc>
                <w:tcPr/>
                <w:p>
                  <w:pPr>
                    <w:pStyle w:val="Compact"/>
                    <w:jc w:val="left"/>
                    <w:jc w:val="center"/>
                  </w:pPr>
                  <w:r>
                    <w:t xml:space="preserve">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2…2</w:t>
                  </w:r>
                </w:p>
              </w:tc>
              <w:tc>
                <w:tcPr/>
                <w:p>
                  <w:pPr>
                    <w:pStyle w:val="Compact"/>
                    <w:jc w:val="left"/>
                    <w:jc w:val="center"/>
                  </w:pPr>
                  <w:r>
                    <w:t xml:space="preserve">Aur-P1</w:t>
                  </w:r>
                </w:p>
              </w:tc>
              <w:tc>
                <w:tcPr/>
                <w:p>
                  <w:pPr>
                    <w:pStyle w:val="Compact"/>
                    <w:jc w:val="left"/>
                    <w:jc w:val="center"/>
                  </w:pPr>
                  <w:r>
                    <w:t xml:space="preserve">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3…3</w:t>
                  </w:r>
                </w:p>
              </w:tc>
              <w:tc>
                <w:tcPr/>
                <w:p>
                  <w:pPr>
                    <w:pStyle w:val="Compact"/>
                    <w:jc w:val="left"/>
                    <w:jc w:val="center"/>
                  </w:pPr>
                  <w:r>
                    <w:t xml:space="preserve">Aur-P1</w:t>
                  </w:r>
                </w:p>
              </w:tc>
              <w:tc>
                <w:tcPr/>
                <w:p>
                  <w:pPr>
                    <w:pStyle w:val="Compact"/>
                    <w:jc w:val="left"/>
                    <w:jc w:val="center"/>
                  </w:pPr>
                  <w:r>
                    <w:t xml:space="preserve">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4…4</w:t>
                  </w:r>
                </w:p>
              </w:tc>
              <w:tc>
                <w:tcPr/>
                <w:p>
                  <w:pPr>
                    <w:pStyle w:val="Compact"/>
                    <w:jc w:val="left"/>
                    <w:jc w:val="center"/>
                  </w:pPr>
                  <w:r>
                    <w:t xml:space="preserve">Aur-P1</w:t>
                  </w:r>
                </w:p>
              </w:tc>
              <w:tc>
                <w:tcPr/>
                <w:p>
                  <w:pPr>
                    <w:pStyle w:val="Compact"/>
                    <w:jc w:val="left"/>
                    <w:jc w:val="center"/>
                  </w:pPr>
                  <w:r>
                    <w:t xml:space="preserve">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5…5</w:t>
                  </w:r>
                </w:p>
              </w:tc>
              <w:tc>
                <w:tcPr/>
                <w:p>
                  <w:pPr>
                    <w:pStyle w:val="Compact"/>
                    <w:jc w:val="left"/>
                    <w:jc w:val="center"/>
                  </w:pPr>
                  <w:r>
                    <w:t xml:space="preserve">Aur-P1</w:t>
                  </w:r>
                </w:p>
              </w:tc>
              <w:tc>
                <w:tcPr/>
                <w:p>
                  <w:pPr>
                    <w:pStyle w:val="Compact"/>
                    <w:jc w:val="left"/>
                    <w:jc w:val="center"/>
                  </w:pPr>
                  <w:r>
                    <w:t xml:space="preserve">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6…6</w:t>
                  </w:r>
                </w:p>
              </w:tc>
              <w:tc>
                <w:tcPr/>
                <w:p>
                  <w:pPr>
                    <w:pStyle w:val="Compact"/>
                    <w:jc w:val="left"/>
                    <w:jc w:val="center"/>
                  </w:pPr>
                  <w:r>
                    <w:t xml:space="preserve">Aur-P1</w:t>
                  </w:r>
                </w:p>
              </w:tc>
              <w:tc>
                <w:tcPr/>
                <w:p>
                  <w:pPr>
                    <w:pStyle w:val="Compact"/>
                    <w:jc w:val="left"/>
                    <w:jc w:val="center"/>
                  </w:pPr>
                  <w:r>
                    <w:t xml:space="preserve">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7…7</w:t>
                  </w:r>
                </w:p>
              </w:tc>
              <w:tc>
                <w:tcPr/>
                <w:p>
                  <w:pPr>
                    <w:pStyle w:val="Compact"/>
                    <w:jc w:val="left"/>
                    <w:jc w:val="center"/>
                  </w:pPr>
                  <w:r>
                    <w:t xml:space="preserve">Aur-P1</w:t>
                  </w:r>
                </w:p>
              </w:tc>
              <w:tc>
                <w:tcPr/>
                <w:p>
                  <w:pPr>
                    <w:pStyle w:val="Compact"/>
                    <w:jc w:val="left"/>
                    <w:jc w:val="center"/>
                  </w:pPr>
                  <w:r>
                    <w:t xml:space="preserve">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8…8</w:t>
                  </w:r>
                </w:p>
              </w:tc>
              <w:tc>
                <w:tcPr/>
                <w:p>
                  <w:pPr>
                    <w:pStyle w:val="Compact"/>
                    <w:jc w:val="left"/>
                    <w:jc w:val="center"/>
                  </w:pPr>
                  <w:r>
                    <w:t xml:space="preserve">Aur-P1</w:t>
                  </w:r>
                </w:p>
              </w:tc>
              <w:tc>
                <w:tcPr/>
                <w:p>
                  <w:pPr>
                    <w:pStyle w:val="Compact"/>
                    <w:jc w:val="left"/>
                    <w:jc w:val="center"/>
                  </w:pPr>
                  <w:r>
                    <w:t xml:space="preserve">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9…9</w:t>
                  </w:r>
                </w:p>
              </w:tc>
              <w:tc>
                <w:tcPr/>
                <w:p>
                  <w:pPr>
                    <w:pStyle w:val="Compact"/>
                    <w:jc w:val="left"/>
                    <w:jc w:val="center"/>
                  </w:pPr>
                  <w:r>
                    <w:t xml:space="preserve">Aur-P1</w:t>
                  </w:r>
                </w:p>
              </w:tc>
              <w:tc>
                <w:tcPr/>
                <w:p>
                  <w:pPr>
                    <w:pStyle w:val="Compact"/>
                    <w:jc w:val="left"/>
                    <w:jc w:val="center"/>
                  </w:pPr>
                  <w:r>
                    <w:t xml:space="preserve">9</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10</w:t>
                  </w:r>
                </w:p>
              </w:tc>
              <w:tc>
                <w:tcPr/>
                <w:p>
                  <w:pPr>
                    <w:pStyle w:val="Compact"/>
                    <w:jc w:val="left"/>
                    <w:jc w:val="center"/>
                  </w:pPr>
                  <w:r>
                    <w:t xml:space="preserve">Aur-P1</w:t>
                  </w:r>
                </w:p>
              </w:tc>
              <w:tc>
                <w:tcPr/>
                <w:p>
                  <w:pPr>
                    <w:pStyle w:val="Compact"/>
                    <w:jc w:val="left"/>
                    <w:jc w:val="center"/>
                  </w:pPr>
                  <w:r>
                    <w:t xml:space="preserve">10</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11</w:t>
                  </w:r>
                </w:p>
              </w:tc>
              <w:tc>
                <w:tcPr/>
                <w:p>
                  <w:pPr>
                    <w:pStyle w:val="Compact"/>
                    <w:jc w:val="left"/>
                    <w:jc w:val="center"/>
                  </w:pPr>
                  <w:r>
                    <w:t xml:space="preserve">Aur-P1</w:t>
                  </w:r>
                </w:p>
              </w:tc>
              <w:tc>
                <w:tcPr/>
                <w:p>
                  <w:pPr>
                    <w:pStyle w:val="Compact"/>
                    <w:jc w:val="left"/>
                    <w:jc w:val="center"/>
                  </w:pPr>
                  <w:r>
                    <w:t xml:space="preserve">11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12</w:t>
                  </w:r>
                </w:p>
              </w:tc>
              <w:tc>
                <w:tcPr/>
                <w:p>
                  <w:pPr>
                    <w:pStyle w:val="Compact"/>
                    <w:jc w:val="left"/>
                    <w:jc w:val="center"/>
                  </w:pPr>
                  <w:r>
                    <w:t xml:space="preserve">Aur-P1</w:t>
                  </w:r>
                </w:p>
              </w:tc>
              <w:tc>
                <w:tcPr/>
                <w:p>
                  <w:pPr>
                    <w:pStyle w:val="Compact"/>
                    <w:jc w:val="left"/>
                    <w:jc w:val="center"/>
                  </w:pPr>
                  <w:r>
                    <w:t xml:space="preserve">12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13</w:t>
                  </w:r>
                </w:p>
              </w:tc>
              <w:tc>
                <w:tcPr/>
                <w:p>
                  <w:pPr>
                    <w:pStyle w:val="Compact"/>
                    <w:jc w:val="left"/>
                    <w:jc w:val="center"/>
                  </w:pPr>
                  <w:r>
                    <w:t xml:space="preserve">Aur-P1</w:t>
                  </w:r>
                </w:p>
              </w:tc>
              <w:tc>
                <w:tcPr/>
                <w:p>
                  <w:pPr>
                    <w:pStyle w:val="Compact"/>
                    <w:jc w:val="left"/>
                    <w:jc w:val="center"/>
                  </w:pPr>
                  <w:r>
                    <w:t xml:space="preserve">13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14</w:t>
                  </w:r>
                </w:p>
              </w:tc>
              <w:tc>
                <w:tcPr/>
                <w:p>
                  <w:pPr>
                    <w:pStyle w:val="Compact"/>
                    <w:jc w:val="left"/>
                    <w:jc w:val="center"/>
                  </w:pPr>
                  <w:r>
                    <w:t xml:space="preserve">Aur-P1</w:t>
                  </w:r>
                </w:p>
              </w:tc>
              <w:tc>
                <w:tcPr/>
                <w:p>
                  <w:pPr>
                    <w:pStyle w:val="Compact"/>
                    <w:jc w:val="left"/>
                    <w:jc w:val="center"/>
                  </w:pPr>
                  <w:r>
                    <w:t xml:space="preserve">14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15</w:t>
                  </w:r>
                </w:p>
              </w:tc>
              <w:tc>
                <w:tcPr/>
                <w:p>
                  <w:pPr>
                    <w:pStyle w:val="Compact"/>
                    <w:jc w:val="left"/>
                    <w:jc w:val="center"/>
                  </w:pPr>
                  <w:r>
                    <w:t xml:space="preserve">Aur-P1</w:t>
                  </w:r>
                </w:p>
              </w:tc>
              <w:tc>
                <w:tcPr/>
                <w:p>
                  <w:pPr>
                    <w:pStyle w:val="Compact"/>
                    <w:jc w:val="left"/>
                    <w:jc w:val="center"/>
                  </w:pPr>
                  <w:r>
                    <w:t xml:space="preserve">15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16</w:t>
                  </w:r>
                </w:p>
              </w:tc>
              <w:tc>
                <w:tcPr/>
                <w:p>
                  <w:pPr>
                    <w:pStyle w:val="Compact"/>
                    <w:jc w:val="left"/>
                    <w:jc w:val="center"/>
                  </w:pPr>
                  <w:r>
                    <w:t xml:space="preserve">Aur-P1</w:t>
                  </w:r>
                </w:p>
              </w:tc>
              <w:tc>
                <w:tcPr/>
                <w:p>
                  <w:pPr>
                    <w:pStyle w:val="Compact"/>
                    <w:jc w:val="left"/>
                    <w:jc w:val="center"/>
                  </w:pPr>
                  <w:r>
                    <w:t xml:space="preserve">16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17</w:t>
                  </w:r>
                </w:p>
              </w:tc>
              <w:tc>
                <w:tcPr/>
                <w:p>
                  <w:pPr>
                    <w:pStyle w:val="Compact"/>
                    <w:jc w:val="left"/>
                    <w:jc w:val="center"/>
                  </w:pPr>
                  <w:r>
                    <w:t xml:space="preserve">Aur-P1</w:t>
                  </w:r>
                </w:p>
              </w:tc>
              <w:tc>
                <w:tcPr/>
                <w:p>
                  <w:pPr>
                    <w:pStyle w:val="Compact"/>
                    <w:jc w:val="left"/>
                    <w:jc w:val="center"/>
                  </w:pPr>
                  <w:r>
                    <w:t xml:space="preserve">17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18</w:t>
                  </w:r>
                </w:p>
              </w:tc>
              <w:tc>
                <w:tcPr/>
                <w:p>
                  <w:pPr>
                    <w:pStyle w:val="Compact"/>
                    <w:jc w:val="left"/>
                    <w:jc w:val="center"/>
                  </w:pPr>
                  <w:r>
                    <w:t xml:space="preserve">Aur-P1</w:t>
                  </w:r>
                </w:p>
              </w:tc>
              <w:tc>
                <w:tcPr/>
                <w:p>
                  <w:pPr>
                    <w:pStyle w:val="Compact"/>
                    <w:jc w:val="left"/>
                    <w:jc w:val="center"/>
                  </w:pPr>
                  <w:r>
                    <w:t xml:space="preserve">18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19</w:t>
                  </w:r>
                </w:p>
              </w:tc>
              <w:tc>
                <w:tcPr/>
                <w:p>
                  <w:pPr>
                    <w:pStyle w:val="Compact"/>
                    <w:jc w:val="left"/>
                    <w:jc w:val="center"/>
                  </w:pPr>
                  <w:r>
                    <w:t xml:space="preserve">Aur-P1</w:t>
                  </w:r>
                </w:p>
              </w:tc>
              <w:tc>
                <w:tcPr/>
                <w:p>
                  <w:pPr>
                    <w:pStyle w:val="Compact"/>
                    <w:jc w:val="left"/>
                    <w:jc w:val="center"/>
                  </w:pPr>
                  <w:r>
                    <w:t xml:space="preserve">19</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20</w:t>
                  </w:r>
                </w:p>
              </w:tc>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1…21</w:t>
                  </w:r>
                </w:p>
              </w:tc>
              <w:tc>
                <w:tcPr/>
                <w:p>
                  <w:pPr>
                    <w:pStyle w:val="Compact"/>
                    <w:jc w:val="left"/>
                    <w:jc w:val="center"/>
                  </w:pPr>
                  <w:r>
                    <w:t xml:space="preserve">Aur-P2</w:t>
                  </w:r>
                </w:p>
              </w:tc>
              <w:tc>
                <w:tcPr/>
                <w:p>
                  <w:pPr>
                    <w:pStyle w:val="Compact"/>
                    <w:jc w:val="left"/>
                    <w:jc w:val="center"/>
                  </w:pPr>
                  <w:r>
                    <w:t xml:space="preserve">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2…22</w:t>
                  </w:r>
                </w:p>
              </w:tc>
              <w:tc>
                <w:tcPr/>
                <w:p>
                  <w:pPr>
                    <w:pStyle w:val="Compact"/>
                    <w:jc w:val="left"/>
                    <w:jc w:val="center"/>
                  </w:pPr>
                  <w:r>
                    <w:t xml:space="preserve">Aur-P2</w:t>
                  </w:r>
                </w:p>
              </w:tc>
              <w:tc>
                <w:tcPr/>
                <w:p>
                  <w:pPr>
                    <w:pStyle w:val="Compact"/>
                    <w:jc w:val="left"/>
                    <w:jc w:val="center"/>
                  </w:pPr>
                  <w:r>
                    <w:t xml:space="preserve">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3…23</w:t>
                  </w:r>
                </w:p>
              </w:tc>
              <w:tc>
                <w:tcPr/>
                <w:p>
                  <w:pPr>
                    <w:pStyle w:val="Compact"/>
                    <w:jc w:val="left"/>
                    <w:jc w:val="center"/>
                  </w:pPr>
                  <w:r>
                    <w:t xml:space="preserve">Aur-P2</w:t>
                  </w:r>
                </w:p>
              </w:tc>
              <w:tc>
                <w:tcPr/>
                <w:p>
                  <w:pPr>
                    <w:pStyle w:val="Compact"/>
                    <w:jc w:val="left"/>
                    <w:jc w:val="center"/>
                  </w:pPr>
                  <w:r>
                    <w:t xml:space="preserve">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4…24</w:t>
                  </w:r>
                </w:p>
              </w:tc>
              <w:tc>
                <w:tcPr/>
                <w:p>
                  <w:pPr>
                    <w:pStyle w:val="Compact"/>
                    <w:jc w:val="left"/>
                    <w:jc w:val="center"/>
                  </w:pPr>
                  <w:r>
                    <w:t xml:space="preserve">Aur-P2</w:t>
                  </w:r>
                </w:p>
              </w:tc>
              <w:tc>
                <w:tcPr/>
                <w:p>
                  <w:pPr>
                    <w:pStyle w:val="Compact"/>
                    <w:jc w:val="left"/>
                    <w:jc w:val="center"/>
                  </w:pPr>
                  <w:r>
                    <w:t xml:space="preserve">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5…25</w:t>
                  </w:r>
                </w:p>
              </w:tc>
              <w:tc>
                <w:tcPr/>
                <w:p>
                  <w:pPr>
                    <w:pStyle w:val="Compact"/>
                    <w:jc w:val="left"/>
                    <w:jc w:val="center"/>
                  </w:pPr>
                  <w:r>
                    <w:t xml:space="preserve">Aur-P2</w:t>
                  </w:r>
                </w:p>
              </w:tc>
              <w:tc>
                <w:tcPr/>
                <w:p>
                  <w:pPr>
                    <w:pStyle w:val="Compact"/>
                    <w:jc w:val="left"/>
                    <w:jc w:val="center"/>
                  </w:pPr>
                  <w:r>
                    <w:t xml:space="preserve">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6…26</w:t>
                  </w:r>
                </w:p>
              </w:tc>
              <w:tc>
                <w:tcPr/>
                <w:p>
                  <w:pPr>
                    <w:pStyle w:val="Compact"/>
                    <w:jc w:val="left"/>
                    <w:jc w:val="center"/>
                  </w:pPr>
                  <w:r>
                    <w:t xml:space="preserve">Aur-P2</w:t>
                  </w:r>
                </w:p>
              </w:tc>
              <w:tc>
                <w:tcPr/>
                <w:p>
                  <w:pPr>
                    <w:pStyle w:val="Compact"/>
                    <w:jc w:val="left"/>
                    <w:jc w:val="center"/>
                  </w:pPr>
                  <w:r>
                    <w:t xml:space="preserve">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7…27</w:t>
                  </w:r>
                </w:p>
              </w:tc>
              <w:tc>
                <w:tcPr/>
                <w:p>
                  <w:pPr>
                    <w:pStyle w:val="Compact"/>
                    <w:jc w:val="left"/>
                    <w:jc w:val="center"/>
                  </w:pPr>
                  <w:r>
                    <w:t xml:space="preserve">Aur-P2</w:t>
                  </w:r>
                </w:p>
              </w:tc>
              <w:tc>
                <w:tcPr/>
                <w:p>
                  <w:pPr>
                    <w:pStyle w:val="Compact"/>
                    <w:jc w:val="left"/>
                    <w:jc w:val="center"/>
                  </w:pPr>
                  <w:r>
                    <w:t xml:space="preserve">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8…28</w:t>
                  </w:r>
                </w:p>
              </w:tc>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9…29</w:t>
                  </w:r>
                </w:p>
              </w:tc>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w:t>
                  </w:r>
                </w:p>
              </w:tc>
              <w:tc>
                <w:tcPr/>
                <w:p>
                  <w:pPr>
                    <w:pStyle w:val="Compact"/>
                    <w:jc w:val="left"/>
                    <w:jc w:val="center"/>
                  </w:pPr>
                  <w:r>
                    <w:t xml:space="preserve">1</w:t>
                  </w:r>
                </w:p>
              </w:tc>
            </w:tr>
          </w:tbl>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08"/>
        </w:tc>
      </w:tr>
    </w:tbl>
    <w:bookmarkEnd w:id="109"/>
    <w:bookmarkStart w:id="110" w:name="interpretation-1"/>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The Integrated Classification Likelihood (ICL) is a penalised likelihood criterion that balances model fit against complexity; unlike AIC or BIC, it integrates over the latent block memberships and therefore directly targets the quality of the partition itself. In</w:t>
      </w:r>
      <w:r>
        <w:t xml:space="preserve"> </w:t>
      </w:r>
      <w:r>
        <w:rPr>
          <w:bCs/>
          <w:b/>
        </w:rPr>
        <w:t xml:space="preserve">Aur-P1</w:t>
      </w:r>
      <w:r>
        <w:t xml:space="preserve"> </w:t>
      </w:r>
      <w:r>
        <w:t xml:space="preserve">the best-supported model contains 1 block (ICL = -89.99), while the two-block solution scores -92.90 and the three-block solution NA. The ICL gap between the best and second-best model is 2.91, indicating that the one-block model is preferred but the preference is modest—the data do not strongly discriminate among one, two, or three blocks. In</w:t>
      </w:r>
      <w:r>
        <w:t xml:space="preserve"> </w:t>
      </w:r>
      <w:r>
        <w:rPr>
          <w:bCs/>
          <w:b/>
        </w:rPr>
        <w:t xml:space="preserve">Aur-P2</w:t>
      </w:r>
      <w:r>
        <w:t xml:space="preserve"> </w:t>
      </w:r>
      <w:r>
        <w:t xml:space="preserve">the ICL profile is similarly flat: the one-block model scores -21.53, the two-block model -28.90, and the gap is only 7.37. In both phases the sparse sign-sharing networks (Aur-P1: 20 sites, 20 edges at threshold 0.2; Aur-P2: 9 sites, 9 edges) lack the information to decisively support any block structure beyond a single group. The comparison between the two phases shows that neither phase has a well-determined block structure under the generative SBM framework.</w:t>
      </w:r>
    </w:p>
    <w:p>
      <w:pPr>
        <w:pStyle w:val="BodyText"/>
      </w:pPr>
      <w:r>
        <w:t xml:space="preserve">The membership table (</w:t>
      </w:r>
      <w:hyperlink w:anchor="tbl-sbm-membership">
        <w:r>
          <w:rPr>
            <w:rStyle w:val="Hyperlink"/>
          </w:rPr>
          <w:t xml:space="preserve">Table 20</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every site is assigned to that sole block with posterior probability 1.0. The informative quantity is therefore not the partition (which is trivial) but the fact that the generative model finds no evidence for multiple blocks in either phase. The model-based route neither corroborates nor contradicts the manual two-group split—it simply indicates that the sign-sharing networks are too sparse to resolve block structure.</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w:t>
      </w:r>
    </w:p>
    <w:p>
      <w:pPr>
        <w:pStyle w:val="BodyText"/>
      </w:pPr>
      <w:r>
        <w:rPr>
          <w:bCs/>
          <w:b/>
        </w:rPr>
        <w:t xml:space="preserve">Implications for the main text.</w:t>
      </w:r>
      <w:r>
        <w:t xml:space="preserve"> </w:t>
      </w:r>
      <w:r>
        <w:t xml:space="preserve">The SBM selects a single block in both phases, so the two-group structure is not independently recovered by the generative model.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Aur-P2 results are qualified by the small sample size (9 sites, sparse edges)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w:t>
      </w:r>
    </w:p>
    <w:bookmarkEnd w:id="110"/>
    <w:bookmarkEnd w:id="111"/>
    <w:bookmarkStart w:id="115" w:name="sec-s6-4"/>
    <w:p>
      <w:pPr>
        <w:pStyle w:val="Heading2"/>
      </w:pPr>
      <w:r>
        <w:t xml:space="preserve">S6.4 Cross-Validation of Group Assignments (ARI)</w:t>
      </w:r>
    </w:p>
    <w:bookmarkStart w:id="113" w:name="rationale-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12"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NA</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NA</w:t>
                  </w:r>
                </w:p>
              </w:tc>
              <w:tc>
                <w:tcPr/>
                <w:p>
                  <w:pPr>
                    <w:pStyle w:val="Compact"/>
                    <w:jc w:val="center"/>
                    <w:jc w:val="center"/>
                  </w:pPr>
                  <w:r>
                    <w:t xml:space="preserve">NA</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w:t>
            </w:r>
          </w:p>
          <w:bookmarkEnd w:id="112"/>
        </w:tc>
      </w:tr>
    </w:tbl>
    <w:bookmarkEnd w:id="113"/>
    <w:bookmarkStart w:id="114" w:name="interpretation-2"/>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1 in Aur-P1 and 0.22 in Aur-P2 (</w:t>
      </w:r>
      <w:hyperlink w:anchor="tbl-s6-ari">
        <w:r>
          <w:rPr>
            <w:rStyle w:val="Hyperlink"/>
          </w:rPr>
          <w:t xml:space="preserve">Table 21</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because the stochastic block model selects a single block in both phases (S6.3); the SBM therefore provides no two-group ARI, and its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7</w:t>
        </w:r>
      </w:hyperlink>
      <w:r>
        <w:t xml:space="preserve">.</w:t>
      </w:r>
    </w:p>
    <w:bookmarkEnd w:id="114"/>
    <w:bookmarkEnd w:id="115"/>
    <w:bookmarkStart w:id="116"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4</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The SBM selects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informative but not redundant: the bootstrap shows the two blocks to be internally coherent and well separated under resampling; the SBM finds the data too sparse to warrant a multi-block generative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7</w:t>
        </w:r>
      </w:hyperlink>
      <w:r>
        <w:t xml:space="preserve">, which validates the grouping on withheld data rather than on the data used to define it.</w:t>
      </w:r>
    </w:p>
    <w:bookmarkEnd w:id="116"/>
    <w:bookmarkEnd w:id="117"/>
    <w:bookmarkStart w:id="121" w:name="sec-s6-6"/>
    <w:p>
      <w:pPr>
        <w:pStyle w:val="Heading1"/>
      </w:pPr>
      <w:r>
        <w:t xml:space="preserve">S6.6 Circularity-Breaking Validation of the Restricted/Broad Group Difference</w:t>
      </w:r>
    </w:p>
    <w:bookmarkStart w:id="120" w:name="rationale-6"/>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04"/>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4"/>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4"/>
        </w:numPr>
        <w:pStyle w:val="Compact"/>
      </w:pPr>
      <w:r>
        <w:rPr>
          <w:bCs/>
          <w:b/>
        </w:rPr>
        <w:t xml:space="preserve">(C) Group-free gradient PerMANOVA:</w:t>
      </w:r>
      <w:r>
        <w:t xml:space="preserve"> </w:t>
      </w:r>
      <w:r>
        <w:t xml:space="preserve">instead of asserting discrete groups, sign composition is regressed on a continuous ordination axis, testing for a gradient rather than a partition.</w:t>
      </w:r>
    </w:p>
    <w:p>
      <w:pPr>
        <w:pStyle w:val="FirstParagraph"/>
      </w:pPr>
      <w:r>
        <w:t xml:space="preserve">All three are exploratory companions to, not replacements for, the main-text PerMANOVA, which we present as descriptive rather than confirmatory.</w:t>
      </w:r>
    </w:p>
    <w:tbl>
      <w:tblPr>
        <w:tblStyle w:val="Table"/>
        <w:tblW w:type="pct" w:w="5000"/>
        <w:tblLook w:firstRow="0" w:lastRow="0" w:firstColumn="0" w:lastColumn="0" w:noHBand="0" w:noVBand="0" w:val="0000"/>
        <w:jc w:val="start"/>
        <w:tblLayout w:type="fixed"/>
      </w:tblPr>
      <w:tblGrid>
        <w:gridCol w:w="7920"/>
      </w:tblGrid>
      <w:tr>
        <w:tc>
          <w:tcPr/>
          <w:bookmarkStart w:id="118" w:name="tbl-s6-6-summary"/>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0.352</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1</w:t>
                  </w:r>
                </w:p>
              </w:tc>
            </w:tr>
            <w:tr>
              <w:tc>
                <w:tcPr/>
                <w:p>
                  <w:pPr>
                    <w:pStyle w:val="Compact"/>
                    <w:jc w:val="left"/>
                    <w:jc w:val="center"/>
                  </w:pPr>
                  <w:r>
                    <w:t xml:space="preserve">B: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 Object-half holdout (P1)</w:t>
                  </w:r>
                </w:p>
              </w:tc>
              <w:tc>
                <w:tcPr/>
                <w:p>
                  <w:pPr>
                    <w:pStyle w:val="Compact"/>
                    <w:jc w:val="left"/>
                    <w:jc w:val="center"/>
                  </w:pPr>
                  <w:r>
                    <w:t xml:space="preserve">50% splits sig</w:t>
                  </w:r>
                </w:p>
              </w:tc>
              <w:tc>
                <w:tcPr/>
                <w:p>
                  <w:pPr>
                    <w:pStyle w:val="Compact"/>
                    <w:jc w:val="center"/>
                    <w:jc w:val="center"/>
                  </w:pPr>
                  <w:r>
                    <w:t xml:space="preserve">&lt;2e-16</w:t>
                  </w:r>
                </w:p>
              </w:tc>
            </w:tr>
            <w:tr>
              <w:tc>
                <w:tcPr/>
                <w:p>
                  <w:pPr>
                    <w:pStyle w:val="Compact"/>
                    <w:jc w:val="left"/>
                    <w:jc w:val="center"/>
                  </w:pPr>
                  <w:r>
                    <w:t xml:space="preserve">B: Object-half holdout (P2)</w:t>
                  </w:r>
                </w:p>
              </w:tc>
              <w:tc>
                <w:tcPr/>
                <w:p>
                  <w:pPr>
                    <w:pStyle w:val="Compact"/>
                    <w:jc w:val="left"/>
                    <w:jc w:val="center"/>
                  </w:pPr>
                  <w:r>
                    <w:t xml:space="preserve">0% splits sig</w:t>
                  </w:r>
                </w:p>
              </w:tc>
              <w:tc>
                <w:tcPr/>
                <w:p>
                  <w:pPr>
                    <w:pStyle w:val="Compact"/>
                    <w:jc w:val="center"/>
                    <w:jc w:val="center"/>
                  </w:pPr>
                  <w:r>
                    <w:t xml:space="preserve">6.58e-10</w:t>
                  </w:r>
                </w:p>
              </w:tc>
            </w:tr>
            <w:tr>
              <w:tc>
                <w:tcPr/>
                <w:p>
                  <w:pPr>
                    <w:pStyle w:val="Compact"/>
                    <w:jc w:val="left"/>
                    <w:jc w:val="center"/>
                  </w:pPr>
                  <w:r>
                    <w:t xml:space="preserve">C: Gradient PerMANOVA (P1)</w:t>
                  </w:r>
                </w:p>
              </w:tc>
              <w:tc>
                <w:tcPr/>
                <w:p>
                  <w:pPr>
                    <w:pStyle w:val="Compact"/>
                    <w:jc w:val="left"/>
                    <w:jc w:val="center"/>
                  </w:pPr>
                  <w:r>
                    <w:t xml:space="preserve">R2 = 0.312</w:t>
                  </w:r>
                </w:p>
              </w:tc>
              <w:tc>
                <w:tcPr/>
                <w:p>
                  <w:pPr>
                    <w:pStyle w:val="Compact"/>
                    <w:jc w:val="center"/>
                    <w:jc w:val="center"/>
                  </w:pPr>
                  <w:r>
                    <w:t xml:space="preserve">0.001</w:t>
                  </w:r>
                </w:p>
              </w:tc>
            </w:tr>
            <w:tr>
              <w:tc>
                <w:tcPr/>
                <w:p>
                  <w:pPr>
                    <w:pStyle w:val="Compact"/>
                    <w:jc w:val="left"/>
                    <w:jc w:val="center"/>
                  </w:pPr>
                  <w:r>
                    <w:t xml:space="preserve">C: Gradient PerMANOVA (P2)</w:t>
                  </w:r>
                </w:p>
              </w:tc>
              <w:tc>
                <w:tcPr/>
                <w:p>
                  <w:pPr>
                    <w:pStyle w:val="Compact"/>
                    <w:jc w:val="left"/>
                    <w:jc w:val="center"/>
                  </w:pPr>
                  <w:r>
                    <w:t xml:space="preserve">R2 = 0.439</w:t>
                  </w:r>
                </w:p>
              </w:tc>
              <w:tc>
                <w:tcPr/>
                <w:p>
                  <w:pPr>
                    <w:pStyle w:val="Compact"/>
                    <w:jc w:val="center"/>
                    <w:jc w:val="center"/>
                  </w:pPr>
                  <w:r>
                    <w:t xml:space="preserve">0.001</w:t>
                  </w:r>
                </w:p>
              </w:tc>
            </w:tr>
          </w:tbl>
          <w:p>
            <w:pPr>
              <w:jc w:val="center"/>
            </w:pPr>
            <w:pPr>
              <w:jc w:val="start"/>
              <w:spacing w:before="200"/>
              <w:pStyle w:val="ImageCaption"/>
            </w:pPr>
            <w:r>
              <w:t xml:space="preserve">Table 22: Circularity-breaking validation of the restricted/broad group difference. Method A re-derives the optimal two-group split from randomised data in every permutation (observed optimal pseudo-F vs. its null). Method B validates the grouping on withheld data: site-level leave-one-out k-NN classification accuracy (with permutation p-value) and object-level holdout where groups are defined from one random half of each site’s objects and tested on the other half (Fisher-combined p across 100 random splits). Method C is a group-free continuous gradient PerMANOVA on the first PCoA axis. A significant result indicates the group structure is recoverable from data not used to define it.</w:t>
            </w:r>
          </w:p>
          <w:bookmarkEnd w:id="118"/>
        </w:tc>
      </w:tr>
    </w:tbl>
    <w:bookmarkStart w:id="119" w:name="interpretation-3"/>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w:t>
      </w:r>
      <w:r>
        <w:t xml:space="preserve"> </w:t>
      </w:r>
      <w:r>
        <w:t xml:space="preserve">-</w:t>
      </w:r>
      <w:r>
        <w:t xml:space="preserve"> </w:t>
      </w:r>
      <w:r>
        <w:rPr>
          <w:iCs/>
          <w:i/>
        </w:rPr>
        <w:t xml:space="preserve">Answer:</w:t>
      </w:r>
      <w:r>
        <w:t xml:space="preserve"> </w:t>
      </w:r>
      <w:r>
        <w:t xml:space="preserve">No. The observed optimal split is</w:t>
      </w:r>
      <w:r>
        <w:t xml:space="preserve"> </w:t>
      </w:r>
      <w:r>
        <w:rPr>
          <w:bCs/>
          <w:b/>
        </w:rPr>
        <w:t xml:space="preserve">not</w:t>
      </w:r>
      <w:r>
        <w:t xml:space="preserve"> </w:t>
      </w:r>
      <w:r>
        <w:t xml:space="preserve">significant (Aur-P1 observed optimal pseudo-F = 5.25, permutation p = 0.352; Aur-P2 observed optimal pseudo-F = 2.2, permutation p = 1). This is consistent with, not contradictory to, the conclusions from strategies B and C below: because B and C independently show the contrast is recoverable from withheld data, the non-significance of A is best read as evidence against a</w:t>
      </w:r>
      <w:r>
        <w:t xml:space="preserve"> </w:t>
      </w:r>
      <w:r>
        <w:rPr>
          <w:iCs/>
          <w:i/>
        </w:rPr>
        <w:t xml:space="preserve">sharp discontinuous partition</w:t>
      </w:r>
      <w:r>
        <w:t xml:space="preserve"> </w:t>
      </w:r>
      <w:r>
        <w:t xml:space="preserve">rather than against the contrast existing. The restricted/broad contrast is therefore a real, recoverable</w:t>
      </w:r>
      <w:r>
        <w:t xml:space="preserve"> </w:t>
      </w:r>
      <w:r>
        <w:rPr>
          <w:iCs/>
          <w:i/>
        </w:rPr>
        <w:t xml:space="preserve">gradient/axis of variation</w:t>
      </w:r>
      <w:r>
        <w:t xml:space="preserve">, but it is not a sharp partition that survives the most stringent</w:t>
      </w:r>
      <w:r>
        <w:t xml:space="preserve"> </w:t>
      </w:r>
      <w:r>
        <w:t xml:space="preserve">“</w:t>
      </w:r>
      <w:r>
        <w:t xml:space="preserve">optimisation-accounted-for</w:t>
      </w:r>
      <w:r>
        <w:t xml:space="preserve">”</w:t>
      </w:r>
      <w:r>
        <w:t xml:space="preserve"> </w:t>
      </w:r>
      <w:r>
        <w:t xml:space="preserve">null.</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w:t>
      </w:r>
      <w:r>
        <w:t xml:space="preserve"> </w:t>
      </w:r>
      <w:r>
        <w:t xml:space="preserve">Can a held-out site’s restricted/broad label be predicted from a classifier trained only on the other sites?</w:t>
      </w:r>
      <w:r>
        <w:t xml:space="preserve"> </w:t>
      </w:r>
      <w:r>
        <w:t xml:space="preserve">-</w:t>
      </w:r>
      <w:r>
        <w:t xml:space="preserve"> </w:t>
      </w:r>
      <w:r>
        <w:rPr>
          <w:iCs/>
          <w:i/>
        </w:rPr>
        <w:t xml:space="preserve">Answer:</w:t>
      </w:r>
      <w:r>
        <w:t xml:space="preserve"> </w:t>
      </w:r>
      <w:r>
        <w:t xml:space="preserve">Yes. Leave-one-site-out classification recovers the manual label for 100% of Aur-P1 sites (95% CI 0.83–1, permutation p = 0.001) and 89% of Aur-P2 sites (permutation p = 0.028). A site’s group is therefore predictable from a classifier trained on the</w:t>
      </w:r>
      <w:r>
        <w:t xml:space="preserve"> </w:t>
      </w:r>
      <w:r>
        <w:rPr>
          <w:iCs/>
          <w:i/>
        </w:rPr>
        <w:t xml:space="preserve">other</w:t>
      </w:r>
      <w:r>
        <w:t xml:space="preserve"> </w:t>
      </w:r>
      <w:r>
        <w:t xml:space="preserve">sites, so the assignment is not an artefact of fitting all sites simultaneously.</w:t>
      </w:r>
      <w:r>
        <w:t xml:space="preserve"> </w:t>
      </w:r>
      <w:r>
        <w:t xml:space="preserve">-</w:t>
      </w:r>
      <w:r>
        <w:t xml:space="preserve"> </w:t>
      </w:r>
      <w:r>
        <w:rPr>
          <w:iCs/>
          <w:i/>
        </w:rPr>
        <w:t xml:space="preserve">Object level (B-ii):</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w:t>
      </w:r>
      <w:r>
        <w:t xml:space="preserve"> </w:t>
      </w:r>
      <w:r>
        <w:t xml:space="preserve">-</w:t>
      </w:r>
      <w:r>
        <w:t xml:space="preserve"> </w:t>
      </w:r>
      <w:r>
        <w:rPr>
          <w:iCs/>
          <w:i/>
        </w:rPr>
        <w:t xml:space="preserve">Answer:</w:t>
      </w:r>
      <w:r>
        <w:t xml:space="preserve"> </w:t>
      </w:r>
      <w:r>
        <w:t xml:space="preserve">Yes for Aur-P1: the held-out PerMANOVA is significant in the large majority of random splits (50% of 100; Fisher-combined p = &lt;2e-16), using 16 of 20 sites that have enough objects for splitting. For Aur-P2 the combined evidence is likewise significant (Fisher-combined p = 6.6e-10), although only 5 of 9 Aur-P2 sites have two or more objects, so each individual split has low power (few splits clear p &lt; 0.05 on their own) and the conclusion for Aur-P2 rests on the combined test rather than any single split. This shows the grouping is stable across</w:t>
      </w:r>
      <w:r>
        <w:t xml:space="preserve"> </w:t>
      </w:r>
      <w:r>
        <w:rPr>
          <w:iCs/>
          <w:i/>
        </w:rPr>
        <w:t xml:space="preserve">disjoint sets of objects</w:t>
      </w:r>
      <w:r>
        <w:t xml:space="preserve">, which the original PerMANOVA, using every object to both define and test the groups, could not establish.</w:t>
      </w:r>
    </w:p>
    <w:p>
      <w:pPr>
        <w:pStyle w:val="BodyText"/>
      </w:pPr>
      <w:r>
        <w:rPr>
          <w:bCs/>
          <w:b/>
        </w:rPr>
        <w:t xml:space="preserve">Question 3 (strategy C):</w:t>
      </w:r>
      <w:r>
        <w:t xml:space="preserve"> </w:t>
      </w:r>
      <w:r>
        <w:t xml:space="preserve">If we abandon the discrete two-group partition entirely and instead ask whether sign composition varies continuously along the main compositional axis, is that gradient significant?</w:t>
      </w:r>
      <w:r>
        <w:t xml:space="preserve"> </w:t>
      </w:r>
      <w:r>
        <w:t xml:space="preserve">-</w:t>
      </w:r>
      <w:r>
        <w:t xml:space="preserve"> </w:t>
      </w:r>
      <w:r>
        <w:rPr>
          <w:iCs/>
          <w:i/>
        </w:rPr>
        <w:t xml:space="preserve">Answer:</w:t>
      </w:r>
      <w:r>
        <w:t xml:space="preserve"> </w:t>
      </w:r>
      <w:r>
        <w:t xml:space="preserve">Yes. A group-free gradient PerMANOVA regressing sign composition on the continuous first ordination axis is significant in both phases (Aur-P1: R² = 0.312, p = 0.001; Aur-P2: R² = 0.439, p = 0.001). Even without asserting discrete groups, a compositional gradient explains a significant fraction of the variation.</w:t>
      </w:r>
    </w:p>
    <w:p>
      <w:pPr>
        <w:pStyle w:val="BodyText"/>
      </w:pPr>
      <w:r>
        <w:rPr>
          <w:bCs/>
          <w:b/>
        </w:rPr>
        <w:t xml:space="preserve">Summary.</w:t>
      </w:r>
      <w:r>
        <w:t xml:space="preserve"> </w:t>
      </w:r>
      <w:r>
        <w:t xml:space="preserve">Strategies B and C provide the strongest evidence that the</w:t>
      </w:r>
      <w:r>
        <w:t xml:space="preserve"> </w:t>
      </w:r>
      <w:r>
        <w:t xml:space="preserve">restricted/broad contrast is not a circularity artefact: the grouping is</w:t>
      </w:r>
      <w:r>
        <w:t xml:space="preserve"> </w:t>
      </w:r>
      <w:r>
        <w:t xml:space="preserve">recovered from withheld data (strategy B) and a continuous gradient is significant without any group definition (strategy C). Strategy A, the most conservative test, is consistent with a gradual rather than sharp partition and does not contradict the recoverability established by B and C. We therefore present the main-text PerMANOVA as descriptive and exploratory, and we rely on the cross-validation results (strategy B) as the appropriate independent confirmation that the grouping is not a circularity artefact.</w:t>
      </w:r>
    </w:p>
    <w:bookmarkEnd w:id="119"/>
    <w:bookmarkEnd w:id="120"/>
    <w:bookmarkEnd w:id="121"/>
    <w:bookmarkStart w:id="138" w:name="sec-s7"/>
    <w:p>
      <w:pPr>
        <w:pStyle w:val="Heading1"/>
      </w:pPr>
      <w:r>
        <w:t xml:space="preserve">S7. Object-Type Sensitivity: Figurine Exclusion</w:t>
      </w:r>
    </w:p>
    <w:bookmarkStart w:id="122" w:name="s7.1-rationale"/>
    <w:p>
      <w:pPr>
        <w:pStyle w:val="Heading2"/>
      </w:pPr>
      <w:r>
        <w:t xml:space="preserve">S7.1 Rationale</w:t>
      </w:r>
    </w:p>
    <w:p>
      <w:pPr>
        <w:pStyle w:val="FirstParagraph"/>
      </w:pPr>
      <w:r>
        <w:t xml:space="preserve">[5]</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22"/>
    <w:bookmarkStart w:id="124"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23"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23: Distribution of figurine objects across phases and sites. Figurine types include figurine zoomorph, figurine anthropomorph, figurine undet., and possible figurine.</w:t>
            </w:r>
          </w:p>
          <w:bookmarkEnd w:id="123"/>
        </w:tc>
      </w:tr>
    </w:tbl>
    <w:p>
      <w:pPr>
        <w:pStyle w:val="BodyText"/>
      </w:pPr>
      <w:hyperlink w:anchor="tbl-figurine-count">
        <w:r>
          <w:rPr>
            <w:rStyle w:val="Hyperlink"/>
          </w:rPr>
          <w:t xml:space="preserve">Table 23</w:t>
        </w:r>
      </w:hyperlink>
      <w:r>
        <w:t xml:space="preserve"> </w:t>
      </w:r>
      <w:r>
        <w:t xml:space="preserve">shows that figurines are heavily concentrated at Vogelherd (50 objects), with minor representation at Hohle Fels (8),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(7.50) , is driven by these 50 objects at a single site.</w:t>
      </w:r>
    </w:p>
    <w:bookmarkEnd w:id="124"/>
    <w:bookmarkStart w:id="129" w:name="s7.3-analysis-1-exclude-all-figurines"/>
    <w:p>
      <w:pPr>
        <w:pStyle w:val="Heading2"/>
      </w:pPr>
      <w:r>
        <w:t xml:space="preserve">S7.3 Analysis 1: Exclude All Figurines</w:t>
      </w:r>
    </w:p>
    <w:bookmarkStart w:id="127"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25" w:name="tbl-exclude-figurines"/>
          <w:tbl>
            <w:tblPr>
              <w:tblStyle w:val="Table"/>
              <w:tblW w:type="pct" w:w="5000"/>
              <w:tblLook w:firstRow="1" w:lastRow="0" w:firstColumn="0" w:lastColumn="0" w:noHBand="0" w:noVBand="0" w:val="0020"/>
              <w:jc w:val="start"/>
              <w:tblLayout w:type="fixed"/>
            </w:tblPr>
            <w:tblGrid>
              <w:gridCol w:w="622"/>
              <w:gridCol w:w="533"/>
              <w:gridCol w:w="622"/>
              <w:gridCol w:w="800"/>
              <w:gridCol w:w="1156"/>
              <w:gridCol w:w="1245"/>
              <w:gridCol w:w="1067"/>
              <w:gridCol w:w="1868"/>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Excluding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Excluding figurines</w:t>
                  </w:r>
                </w:p>
              </w:tc>
            </w:tr>
          </w:tbl>
          <w:p>
            <w:pPr>
              <w:jc w:val="center"/>
            </w:pPr>
            <w:pPr>
              <w:jc w:val="start"/>
              <w:spacing w:before="200"/>
              <w:pStyle w:val="ImageCaption"/>
            </w:pPr>
            <w:r>
              <w:t xml:space="preserve">Table 24: Network statistics before and after excluding all figurine objects (figurine zoomorph, figurine anthropomorph, figurine undet., and possible figurine). Threshold = 0.2, Jaccard similarity.</w:t>
            </w:r>
          </w:p>
          <w:bookmarkEnd w:id="12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6"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25: Number of sites per phase before and after figurine exclusion. Sites are lost when all objects at that site are figurines.</w:t>
            </w:r>
          </w:p>
          <w:bookmarkEnd w:id="126"/>
        </w:tc>
      </w:tr>
    </w:tbl>
    <w:bookmarkEnd w:id="127"/>
    <w:bookmarkStart w:id="128" w:name="interpretation-4"/>
    <w:p>
      <w:pPr>
        <w:pStyle w:val="Heading3"/>
      </w:pPr>
      <w:r>
        <w:t xml:space="preserve">Interpretation</w:t>
      </w:r>
    </w:p>
    <w:p>
      <w:pPr>
        <w:pStyle w:val="FirstParagraph"/>
      </w:pPr>
      <w:r>
        <w:t xml:space="preserve">Excluding all 63 figurines has only a small effect on the Aur-P1 network: one edge is lost (75 → 74) and mean degree falls from 7.50 to 7.40, with no sites lost (all 20 sites retained). Aur-P2 is unchanged (mean degree 4.22, 19 edges, 9 sites): the four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(7.40) under figurine exclusion, preserving the main-text ordering Aur-P1 &gt; Aur-P2 (7.40 &gt; 4.22). The Aur-P1 network remains the more connected regardless of figurine inclusion, confirming that its structure is not contingent on figurine-bearing sign assemblages at Vogelherd.</w:t>
      </w:r>
    </w:p>
    <w:bookmarkEnd w:id="128"/>
    <w:bookmarkEnd w:id="129"/>
    <w:bookmarkStart w:id="134" w:name="X7549e60451b9f7bbee640100d361a0cf771ac62"/>
    <w:p>
      <w:pPr>
        <w:pStyle w:val="Heading2"/>
      </w:pPr>
      <w:r>
        <w:t xml:space="preserve">S7.4 Analysis 2: Exclude Vogelherd Figurines Only</w:t>
      </w:r>
    </w:p>
    <w:bookmarkStart w:id="132"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30" w:name="tbl-vogelherd-exclude"/>
          <w:tbl>
            <w:tblPr>
              <w:tblStyle w:val="Table"/>
              <w:tblW w:type="pct" w:w="5000"/>
              <w:tblLook w:firstRow="1" w:lastRow="0" w:firstColumn="0" w:lastColumn="0" w:noHBand="0" w:noVBand="0" w:val="0020"/>
              <w:jc w:val="start"/>
              <w:tblLayout w:type="fixed"/>
            </w:tblPr>
            <w:tblGrid>
              <w:gridCol w:w="583"/>
              <w:gridCol w:w="500"/>
              <w:gridCol w:w="583"/>
              <w:gridCol w:w="750"/>
              <w:gridCol w:w="1083"/>
              <w:gridCol w:w="1167"/>
              <w:gridCol w:w="1000"/>
              <w:gridCol w:w="225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26: Network statistics before and after excluding figurines from Vogelherd only. All other figurines (Hohle Fels, Geissenklösterle, Hohlenstein-Stadel, La Ferrassie) are retained. Threshold = 0.2, Jaccard similarity.</w:t>
            </w:r>
          </w:p>
          <w:bookmarkEnd w:id="13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1"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27: Vogelherd object counts before and after removing figurines. Non-figurine objects at Vogelherd (tools, plaquettes, etc.) are retained.</w:t>
            </w:r>
          </w:p>
          <w:bookmarkEnd w:id="131"/>
        </w:tc>
      </w:tr>
    </w:tbl>
    <w:bookmarkEnd w:id="132"/>
    <w:bookmarkStart w:id="133" w:name="interpretation-5"/>
    <w:p>
      <w:pPr>
        <w:pStyle w:val="Heading3"/>
      </w:pPr>
      <w:r>
        <w:t xml:space="preserve">Interpretation</w:t>
      </w:r>
    </w:p>
    <w:p>
      <w:pPr>
        <w:pStyle w:val="FirstParagraph"/>
      </w:pPr>
      <w:r>
        <w:t xml:space="preserve">Removing only Vogelherd’s figurines (50 objects: 173 → 123 in Aur-P1) has a negligible effect on Aur-P1: mean degree drops from 7.50 to 7.40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Geissenklösterle (3), Hohlenstein-Stadel (1), and La Ferrassie (1) do not alter the network structure , including the four Hohle Fels figurines assigned to Aur-P2, which leave that phase’s network unchanged , and Vogelherd’s connectivity within Aur-P1 is carried by its 123 non-figurine objects.</w:t>
      </w:r>
    </w:p>
    <w:bookmarkEnd w:id="133"/>
    <w:bookmarkEnd w:id="134"/>
    <w:bookmarkStart w:id="136"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35" w:name="tbl-objtype-joint"/>
          <w:tbl>
            <w:tblPr>
              <w:tblStyle w:val="Table"/>
              <w:tblW w:type="pct" w:w="5000"/>
              <w:tblLook w:firstRow="1" w:lastRow="0" w:firstColumn="0" w:lastColumn="0" w:noHBand="0" w:noVBand="0" w:val="0020"/>
              <w:jc w:val="start"/>
              <w:tblLayout w:type="fixed"/>
            </w:tblPr>
            <w:tblGrid>
              <w:gridCol w:w="554"/>
              <w:gridCol w:w="2217"/>
              <w:gridCol w:w="475"/>
              <w:gridCol w:w="554"/>
              <w:gridCol w:w="1029"/>
              <w:gridCol w:w="1108"/>
              <w:gridCol w:w="950"/>
              <w:gridCol w:w="102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28: Side-by-side comparison of network statistics across all conditions: baseline (all objects), exclude all figurines, and exclude Vogelherd figurines only. The rightmost columns show the percentage change in mean degree from baseline.</w:t>
            </w:r>
          </w:p>
          <w:bookmarkEnd w:id="135"/>
        </w:tc>
      </w:tr>
    </w:tbl>
    <w:bookmarkEnd w:id="136"/>
    <w:bookmarkStart w:id="137"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28</w:t>
        </w:r>
      </w:hyperlink>
      <w:r>
        <w:t xml:space="preserve"> </w:t>
      </w:r>
      <w:r>
        <w:t xml:space="preserve">shows that figurine exclusion has a modest and phase-dependent effect on network structure: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Baseline mean°</w:t>
            </w:r>
          </w:p>
        </w:tc>
        <w:tc>
          <w:tcPr/>
          <w:p>
            <w:pPr>
              <w:pStyle w:val="Compact"/>
              <w:jc w:val="left"/>
            </w:pPr>
            <w:r>
              <w:t xml:space="preserve">No figurines</w:t>
            </w:r>
          </w:p>
        </w:tc>
        <w:tc>
          <w:tcPr/>
          <w:p>
            <w:pPr>
              <w:pStyle w:val="Compact"/>
              <w:jc w:val="left"/>
            </w:pPr>
            <w:r>
              <w:t xml:space="preserve">Δ</w:t>
            </w:r>
          </w:p>
        </w:tc>
        <w:tc>
          <w:tcPr/>
          <w:p>
            <w:pPr>
              <w:pStyle w:val="Compact"/>
              <w:jc w:val="left"/>
            </w:pPr>
            <w:r>
              <w:t xml:space="preserve">Vogelherd only</w:t>
            </w:r>
          </w:p>
        </w:tc>
        <w:tc>
          <w:tcPr/>
          <w:p>
            <w:pPr>
              <w:pStyle w:val="Compact"/>
              <w:jc w:val="left"/>
            </w:pPr>
            <w:r>
              <w:t xml:space="preserve">Δ</w:t>
            </w:r>
          </w:p>
        </w:tc>
      </w:tr>
      <w:tr>
        <w:tc>
          <w:tcPr/>
          <w:p>
            <w:pPr>
              <w:pStyle w:val="Compact"/>
              <w:jc w:val="left"/>
            </w:pPr>
            <w:r>
              <w:t xml:space="preserve">Aur-P1</w:t>
            </w:r>
          </w:p>
        </w:tc>
        <w:tc>
          <w:tcPr/>
          <w:p>
            <w:pPr>
              <w:pStyle w:val="Compact"/>
              <w:jc w:val="left"/>
            </w:pPr>
            <w:r>
              <w:t xml:space="preserve">7.50</w:t>
            </w:r>
          </w:p>
        </w:tc>
        <w:tc>
          <w:tcPr/>
          <w:p>
            <w:pPr>
              <w:pStyle w:val="Compact"/>
              <w:jc w:val="left"/>
            </w:pPr>
            <w:r>
              <w:t xml:space="preserve">7.40</w:t>
            </w:r>
          </w:p>
        </w:tc>
        <w:tc>
          <w:tcPr/>
          <w:p>
            <w:pPr>
              <w:pStyle w:val="Compact"/>
              <w:jc w:val="left"/>
            </w:pPr>
            <w:r>
              <w:t xml:space="preserve">−1.3%</w:t>
            </w:r>
          </w:p>
        </w:tc>
        <w:tc>
          <w:tcPr/>
          <w:p>
            <w:pPr>
              <w:pStyle w:val="Compact"/>
              <w:jc w:val="left"/>
            </w:pPr>
            <w:r>
              <w:t xml:space="preserve">7.40</w:t>
            </w:r>
          </w:p>
        </w:tc>
        <w:tc>
          <w:tcPr/>
          <w:p>
            <w:pPr>
              <w:pStyle w:val="Compact"/>
              <w:jc w:val="left"/>
            </w:pPr>
            <w:r>
              <w:t xml:space="preserve">−1.3%</w:t>
            </w:r>
          </w:p>
        </w:tc>
      </w:tr>
      <w:tr>
        <w:tc>
          <w:tcPr/>
          <w:p>
            <w:pPr>
              <w:pStyle w:val="Compact"/>
              <w:jc w:val="left"/>
            </w:pPr>
            <w:r>
              <w:t xml:space="preserve">Aur-P2</w:t>
            </w:r>
          </w:p>
        </w:tc>
        <w:tc>
          <w:tcPr/>
          <w:p>
            <w:pPr>
              <w:pStyle w:val="Compact"/>
              <w:jc w:val="left"/>
            </w:pPr>
            <w:r>
              <w:t xml:space="preserve">4.22</w:t>
            </w:r>
          </w:p>
        </w:tc>
        <w:tc>
          <w:tcPr/>
          <w:p>
            <w:pPr>
              <w:pStyle w:val="Compact"/>
              <w:jc w:val="left"/>
            </w:pPr>
            <w:r>
              <w:t xml:space="preserve">4.22</w:t>
            </w:r>
          </w:p>
        </w:tc>
        <w:tc>
          <w:tcPr/>
          <w:p>
            <w:pPr>
              <w:pStyle w:val="Compact"/>
              <w:jc w:val="left"/>
            </w:pPr>
            <w:r>
              <w:t xml:space="preserve">0%</w:t>
            </w:r>
          </w:p>
        </w:tc>
        <w:tc>
          <w:tcPr/>
          <w:p>
            <w:pPr>
              <w:pStyle w:val="Compact"/>
              <w:jc w:val="left"/>
            </w:pPr>
            <w:r>
              <w:t xml:space="preserve">4.22</w:t>
            </w:r>
          </w:p>
        </w:tc>
        <w:tc>
          <w:tcPr/>
          <w:p>
            <w:pPr>
              <w:pStyle w:val="Compact"/>
              <w:jc w:val="left"/>
            </w:pPr>
            <w:r>
              <w:t xml:space="preserve">0%</w:t>
            </w:r>
          </w:p>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7.50 → 7.40)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(7.50 &gt; 4.22) is unchanged under both exclusion scenarios (7.40 &gt; 4.22 excluding all figurines; 7.40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produces the same effect as removing all 63 figurines globally (−1.3%).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[5]</w:t>
      </w:r>
      <w:r>
        <w:t xml:space="preserve"> </w:t>
      </w:r>
      <w:r>
        <w:t xml:space="preserve">argument that figurines carry high-information sign sequences, but the communities themselves are defined by shared sign types across all object types.</w:t>
      </w:r>
    </w:p>
    <w:bookmarkEnd w:id="137"/>
    <w:bookmarkEnd w:id="138"/>
    <w:bookmarkStart w:id="145" w:name="sec-s8"/>
    <w:p>
      <w:pPr>
        <w:pStyle w:val="Heading1"/>
      </w:pPr>
      <w:r>
        <w:t xml:space="preserve">S8. Site Reclassification Sensitivity Analysis</w:t>
      </w:r>
    </w:p>
    <w:bookmarkStart w:id="139"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5"/>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[6,7]</w:t>
      </w:r>
      <w:r>
        <w:t xml:space="preserve">. The site is classified as Aurignacian I (Early) in the Périgord sequence.</w:t>
      </w:r>
    </w:p>
    <w:p>
      <w:pPr>
        <w:numPr>
          <w:ilvl w:val="0"/>
          <w:numId w:val="1005"/>
        </w:numPr>
        <w:pStyle w:val="Compact"/>
      </w:pPr>
      <w:r>
        <w:rPr>
          <w:bCs/>
          <w:b/>
        </w:rPr>
        <w:t xml:space="preserve">La Ferrassie</w:t>
      </w:r>
      <w:r>
        <w:t xml:space="preserve">: The Aurignacian at La Ferrassie begins in Layer 7, directly overlying the Châtelperronian (Layer 6).</w:t>
      </w:r>
      <w:r>
        <w:t xml:space="preserve"> </w:t>
      </w:r>
      <w:r>
        <w:t xml:space="preserve">[8]</w:t>
      </w:r>
      <w:r>
        <w:t xml:space="preserve"> </w:t>
      </w:r>
      <w:r>
        <w:t xml:space="preserve">classify this as Early Aurignacian (Aur-P1) based on carinated scrapers and wide Aurignacian blades. No split-base bone points (Proto-Aurignacian diagnostic) were found</w:t>
      </w:r>
      <w:r>
        <w:t xml:space="preserve"> </w:t>
      </w:r>
      <w:r>
        <w:t xml:space="preserve">[8,9]</w:t>
      </w:r>
      <w:r>
        <w:t xml:space="preserve">. Layer 7b has mixed Early/Recent Aurignacian components.</w:t>
      </w:r>
    </w:p>
    <w:p>
      <w:pPr>
        <w:numPr>
          <w:ilvl w:val="0"/>
          <w:numId w:val="1005"/>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[10]</w:t>
      </w:r>
      <w:r>
        <w:t xml:space="preserve">. Direct dates of ~31 ka ¹⁴C BP (~35–36 cal BP) are too young for Proto-Aurignacian</w:t>
      </w:r>
      <w:r>
        <w:t xml:space="preserve"> </w:t>
      </w:r>
      <w:r>
        <w:t xml:space="preserve">[11]</w:t>
      </w:r>
      <w:r>
        <w:t xml:space="preserve">.</w:t>
      </w:r>
    </w:p>
    <w:p>
      <w:pPr>
        <w:numPr>
          <w:ilvl w:val="0"/>
          <w:numId w:val="1005"/>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[12]</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139"/>
    <w:bookmarkStart w:id="142"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140"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21</w:t>
                  </w:r>
                </w:p>
              </w:tc>
              <w:tc>
                <w:tcPr/>
                <w:p>
                  <w:pPr>
                    <w:pStyle w:val="Compact"/>
                    <w:jc w:val="center"/>
                    <w:jc w:val="center"/>
                  </w:pPr>
                  <w:r>
                    <w:t xml:space="preserve">90</w:t>
                  </w:r>
                </w:p>
              </w:tc>
              <w:tc>
                <w:tcPr/>
                <w:p>
                  <w:pPr>
                    <w:pStyle w:val="Compact"/>
                    <w:jc w:val="center"/>
                    <w:jc w:val="center"/>
                  </w:pPr>
                  <w:r>
                    <w:t xml:space="preserve">0.429</w:t>
                  </w:r>
                </w:p>
              </w:tc>
              <w:tc>
                <w:tcPr/>
                <w:p>
                  <w:pPr>
                    <w:pStyle w:val="Compact"/>
                    <w:jc w:val="center"/>
                    <w:jc w:val="center"/>
                  </w:pPr>
                  <w:r>
                    <w:t xml:space="preserve">8.57</w:t>
                  </w:r>
                </w:p>
              </w:tc>
              <w:tc>
                <w:tcPr/>
                <w:p>
                  <w:pPr>
                    <w:pStyle w:val="Compact"/>
                    <w:jc w:val="center"/>
                    <w:jc w:val="center"/>
                  </w:pPr>
                  <w:r>
                    <w:t xml:space="preserve">0.729</w:t>
                  </w:r>
                </w:p>
              </w:tc>
              <w:tc>
                <w:tcPr/>
                <w:p>
                  <w:pPr>
                    <w:pStyle w:val="Compact"/>
                    <w:jc w:val="center"/>
                    <w:jc w:val="center"/>
                  </w:pPr>
                  <w:r>
                    <w:t xml:space="preserve">0.303</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29: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140"/>
        </w:tc>
      </w:tr>
    </w:tbl>
    <w:bookmarkStart w:id="141"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141"/>
    <w:bookmarkEnd w:id="142"/>
    <w:bookmarkStart w:id="143"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Condition</w:t>
            </w:r>
          </w:p>
        </w:tc>
        <w:tc>
          <w:tcPr/>
          <w:p>
            <w:pPr>
              <w:pStyle w:val="Compact"/>
              <w:jc w:val="left"/>
            </w:pPr>
            <w:r>
              <w:t xml:space="preserve">Aur-P1 mean°</w:t>
            </w:r>
          </w:p>
        </w:tc>
        <w:tc>
          <w:tcPr/>
          <w:p>
            <w:pPr>
              <w:pStyle w:val="Compact"/>
              <w:jc w:val="left"/>
            </w:pPr>
            <w:r>
              <w:t xml:space="preserve">Aur-P2 mean°</w:t>
            </w:r>
          </w:p>
        </w:tc>
        <w:tc>
          <w:tcPr/>
          <w:p>
            <w:pPr>
              <w:pStyle w:val="Compact"/>
              <w:jc w:val="left"/>
            </w:pPr>
            <w:r>
              <w:t xml:space="preserve">Ordering</w:t>
            </w:r>
          </w:p>
        </w:tc>
      </w:tr>
      <w:tr>
        <w:tc>
          <w:tcPr/>
          <w:p>
            <w:pPr>
              <w:pStyle w:val="Compact"/>
              <w:jc w:val="left"/>
            </w:pPr>
            <w:r>
              <w:t xml:space="preserve">Baseline (technology-based)</w:t>
            </w:r>
          </w:p>
        </w:tc>
        <w:tc>
          <w:tcPr/>
          <w:p>
            <w:pPr>
              <w:pStyle w:val="Compact"/>
              <w:jc w:val="left"/>
            </w:pPr>
            <w:r>
              <w:t xml:space="preserve">7.5</w:t>
            </w:r>
          </w:p>
        </w:tc>
        <w:tc>
          <w:tcPr/>
          <w:p>
            <w:pPr>
              <w:pStyle w:val="Compact"/>
              <w:jc w:val="left"/>
            </w:pPr>
            <w:r>
              <w:t xml:space="preserve">4.22</w:t>
            </w:r>
          </w:p>
        </w:tc>
        <w:tc>
          <w:tcPr/>
          <w:p>
            <w:pPr>
              <w:pStyle w:val="Compact"/>
              <w:jc w:val="left"/>
            </w:pPr>
            <w:r>
              <w:t xml:space="preserve">Aur-P1 &gt; Aur-P2</w:t>
            </w:r>
          </w:p>
        </w:tc>
      </w:tr>
      <w:tr>
        <w:tc>
          <w:tcPr/>
          <w:p>
            <w:pPr>
              <w:pStyle w:val="Compact"/>
              <w:jc w:val="left"/>
            </w:pPr>
            <w:r>
              <w:t xml:space="preserve">Date-based</w:t>
            </w:r>
          </w:p>
        </w:tc>
        <w:tc>
          <w:tcPr/>
          <w:p>
            <w:pPr>
              <w:pStyle w:val="Compact"/>
              <w:jc w:val="left"/>
            </w:pPr>
            <w:r>
              <w:t xml:space="preserve">8.57</w:t>
            </w:r>
          </w:p>
        </w:tc>
        <w:tc>
          <w:tcPr/>
          <w:p>
            <w:pPr>
              <w:pStyle w:val="Compact"/>
              <w:jc w:val="left"/>
            </w:pPr>
            <w:r>
              <w:t xml:space="preserve">3.33</w:t>
            </w:r>
          </w:p>
        </w:tc>
        <w:tc>
          <w:tcPr/>
          <w:p>
            <w:pPr>
              <w:pStyle w:val="Compact"/>
              <w:jc w:val="left"/>
            </w:pPr>
            <w:r>
              <w:t xml:space="preserve">Aur-P1 &gt; Aur-P2</w:t>
            </w:r>
          </w:p>
        </w:tc>
      </w:tr>
      <w:tr>
        <w:tc>
          <w:tcPr/>
          <w:p>
            <w:pPr>
              <w:pStyle w:val="Compact"/>
              <w:jc w:val="left"/>
            </w:pPr>
            <w:r>
              <w:t xml:space="preserve">Exclude Vogelherd</w:t>
            </w:r>
          </w:p>
        </w:tc>
        <w:tc>
          <w:tcPr/>
          <w:p>
            <w:pPr>
              <w:pStyle w:val="Compact"/>
              <w:jc w:val="left"/>
            </w:pPr>
            <w:r>
              <w:t xml:space="preserve">7.26</w:t>
            </w:r>
          </w:p>
        </w:tc>
        <w:tc>
          <w:tcPr/>
          <w:p>
            <w:pPr>
              <w:pStyle w:val="Compact"/>
              <w:jc w:val="left"/>
            </w:pPr>
            <w:r>
              <w:t xml:space="preserve">4.22</w:t>
            </w:r>
          </w:p>
        </w:tc>
        <w:tc>
          <w:tcPr/>
          <w:p>
            <w:pPr>
              <w:pStyle w:val="Compact"/>
              <w:jc w:val="left"/>
            </w:pPr>
            <w:r>
              <w:t xml:space="preserve">Aur-P1 &gt; Aur-P2</w:t>
            </w:r>
          </w:p>
        </w:tc>
      </w:tr>
    </w:tbl>
    <w:p>
      <w:pPr>
        <w:pStyle w:val="BodyText"/>
      </w:pPr>
      <w:r>
        <w:t xml:space="preserve">Under the date-based assignment Aur-P1’s mean degree rises (from 7.5 to 8.57) and Aur-P2’s falls (from 4.22 to 3.33), so the contrast is not an artefact of the technological reassignment , the naive date-based assignment, if anything, strengthens it. Excluding Vogelherd weakens but does not remove the contrast (7.26 vs 4.22).</w:t>
      </w:r>
    </w:p>
    <w:bookmarkEnd w:id="143"/>
    <w:bookmarkStart w:id="144"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pPr>
        <w:pStyle w:val="BodyText"/>
      </w:pPr>
      <w:r>
        <w:t xml:space="preserve">The observed between-phase modularity values are, however, assignment-sensitive: they reverse under the date-based assignment (Aur-P1 0.303 &lt; Aur-P2 0.343,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bookmarkEnd w:id="144"/>
    <w:bookmarkEnd w:id="145"/>
    <w:bookmarkStart w:id="201" w:name="sec-s9"/>
    <w:p>
      <w:pPr>
        <w:pStyle w:val="Heading1"/>
      </w:pPr>
      <w:r>
        <w:t xml:space="preserve">S9. Object-Level Downsampling and Coverage-Rarefaction Sensitivity</w:t>
      </w:r>
    </w:p>
    <w:p>
      <w:pPr>
        <w:pStyle w:val="FirstParagraph"/>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four specific questions:</w:t>
      </w:r>
    </w:p>
    <w:p>
      <w:pPr>
        <w:numPr>
          <w:ilvl w:val="0"/>
          <w:numId w:val="1006"/>
        </w:numPr>
        <w:pStyle w:val="Compact"/>
      </w:pPr>
      <w:r>
        <w:rPr>
          <w:bCs/>
          <w:b/>
        </w:rPr>
        <w:t xml:space="preserve">(S9.2)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06"/>
        </w:numPr>
        <w:pStyle w:val="Compact"/>
      </w:pPr>
      <w:r>
        <w:rPr>
          <w:bCs/>
          <w:b/>
        </w:rPr>
        <w:t xml:space="preserve">(S9.3)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06"/>
        </w:numPr>
        <w:pStyle w:val="Compact"/>
      </w:pPr>
      <w:r>
        <w:rPr>
          <w:bCs/>
          <w:b/>
        </w:rPr>
        <w:t xml:space="preserve">(S9.4)</w:t>
      </w:r>
      <w:r>
        <w:t xml:space="preserve"> </w:t>
      </w:r>
      <w:r>
        <w:t xml:space="preserve">Does the group effect on sign-type richness survive after statistically accounting for object count (sampling effort)?</w:t>
      </w:r>
    </w:p>
    <w:p>
      <w:pPr>
        <w:numPr>
          <w:ilvl w:val="0"/>
          <w:numId w:val="1006"/>
        </w:numPr>
        <w:pStyle w:val="Compact"/>
      </w:pPr>
      <w:r>
        <w:rPr>
          <w:bCs/>
          <w:b/>
        </w:rPr>
        <w:t xml:space="preserve">(S9.5)</w:t>
      </w:r>
      <w:r>
        <w:t xml:space="preserve"> </w:t>
      </w:r>
      <w:r>
        <w:t xml:space="preserve">Taken together, is the R/B division independent of sampling intensity, and if not, what limitation must be stated?</w:t>
      </w:r>
    </w:p>
    <w:bookmarkStart w:id="153" w:name="sec-s9-1"/>
    <w:p>
      <w:pPr>
        <w:pStyle w:val="Heading2"/>
      </w:pPr>
      <w:r>
        <w:t xml:space="preserve">S9.1 Object-count distribution and feasible common counts</w:t>
      </w:r>
    </w:p>
    <w:bookmarkStart w:id="151" w:name="rationale-7"/>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following the reviewer’s suggestion,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146"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30: Per-site object counts by phase and manual restricted(1)/broad(2) group. The reviewer notes the strong Spearman correlation (ρ = 0.86) between object count and sign-type richness across sites.</w:t>
            </w:r>
          </w:p>
          <w:bookmarkEnd w:id="146"/>
        </w:tc>
      </w:tr>
    </w:tbl>
    <w:tbl>
      <w:tblPr>
        <w:tblStyle w:val="Table"/>
        <w:tblW w:type="pct" w:w="5000"/>
        <w:tblLook w:firstRow="0" w:lastRow="0" w:firstColumn="0" w:lastColumn="0" w:noHBand="0" w:noVBand="0" w:val="0000"/>
        <w:jc w:val="start"/>
        <w:tblLayout w:type="fixed"/>
      </w:tblPr>
      <w:tblGrid>
        <w:gridCol w:w="7920"/>
      </w:tblGrid>
      <w:tr>
        <w:tc>
          <w:tcPr/>
          <w:bookmarkStart w:id="150" w:name="fig-s9-objhist"/>
          <w:p>
            <w:pPr>
              <w:pStyle w:val="Compact"/>
              <w:jc w:val="center"/>
            </w:pPr>
            <w:r>
              <w:drawing>
                <wp:inline>
                  <wp:extent cx="5943600" cy="2971800"/>
                  <wp:effectExtent b="0" l="0" r="0" t="0"/>
                  <wp:docPr descr="" title="" id="148" name="Picture"/>
                  <a:graphic>
                    <a:graphicData uri="http://schemas.openxmlformats.org/drawingml/2006/picture">
                      <pic:pic>
                        <pic:nvPicPr>
                          <pic:cNvPr descr="S1-supplement-sensitivity_files/figure-docx/fig-s9-objhist-1.png" id="149" name="Picture"/>
                          <pic:cNvPicPr>
                            <a:picLocks noChangeArrowheads="1" noChangeAspect="1"/>
                          </pic:cNvPicPr>
                        </pic:nvPicPr>
                        <pic:blipFill>
                          <a:blip r:embed="rId14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Distribution of object counts per site by phase. Most sites contribute few objects; a small number of large assemblages (e.g. Vogelherd) dominate the upper tail.</w:t>
            </w:r>
          </w:p>
          <w:bookmarkEnd w:id="150"/>
        </w:tc>
      </w:tr>
    </w:tbl>
    <w:bookmarkEnd w:id="151"/>
    <w:bookmarkStart w:id="152" w:name="interpretation-6"/>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152"/>
    <w:bookmarkEnd w:id="153"/>
    <w:bookmarkStart w:id="162" w:name="sec-s9-2"/>
    <w:p>
      <w:pPr>
        <w:pStyle w:val="Heading2"/>
      </w:pPr>
      <w:r>
        <w:t xml:space="preserve">S9.2 Object-level downsampling sensitivity</w:t>
      </w:r>
    </w:p>
    <w:bookmarkStart w:id="160" w:name="rationale-8"/>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154"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31: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15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5"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32: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155"/>
        </w:tc>
      </w:tr>
    </w:tbl>
    <w:tbl>
      <w:tblPr>
        <w:tblStyle w:val="Table"/>
        <w:tblW w:type="pct" w:w="5000"/>
        <w:tblLook w:firstRow="0" w:lastRow="0" w:firstColumn="0" w:lastColumn="0" w:noHBand="0" w:noVBand="0" w:val="0000"/>
        <w:jc w:val="start"/>
        <w:tblLayout w:type="fixed"/>
      </w:tblPr>
      <w:tblGrid>
        <w:gridCol w:w="7920"/>
      </w:tblGrid>
      <w:tr>
        <w:tc>
          <w:tcPr/>
          <w:bookmarkStart w:id="159" w:name="fig-s9-retention"/>
          <w:p>
            <w:pPr>
              <w:pStyle w:val="Compact"/>
              <w:jc w:val="center"/>
            </w:pPr>
            <w:r>
              <w:drawing>
                <wp:inline>
                  <wp:extent cx="5943600" cy="5943600"/>
                  <wp:effectExtent b="0" l="0" r="0" t="0"/>
                  <wp:docPr descr="" title="" id="157" name="Picture"/>
                  <a:graphic>
                    <a:graphicData uri="http://schemas.openxmlformats.org/drawingml/2006/picture">
                      <pic:pic>
                        <pic:nvPicPr>
                          <pic:cNvPr descr="S1-supplement-sensitivity_files/figure-docx/fig-s9-retention-1.png" id="158" name="Picture"/>
                          <pic:cNvPicPr>
                            <a:picLocks noChangeArrowheads="1" noChangeAspect="1"/>
                          </pic:cNvPicPr>
                        </pic:nvPicPr>
                        <pic:blipFill>
                          <a:blip r:embed="rId156"/>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159"/>
        </w:tc>
      </w:tr>
    </w:tbl>
    <w:bookmarkEnd w:id="160"/>
    <w:bookmarkStart w:id="161" w:name="interpretation-7"/>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161"/>
    <w:bookmarkEnd w:id="162"/>
    <w:bookmarkStart w:id="170" w:name="sec-s9-3"/>
    <w:p>
      <w:pPr>
        <w:pStyle w:val="Heading2"/>
      </w:pPr>
      <w:r>
        <w:t xml:space="preserve">S9.3 Coverage-based rarefaction</w:t>
      </w:r>
    </w:p>
    <w:bookmarkStart w:id="168" w:name="rationale-9"/>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The reviewer’s preferred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 For each site we accumulate its objects in random order and, at each sample size m, record the number of distinct sign types observed (richness) and the sample coverage</w:t>
      </w:r>
      <w:r>
        <w:t xml:space="preserve"> </w:t>
      </w:r>
      <m:oMath>
        <m:r>
          <m:t>C</m:t>
        </m:r>
        <m:d>
          <m:dPr>
            <m:begChr m:val="("/>
            <m:endChr m:val=")"/>
            <m:sepChr m:val=""/>
            <m:grow/>
          </m:dPr>
          <m:e>
            <m:r>
              <m:t>m</m:t>
            </m:r>
          </m:e>
        </m:d>
        <m:r>
          <m:rPr>
            <m:sty m:val="p"/>
          </m:rPr>
          <m:t>=</m:t>
        </m:r>
        <m:r>
          <m:t>1</m:t>
        </m:r>
        <m:r>
          <m:rPr>
            <m:sty m:val="p"/>
          </m:rPr>
          <m:t>−</m:t>
        </m:r>
        <m:sSub>
          <m:e>
            <m:r>
              <m:t>f</m:t>
            </m:r>
          </m:e>
          <m:sub>
            <m:r>
              <m:t>1</m:t>
            </m:r>
          </m:sub>
        </m:sSub>
        <m:d>
          <m:dPr>
            <m:begChr m:val="("/>
            <m:endChr m:val=")"/>
            <m:sepChr m:val=""/>
            <m:grow/>
          </m:dPr>
          <m:e>
            <m:r>
              <m:t>m</m:t>
            </m:r>
          </m:e>
        </m:d>
        <m:r>
          <m:rPr>
            <m:sty m:val="p"/>
          </m:rPr>
          <m:t>/</m:t>
        </m:r>
        <m:r>
          <m:t>m</m:t>
        </m:r>
      </m:oMath>
      <w:r>
        <w:t xml:space="preserve">, where</w:t>
      </w:r>
      <w:r>
        <w:t xml:space="preserve"> </w:t>
      </w:r>
      <m:oMath>
        <m:sSub>
          <m:e>
            <m:r>
              <m:t>f</m:t>
            </m:r>
          </m:e>
          <m:sub>
            <m:r>
              <m:t>1</m:t>
            </m:r>
          </m:sub>
        </m:sSub>
        <m:d>
          <m:dPr>
            <m:begChr m:val="("/>
            <m:endChr m:val=")"/>
            <m:sepChr m:val=""/>
            <m:grow/>
          </m:dPr>
          <m:e>
            <m:r>
              <m:t>m</m:t>
            </m:r>
          </m:e>
        </m:d>
      </m:oMath>
      <w:r>
        <w:t xml:space="preserve"> </w:t>
      </w:r>
      <w:r>
        <w:t xml:space="preserve">is the number of sign types seen on exactly one of the first m objects. We average these curves over 200 random orderings and interpolate each site’s richness at a target coverage of 0.9 (a standard</w:t>
      </w:r>
      <w:r>
        <w:t xml:space="preserve"> </w:t>
      </w:r>
      <w:r>
        <w:t xml:space="preserve">“</w:t>
      </w:r>
      <w:r>
        <w:t xml:space="preserve">high coverage</w:t>
      </w:r>
      <w:r>
        <w:t xml:space="preserve">”</w:t>
      </w:r>
      <w:r>
        <w:t xml:space="preserve"> </w:t>
      </w:r>
      <w:r>
        <w:t xml:space="preserve">benchmark).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163" w:name="tbl-s9-rarefaction"/>
          <w:tbl>
            <w:tblPr>
              <w:tblStyle w:val="Table"/>
              <w:tblW w:type="pct" w:w="5000"/>
              <w:tblLook w:firstRow="1" w:lastRow="0" w:firstColumn="0" w:lastColumn="0" w:noHBand="0" w:noVBand="0" w:val="0020"/>
              <w:jc w:val="start"/>
              <w:tblLayout w:type="fixed"/>
            </w:tblPr>
            <w:tblGrid>
              <w:gridCol w:w="533"/>
              <w:gridCol w:w="2056"/>
              <w:gridCol w:w="837"/>
              <w:gridCol w:w="609"/>
              <w:gridCol w:w="1218"/>
              <w:gridCol w:w="1218"/>
              <w:gridCol w:w="1446"/>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(full)</w:t>
                  </w:r>
                </w:p>
              </w:tc>
              <w:tc>
                <w:tcPr/>
                <w:p>
                  <w:pPr>
                    <w:pStyle w:val="Compact"/>
                    <w:jc w:val="right"/>
                    <w:jc w:val="center"/>
                  </w:pPr>
                  <w:r>
                    <w:t xml:space="preserve">Richness</w:t>
                  </w:r>
                  <w:r>
                    <w:t xml:space="preserve"> </w:t>
                  </w:r>
                  <w:r>
                    <w:t xml:space="preserve">[</w:t>
                  </w:r>
                  <w:r>
                    <w:rPr>
                      <w:bCs/>
                      <w:b/>
                    </w:rPr>
                    <w:t xml:space="preserve">0.9?</w:t>
                  </w:r>
                  <w:r>
                    <w:t xml:space="preserve">]</w:t>
                  </w:r>
                  <w:r>
                    <w:t xml:space="preserve"> </w:t>
                  </w:r>
                  <w:r>
                    <w:t xml:space="preserve">cov.</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0.83</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0.90</w:t>
                  </w:r>
                </w:p>
              </w:tc>
              <w:tc>
                <w:tcPr/>
                <w:p>
                  <w:pPr>
                    <w:pStyle w:val="Compact"/>
                    <w:jc w:val="right"/>
                    <w:jc w:val="center"/>
                  </w:pPr>
                  <w:r>
                    <w:t xml:space="preserve">11.00</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0.50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0.90</w:t>
                  </w:r>
                </w:p>
              </w:tc>
              <w:tc>
                <w:tcPr/>
                <w:p>
                  <w:pPr>
                    <w:pStyle w:val="Compact"/>
                    <w:jc w:val="right"/>
                    <w:jc w:val="center"/>
                  </w:pPr>
                  <w:r>
                    <w:t xml:space="preserve">5.97</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4.84</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11.30</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2.00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1.95</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0.67</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bl>
          <w:p>
            <w:pPr>
              <w:jc w:val="center"/>
            </w:pPr>
            <w:pPr>
              <w:jc w:val="start"/>
              <w:spacing w:before="200"/>
              <w:pStyle w:val="ImageCaption"/>
            </w:pPr>
            <w:r>
              <w:t xml:space="preserve">Table 33: Coverage-based rarefaction per site. richness_full is the observed number of sign types; coverage_full is the sample coverage at the full object sample; richness_at_target is the sign-type richness interpolated at target coverage = 0.9. Sites that never reach the target coverage are reported as NA, meaning rarefaction cannot assess them.</w:t>
            </w:r>
          </w:p>
          <w:bookmarkEnd w:id="163"/>
        </w:tc>
      </w:tr>
    </w:tbl>
    <w:tbl>
      <w:tblPr>
        <w:tblStyle w:val="Table"/>
        <w:tblW w:type="pct" w:w="5000"/>
        <w:tblLook w:firstRow="0" w:lastRow="0" w:firstColumn="0" w:lastColumn="0" w:noHBand="0" w:noVBand="0" w:val="0000"/>
        <w:jc w:val="start"/>
        <w:tblLayout w:type="fixed"/>
      </w:tblPr>
      <w:tblGrid>
        <w:gridCol w:w="7920"/>
      </w:tblGrid>
      <w:tr>
        <w:tc>
          <w:tcPr/>
          <w:bookmarkStart w:id="167" w:name="fig-s9-rarefaction"/>
          <w:p>
            <w:pPr>
              <w:pStyle w:val="Compact"/>
              <w:jc w:val="center"/>
            </w:pPr>
            <w:r>
              <w:drawing>
                <wp:inline>
                  <wp:extent cx="5943600" cy="3396342"/>
                  <wp:effectExtent b="0" l="0" r="0" t="0"/>
                  <wp:docPr descr="" title="" id="165" name="Picture"/>
                  <a:graphic>
                    <a:graphicData uri="http://schemas.openxmlformats.org/drawingml/2006/picture">
                      <pic:pic>
                        <pic:nvPicPr>
                          <pic:cNvPr descr="S1-supplement-sensitivity_files/figure-docx/fig-s9-rarefaction-1.png" id="166" name="Picture"/>
                          <pic:cNvPicPr>
                            <a:picLocks noChangeArrowheads="1" noChangeAspect="1"/>
                          </pic:cNvPicPr>
                        </pic:nvPicPr>
                        <pic:blipFill>
                          <a:blip r:embed="rId164"/>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Sign-type richness interpolated at target coverage = 0.9, by manual group, for sites that reach that coverage. Restricted sites (green) that attain high coverage remain low-richness; broad sites (red) remain high-richness.</w:t>
            </w:r>
          </w:p>
          <w:bookmarkEnd w:id="167"/>
        </w:tc>
      </w:tr>
    </w:tbl>
    <w:bookmarkEnd w:id="168"/>
    <w:bookmarkStart w:id="169" w:name="interpretation-8"/>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7 of 20 sites reach coverage 0.9; in Aur-P2 only 2 of 9 do. Among the Aur-P1 sites that do reach the target, restricted sites remain low-richness (mean 1 sign types) while broad sites remain high-richness (mean 8.28), a difference that is borderline significant (Wilcoxon p = 0.057). For Aur-P2 the number of sites reaching the target is too small to support a group comparison (p = not computable (too few sites per group)).</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but the majority of sites — the small-object sites — never attain the target coverage and therefore cannot be placed on a common coverage footing at all. In Aur-P1, 7 of 20 sites reach coverage 0.9, and among them restricted sites remain low-richness (mean 1) while broad sites remain high-richness (mean 8.28; Wilcoxon p = 0.057). In Aur-P2 only 2 sites reach the target, of which 0 are broad and 2 restricted, so a group comparison is not computable (too few sites per group). Coverage-based rarefaction is consequently unreliable for the smallest assemblages: it can compare well-sampled sites, but it cannot rescue the assignment of sites with only one or two objects. This is the same limitation encountered in S9.2, approached from the richness axis.</w:t>
      </w:r>
    </w:p>
    <w:bookmarkEnd w:id="169"/>
    <w:bookmarkEnd w:id="170"/>
    <w:bookmarkStart w:id="174" w:name="sec-s9-4"/>
    <w:p>
      <w:pPr>
        <w:pStyle w:val="Heading2"/>
      </w:pPr>
      <w:r>
        <w:t xml:space="preserve">S9.4 Mixed model with object-count offset</w:t>
      </w:r>
    </w:p>
    <w:bookmarkStart w:id="172" w:name="rationale-10"/>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We fit a negative-binomial model of per-site sign-type richness with the manual group and phase as predictors and</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so that the group coefficient estimates the richness difference between restricted and broad sites at equal object count:</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171" w:name="tbl-s9-mixe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Term</w:t>
                  </w:r>
                </w:p>
              </w:tc>
              <w:tc>
                <w:tcPr/>
                <w:p>
                  <w:pPr>
                    <w:pStyle w:val="Compact"/>
                    <w:jc w:val="right"/>
                    <w:jc w:val="center"/>
                  </w:pPr>
                  <w:r>
                    <w:t xml:space="preserve">log-rate</w:t>
                  </w:r>
                </w:p>
              </w:tc>
              <w:tc>
                <w:tcPr/>
                <w:p>
                  <w:pPr>
                    <w:pStyle w:val="Compact"/>
                    <w:jc w:val="right"/>
                    <w:jc w:val="center"/>
                  </w:pPr>
                  <w:r>
                    <w:t xml:space="preserve">rate ratio</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0.113</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0.292</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0.462</w:t>
                  </w:r>
                </w:p>
              </w:tc>
            </w:tr>
          </w:tbl>
          <w:p>
            <w:pPr>
              <w:jc w:val="center"/>
            </w:pPr>
            <w:pPr>
              <w:jc w:val="start"/>
              <w:spacing w:before="200"/>
              <w:pStyle w:val="ImageCaption"/>
            </w:pPr>
            <w:r>
              <w:t xml:space="preserve">Table 34: Negative-binomial model of per-site sign-type richness with object count as an offset (exposure). The group coefficient is the log rate ratio of broad versus restricted sites at equal object count; a non-significant coefficient means the raw richness gap between groups is explained by object count.</w:t>
            </w:r>
          </w:p>
          <w:bookmarkEnd w:id="171"/>
        </w:tc>
      </w:tr>
    </w:tbl>
    <w:bookmarkEnd w:id="172"/>
    <w:bookmarkStart w:id="173" w:name="interpretation-9"/>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No. With object count entered as an offset, the group coefficient is -0.329 (rate ratio 0.72, p = 0.292), i.e. non-significant and even slightly</w:t>
      </w:r>
      <w:r>
        <w:t xml:space="preserve"> </w:t>
      </w:r>
      <w:r>
        <w:rPr>
          <w:iCs/>
          <w:i/>
        </w:rPr>
        <w:t xml:space="preserve">negative</w:t>
      </w:r>
      <w:r>
        <w:t xml:space="preserve">: at equal object count, broad-range sites are not richer than restricted-range sites, and if anything marginally poorer. The strong raw correlation between object count and sign-type richness that motivated the reviewer’s concern is therefore explained by object count itself.</w:t>
      </w:r>
      <w:r>
        <w:t xml:space="preserve"> </w:t>
      </w:r>
      <w:r>
        <w:rPr>
          <w:bCs/>
          <w:b/>
        </w:rPr>
        <w:t xml:space="preserve">Answer:</w:t>
      </w:r>
      <w:r>
        <w:t xml:space="preserve"> </w:t>
      </w:r>
      <w:r>
        <w:t xml:space="preserve">the richness difference between the groups is largely a sampling-effort artefact; group membership does not independently predict sign-type richness once object count is accounted for.</w:t>
      </w:r>
    </w:p>
    <w:bookmarkEnd w:id="173"/>
    <w:bookmarkEnd w:id="174"/>
    <w:bookmarkStart w:id="175" w:name="s9.5-synthesis-and-limitation"/>
    <w:p>
      <w:pPr>
        <w:pStyle w:val="Heading2"/>
      </w:pPr>
      <w:r>
        <w:t xml:space="preserve">S9.5 Synthesis and limitation</w:t>
      </w:r>
    </w:p>
    <w:p>
      <w:pPr>
        <w:pStyle w:val="FirstParagraph"/>
      </w:pPr>
      <w:r>
        <w:t xml:space="preserve">The three object-level analyses converge on a single conclusion. (1) Under object-downsampling, only the best-sampled sites retain their R/B assignment; small-object sites flip group at rates indistinguishable from chance, and network modularity collapses (S9.2). (2) Coverage-based rarefaction can compare richness only among the well-sampled sites, and even there the broad/restricted contrast persists — but the majority of sites never reach a comparable coverage, so the method cannot vindicate them (S9.3). (3) Once object count is held constant statistically, group no longer predicts sign-type richness (S9.4).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w:t>
      </w:r>
    </w:p>
    <w:bookmarkEnd w:id="175"/>
    <w:bookmarkStart w:id="200" w:name="references-cited"/>
    <w:p>
      <w:pPr>
        <w:pStyle w:val="Heading2"/>
      </w:pPr>
      <w:r>
        <w:t xml:space="preserve">References cited</w:t>
      </w:r>
    </w:p>
    <w:bookmarkStart w:id="199" w:name="refs"/>
    <w:bookmarkStart w:id="177"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76">
        <w:r>
          <w:rPr>
            <w:rStyle w:val="Hyperlink"/>
          </w:rPr>
          <w:t xml:space="preserve">https://doi.org/10.1016/j.quascirev.2021.106995</w:t>
        </w:r>
      </w:hyperlink>
      <w:r>
        <w:t xml:space="preserve">.</w:t>
      </w:r>
    </w:p>
    <w:bookmarkEnd w:id="177"/>
    <w:bookmarkStart w:id="179"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178">
        <w:r>
          <w:rPr>
            <w:rStyle w:val="Hyperlink"/>
          </w:rPr>
          <w:t xml:space="preserve">https://doi.org/10.1007/s41982-017-0004-4</w:t>
        </w:r>
      </w:hyperlink>
      <w:r>
        <w:t xml:space="preserve">.</w:t>
      </w:r>
    </w:p>
    <w:bookmarkEnd w:id="179"/>
    <w:bookmarkStart w:id="181" w:name="ref-newman2004finding"/>
    <w:p>
      <w:pPr>
        <w:pStyle w:val="Bibliography"/>
      </w:pPr>
      <w:r>
        <w:t xml:space="preserve">[3]</w:t>
      </w:r>
      <w:r>
        <w:t xml:space="preserve"> </w:t>
      </w:r>
      <w:r>
        <w:t xml:space="preserve">	</w:t>
      </w:r>
      <w:r>
        <w:t xml:space="preserve">Newman ME, Girvan M. Finding and evaluating community structure in networks. Physical Review E 2004;69:026113.</w:t>
      </w:r>
      <w:r>
        <w:t xml:space="preserve"> </w:t>
      </w:r>
      <w:hyperlink r:id="rId180">
        <w:r>
          <w:rPr>
            <w:rStyle w:val="Hyperlink"/>
          </w:rPr>
          <w:t xml:space="preserve">https://doi.org/10.1103/PhysRevE.69.026113</w:t>
        </w:r>
      </w:hyperlink>
      <w:r>
        <w:t xml:space="preserve">.</w:t>
      </w:r>
    </w:p>
    <w:bookmarkEnd w:id="181"/>
    <w:bookmarkStart w:id="183" w:name="ref-Monti_2003"/>
    <w:p>
      <w:pPr>
        <w:pStyle w:val="Bibliography"/>
      </w:pPr>
      <w:r>
        <w:t xml:space="preserve">[4]</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182">
        <w:r>
          <w:rPr>
            <w:rStyle w:val="Hyperlink"/>
          </w:rPr>
          <w:t xml:space="preserve">https://doi.org/10.1023/A:1023949509487</w:t>
        </w:r>
      </w:hyperlink>
      <w:r>
        <w:t xml:space="preserve">.</w:t>
      </w:r>
    </w:p>
    <w:bookmarkEnd w:id="183"/>
    <w:bookmarkStart w:id="185" w:name="ref-Bentz_Dutkiewicz_2026"/>
    <w:p>
      <w:pPr>
        <w:pStyle w:val="Bibliography"/>
      </w:pPr>
      <w:r>
        <w:t xml:space="preserve">[5]</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184">
        <w:r>
          <w:rPr>
            <w:rStyle w:val="Hyperlink"/>
          </w:rPr>
          <w:t xml:space="preserve">https://doi.org/10.1073/pnas.2520385123</w:t>
        </w:r>
      </w:hyperlink>
      <w:r>
        <w:t xml:space="preserve">.</w:t>
      </w:r>
    </w:p>
    <w:bookmarkEnd w:id="185"/>
    <w:bookmarkStart w:id="187" w:name="ref-Chiotti_2005"/>
    <w:p>
      <w:pPr>
        <w:pStyle w:val="Bibliography"/>
      </w:pPr>
      <w:r>
        <w:t xml:space="preserve">[6]</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86">
        <w:r>
          <w:rPr>
            <w:rStyle w:val="Hyperlink"/>
          </w:rPr>
          <w:t xml:space="preserve">https://doi.org/10.30861/9781841718309</w:t>
        </w:r>
      </w:hyperlink>
      <w:r>
        <w:t xml:space="preserve">.</w:t>
      </w:r>
    </w:p>
    <w:bookmarkEnd w:id="187"/>
    <w:bookmarkStart w:id="189" w:name="ref-Higham_Abri_Pataud_2011"/>
    <w:p>
      <w:pPr>
        <w:pStyle w:val="Bibliography"/>
      </w:pPr>
      <w:r>
        <w:t xml:space="preserve">[7]</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88">
        <w:r>
          <w:rPr>
            <w:rStyle w:val="Hyperlink"/>
          </w:rPr>
          <w:t xml:space="preserve">https://doi.org/10.1016/j.jhevol.2011.06.005</w:t>
        </w:r>
      </w:hyperlink>
      <w:r>
        <w:t xml:space="preserve">.</w:t>
      </w:r>
    </w:p>
    <w:bookmarkEnd w:id="189"/>
    <w:bookmarkStart w:id="191" w:name="ref-Talamo_La_Ferrassie_2020"/>
    <w:p>
      <w:pPr>
        <w:pStyle w:val="Bibliography"/>
      </w:pPr>
      <w:r>
        <w:t xml:space="preserve">[8]</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90">
        <w:r>
          <w:rPr>
            <w:rStyle w:val="Hyperlink"/>
          </w:rPr>
          <w:t xml:space="preserve">https://doi.org/10.1002/jqs.3236</w:t>
        </w:r>
      </w:hyperlink>
      <w:r>
        <w:t xml:space="preserve">.</w:t>
      </w:r>
    </w:p>
    <w:bookmarkEnd w:id="191"/>
    <w:bookmarkStart w:id="192" w:name="ref-Delporte_1984_Ferrassie"/>
    <w:p>
      <w:pPr>
        <w:pStyle w:val="Bibliography"/>
      </w:pPr>
      <w:r>
        <w:t xml:space="preserve">[9]</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192"/>
    <w:bookmarkStart w:id="194" w:name="ref-Oliva_2006"/>
    <w:p>
      <w:pPr>
        <w:pStyle w:val="Bibliography"/>
      </w:pPr>
      <w:r>
        <w:t xml:space="preserve">[10]</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93">
        <w:r>
          <w:rPr>
            <w:rStyle w:val="Hyperlink"/>
          </w:rPr>
          <w:t xml:space="preserve">https://doi.org/10.1007/978-3-211-49294-9_4</w:t>
        </w:r>
      </w:hyperlink>
      <w:r>
        <w:t xml:space="preserve">.</w:t>
      </w:r>
    </w:p>
    <w:bookmarkEnd w:id="194"/>
    <w:bookmarkStart w:id="196" w:name="ref-Wild_et_al_2005"/>
    <w:p>
      <w:pPr>
        <w:pStyle w:val="Bibliography"/>
      </w:pPr>
      <w:r>
        <w:t xml:space="preserve">[11]</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95">
        <w:r>
          <w:rPr>
            <w:rStyle w:val="Hyperlink"/>
          </w:rPr>
          <w:t xml:space="preserve">https://doi.org/10.1038/nature03585</w:t>
        </w:r>
      </w:hyperlink>
      <w:r>
        <w:t xml:space="preserve">.</w:t>
      </w:r>
    </w:p>
    <w:bookmarkEnd w:id="196"/>
    <w:bookmarkStart w:id="198" w:name="ref-Schurch_Conard_2026_reassess"/>
    <w:p>
      <w:pPr>
        <w:pStyle w:val="Bibliography"/>
      </w:pPr>
      <w:r>
        <w:t xml:space="preserve">[12]</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97">
        <w:r>
          <w:rPr>
            <w:rStyle w:val="Hyperlink"/>
          </w:rPr>
          <w:t xml:space="preserve">https://doi.org/10.1007/s41982-025-00246-x</w:t>
        </w:r>
      </w:hyperlink>
      <w:r>
        <w:t xml:space="preserve">.</w:t>
      </w:r>
    </w:p>
    <w:bookmarkEnd w:id="198"/>
    <w:bookmarkEnd w:id="199"/>
    <w:bookmarkEnd w:id="200"/>
    <w:bookmarkEnd w:id="201"/>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56" Target="media/rId156.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hyperlink" Id="rId190" Target="https://doi.org/10.1002/jqs.3236" TargetMode="External" /><Relationship Type="http://schemas.openxmlformats.org/officeDocument/2006/relationships/hyperlink" Id="rId193" Target="https://doi.org/10.1007/978-3-211-49294-9_4" TargetMode="External" /><Relationship Type="http://schemas.openxmlformats.org/officeDocument/2006/relationships/hyperlink" Id="rId178" Target="https://doi.org/10.1007/s41982-017-0004-4" TargetMode="External" /><Relationship Type="http://schemas.openxmlformats.org/officeDocument/2006/relationships/hyperlink" Id="rId197" Target="https://doi.org/10.1007/s41982-025-00246-x" TargetMode="External" /><Relationship Type="http://schemas.openxmlformats.org/officeDocument/2006/relationships/hyperlink" Id="rId188" Target="https://doi.org/10.1016/j.jhevol.2011.06.005" TargetMode="External" /><Relationship Type="http://schemas.openxmlformats.org/officeDocument/2006/relationships/hyperlink" Id="rId176" Target="https://doi.org/10.1016/j.quascirev.2021.106995" TargetMode="External" /><Relationship Type="http://schemas.openxmlformats.org/officeDocument/2006/relationships/hyperlink" Id="rId182" Target="https://doi.org/10.1023/A:1023949509487" TargetMode="External" /><Relationship Type="http://schemas.openxmlformats.org/officeDocument/2006/relationships/hyperlink" Id="rId195" Target="https://doi.org/10.1038/nature03585" TargetMode="External" /><Relationship Type="http://schemas.openxmlformats.org/officeDocument/2006/relationships/hyperlink" Id="rId184" Target="https://doi.org/10.1073/pnas.2520385123" TargetMode="External" /><Relationship Type="http://schemas.openxmlformats.org/officeDocument/2006/relationships/hyperlink" Id="rId180" Target="https://doi.org/10.1103/PhysRevE.69.026113" TargetMode="External" /><Relationship Type="http://schemas.openxmlformats.org/officeDocument/2006/relationships/hyperlink" Id="rId186" Target="https://doi.org/10.30861/9781841718309"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90" Target="https://doi.org/10.1002/jqs.3236" TargetMode="External" /><Relationship Type="http://schemas.openxmlformats.org/officeDocument/2006/relationships/hyperlink" Id="rId193" Target="https://doi.org/10.1007/978-3-211-49294-9_4" TargetMode="External" /><Relationship Type="http://schemas.openxmlformats.org/officeDocument/2006/relationships/hyperlink" Id="rId178" Target="https://doi.org/10.1007/s41982-017-0004-4" TargetMode="External" /><Relationship Type="http://schemas.openxmlformats.org/officeDocument/2006/relationships/hyperlink" Id="rId197" Target="https://doi.org/10.1007/s41982-025-00246-x" TargetMode="External" /><Relationship Type="http://schemas.openxmlformats.org/officeDocument/2006/relationships/hyperlink" Id="rId188" Target="https://doi.org/10.1016/j.jhevol.2011.06.005" TargetMode="External" /><Relationship Type="http://schemas.openxmlformats.org/officeDocument/2006/relationships/hyperlink" Id="rId176" Target="https://doi.org/10.1016/j.quascirev.2021.106995" TargetMode="External" /><Relationship Type="http://schemas.openxmlformats.org/officeDocument/2006/relationships/hyperlink" Id="rId182" Target="https://doi.org/10.1023/A:1023949509487" TargetMode="External" /><Relationship Type="http://schemas.openxmlformats.org/officeDocument/2006/relationships/hyperlink" Id="rId195" Target="https://doi.org/10.1038/nature03585" TargetMode="External" /><Relationship Type="http://schemas.openxmlformats.org/officeDocument/2006/relationships/hyperlink" Id="rId184" Target="https://doi.org/10.1073/pnas.2520385123" TargetMode="External" /><Relationship Type="http://schemas.openxmlformats.org/officeDocument/2006/relationships/hyperlink" Id="rId180" Target="https://doi.org/10.1103/PhysRevE.69.026113" TargetMode="External" /><Relationship Type="http://schemas.openxmlformats.org/officeDocument/2006/relationships/hyperlink" Id="rId186" Target="https://doi.org/10.30861/9781841718309"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2026-08-25T00:20:33Z</dcterms:created>
  <dcterms:modified xsi:type="dcterms:W3CDTF">2026-08-25T00:20:33Z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24,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