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1.png" ContentType="image/png"/>
  <Override PartName="/word/media/rId38.png" ContentType="image/png"/>
  <Override PartName="/word/media/rId30.png" ContentType="image/png"/>
  <Override PartName="/word/media/rId92.png" ContentType="image/png"/>
  <Override PartName="/word/media/rId107.png" ContentType="image/png"/>
  <Override PartName="/word/media/rId259.png" ContentType="image/png"/>
  <Override PartName="/word/media/rId288.png" ContentType="image/png"/>
  <Override PartName="/word/media/rId276.png" ContentType="image/png"/>
  <Override PartName="/word/media/rId268.png" ContentType="image/png"/>
  <Override PartName="/word/media/rId79.png" ContentType="image/png"/>
  <Override PartName="/word/media/rId128.png" ContentType="image/png"/>
  <Override PartName="/word/media/rId155.png" ContentType="image/png"/>
  <Override PartName="/word/media/rId158.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Override PartName="/word/media/rId176.png" ContentType="image/png"/>
  <Override PartName="/word/media/rId179.png" ContentType="image/png"/>
  <Override PartName="/word/media/rId182.png" ContentType="image/png"/>
  <Override PartName="/word/media/rId131.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134.png" ContentType="image/png"/>
  <Override PartName="/word/media/rId215.png" ContentType="image/png"/>
  <Override PartName="/word/media/rId137.png" ContentType="image/png"/>
  <Override PartName="/word/media/rId140.png" ContentType="image/png"/>
  <Override PartName="/word/media/rId143.png" ContentType="image/png"/>
  <Override PartName="/word/media/rId146.png" ContentType="image/png"/>
  <Override PartName="/word/media/rId149.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3" w:name="sec-s1"/>
    <w:p>
      <w:pPr>
        <w:pStyle w:val="Heading1"/>
      </w:pPr>
      <w:r>
        <w:t xml:space="preserve">S1. Sensitivity Analysis: Network Similarity Threshold</w:t>
      </w:r>
    </w:p>
    <w:bookmarkStart w:id="22"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tbl>
      <w:tblPr>
        <w:tblStyle w:val="Table"/>
        <w:tblW w:type="pct" w:w="5000"/>
        <w:tblLook w:firstRow="0" w:lastRow="0" w:firstColumn="0" w:lastColumn="0" w:noHBand="0" w:noVBand="0" w:val="0000"/>
        <w:jc w:val="start"/>
        <w:tblLayout w:type="fixed"/>
      </w:tblPr>
      <w:tblGrid>
        <w:gridCol w:w="7920"/>
      </w:tblGrid>
      <w:tr>
        <w:tc>
          <w:tcPr/>
          <w:bookmarkStart w:id="21"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1: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21"/>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the review’s finding that the original single-end calibration systematically biases sites toward the older phase.</w:t>
      </w:r>
    </w:p>
    <w:bookmarkEnd w:id="22"/>
    <w:bookmarkEnd w:id="23"/>
    <w:bookmarkStart w:id="36" w:name="sec-s0"/>
    <w:p>
      <w:pPr>
        <w:pStyle w:val="Heading1"/>
      </w:pPr>
      <w:r>
        <w:t xml:space="preserve">S0. Sample attrition at date parsing (mirrors paper.qmd:257)</w:t>
      </w:r>
    </w:p>
    <w:bookmarkStart w:id="24" w:name="rationale-1"/>
    <w:p>
      <w:pPr>
        <w:pStyle w:val="Heading2"/>
      </w:pPr>
      <w:r>
        <w:t xml:space="preserve">Rationale</w:t>
      </w:r>
    </w:p>
    <w:p>
      <w:pPr>
        <w:pStyle w:val="FirstParagraph"/>
      </w:pPr>
      <w:r>
        <w:t xml:space="preserve">This section expands on the site rejection details notes in the main text.</w:t>
      </w:r>
    </w:p>
    <w:bookmarkEnd w:id="24"/>
    <w:bookmarkStart w:id="26" w:name="s0.1-counts"/>
    <w:p>
      <w:pPr>
        <w:pStyle w:val="Heading2"/>
      </w:pPr>
      <w:r>
        <w:t xml:space="preserve">S0.1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5"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2: Sites omitted for data quality reasons. Archaeological phase rationale is in S2.</w:t>
            </w:r>
          </w:p>
          <w:bookmarkEnd w:id="25"/>
        </w:tc>
      </w:tr>
    </w:tbl>
    <w:bookmarkEnd w:id="26"/>
    <w:bookmarkStart w:id="27" w:name="s0.2-interpretation"/>
    <w:p>
      <w:pPr>
        <w:pStyle w:val="Heading2"/>
      </w:pPr>
      <w:r>
        <w:t xml:space="preserve">S0.2 Interpretation</w:t>
      </w:r>
    </w:p>
    <w:p>
      <w:pPr>
        <w:pStyle w:val="FirstParagraph"/>
      </w:pPr>
      <w:r>
        <w:t xml:space="preserve">Because the 58 objects include the seventh-largest assemblage (Grotte de Goyet, 12 objects) and ten of the 11 plain-range sites date to</w:t>
      </w:r>
      <w:r>
        <w:t xml:space="preserve"> </w:t>
      </w:r>
      <w:r>
        <w:rPr>
          <w:rStyle w:val="VerbatimChar"/>
        </w:rPr>
        <w:t xml:space="preserve">38–30</w:t>
      </w:r>
      <w:r>
        <w:t xml:space="preserve"> </w:t>
      </w:r>
      <w:r>
        <w:t xml:space="preserve">ka, the small Aur-P2 sample is disproportionately affected — in the retained sample Aur-P2 rests on only 9 sites (see next chunk). All network, Mantel and PerMANOVA results in S1.1–S9 below are therefore conditional on the retained sample of 409 objects at 28 sites. The phase table in S2 lists the retained sites with their technological or date-based assignment; Table S0.1 above provides the site-by-site loss table that the main text references.</w:t>
      </w:r>
    </w:p>
    <w:bookmarkEnd w:id="27"/>
    <w:bookmarkStart w:id="29"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3</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3: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5"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3</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5"/>
    <w:bookmarkEnd w:id="36"/>
    <w:bookmarkStart w:id="44" w:name="sec-s2"/>
    <w:p>
      <w:pPr>
        <w:pStyle w:val="Heading1"/>
      </w:pPr>
      <w:r>
        <w:t xml:space="preserve">S2. Sensitivity to Similarity Metric Choice (Jaccard vs. Sørensen-Dice vs. Simpson)</w:t>
      </w:r>
    </w:p>
    <w:bookmarkStart w:id="42"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7"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4: Network statistics for each Aurignacian phase across three similarity metrics (Jaccard, Sørensen-Dice, Simpson) at threshold = 0.2.</w:t>
            </w:r>
          </w:p>
          <w:bookmarkEnd w:id="37"/>
        </w:tc>
      </w:tr>
    </w:tbl>
    <w:tbl>
      <w:tblPr>
        <w:tblStyle w:val="Table"/>
        <w:tblW w:type="pct" w:w="5000"/>
        <w:tblLook w:firstRow="0" w:lastRow="0" w:firstColumn="0" w:lastColumn="0" w:noHBand="0" w:noVBand="0" w:val="0000"/>
        <w:jc w:val="start"/>
        <w:tblLayout w:type="fixed"/>
      </w:tblPr>
      <w:tblGrid>
        <w:gridCol w:w="7920"/>
      </w:tblGrid>
      <w:tr>
        <w:tc>
          <w:tcPr/>
          <w:bookmarkStart w:id="41" w:name="fig-metric-networks"/>
          <w:p>
            <w:pPr>
              <w:pStyle w:val="Compact"/>
              <w:jc w:val="center"/>
            </w:pPr>
            <w:r>
              <w:drawing>
                <wp:inline>
                  <wp:extent cx="5943600" cy="5403272"/>
                  <wp:effectExtent b="0" l="0" r="0" t="0"/>
                  <wp:docPr descr="" title="" id="39" name="Picture"/>
                  <a:graphic>
                    <a:graphicData uri="http://schemas.openxmlformats.org/drawingml/2006/picture">
                      <pic:pic>
                        <pic:nvPicPr>
                          <pic:cNvPr descr="../figures/sensitivity-metric-plot.png" id="40" name="Picture"/>
                          <pic:cNvPicPr>
                            <a:picLocks noChangeArrowheads="1" noChangeAspect="1"/>
                          </pic:cNvPicPr>
                        </pic:nvPicPr>
                        <pic:blipFill>
                          <a:blip r:embed="rId38"/>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41"/>
        </w:tc>
      </w:tr>
    </w:tbl>
    <w:bookmarkEnd w:id="42"/>
    <w:bookmarkStart w:id="43"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43"/>
    <w:bookmarkEnd w:id="44"/>
    <w:bookmarkStart w:id="48" w:name="sec-s3"/>
    <w:p>
      <w:pPr>
        <w:pStyle w:val="Heading1"/>
      </w:pPr>
      <w:r>
        <w:t xml:space="preserve">S3. Geodesic vs. Euclidean Geographic Distance Verification (Mantel Tests)</w:t>
      </w:r>
    </w:p>
    <w:bookmarkStart w:id="46"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5"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5: Comparison of Mantel test results (Mantel R and p-value) evaluating sign assemblage dissimilarity vs. spatial distance using flat coordinate Euclidean distance vs. true Geodesic distance (in kilometers).</w:t>
            </w:r>
          </w:p>
          <w:bookmarkEnd w:id="45"/>
        </w:tc>
      </w:tr>
    </w:tbl>
    <w:bookmarkEnd w:id="46"/>
    <w:bookmarkStart w:id="47"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7"/>
    <w:bookmarkEnd w:id="48"/>
    <w:bookmarkStart w:id="55" w:name="sec-s4"/>
    <w:p>
      <w:pPr>
        <w:pStyle w:val="Heading1"/>
      </w:pPr>
      <w:r>
        <w:t xml:space="preserve">S4. Periodisation Scheme Sensitivity</w:t>
      </w:r>
    </w:p>
    <w:bookmarkStart w:id="51"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9"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6: Reference: network statistics under the two-phase periodisation used in the main text (threshold = 0.2). Aur-P1 = Proto + Early; Aur-P2 = Evolved.</w:t>
            </w:r>
          </w:p>
          <w:bookmarkEnd w:id="4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0"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7: Network statistics for the technology-assigned components of the two-phase baseline (Proto-Aurignacian, Early Aurignacian, Evolved Aurignacian) at threshold = 0.2. Aur-P1 = Proto + Early; Aur-P2 = Evolved.</w:t>
            </w:r>
          </w:p>
          <w:bookmarkEnd w:id="50"/>
        </w:tc>
      </w:tr>
    </w:tbl>
    <w:bookmarkEnd w:id="51"/>
    <w:bookmarkStart w:id="54"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52"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8: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52"/>
        </w:tc>
      </w:tr>
    </w:tbl>
    <w:bookmarkStart w:id="53"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53"/>
    <w:bookmarkEnd w:id="54"/>
    <w:bookmarkEnd w:id="55"/>
    <w:bookmarkStart w:id="104"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9</w:t>
        </w:r>
      </w:hyperlink>
      <w:r>
        <w:t xml:space="preserve">.</w:t>
      </w:r>
    </w:p>
    <w:bookmarkStart w:id="60" w:name="sec-s5-1"/>
    <w:p>
      <w:pPr>
        <w:pStyle w:val="Heading2"/>
      </w:pPr>
      <w:r>
        <w:t xml:space="preserve">S5.1 Algorithmic Group Detection via Louvain Community Partitioning</w:t>
      </w:r>
    </w:p>
    <w:bookmarkStart w:id="59" w:name="rationale-2"/>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[3]</w:t>
      </w:r>
      <w:r>
        <w:t xml:space="preserve"> </w:t>
      </w:r>
      <w:r>
        <w:t xml:space="preserve">identifies clusters of sites whose sign repertoires are more similar to each other than to sites in other clusters, optimising Newman–Girvan modularity</w:t>
      </w:r>
      <w:r>
        <w:t xml:space="preserve"> </w:t>
      </w:r>
      <w:r>
        <w:t xml:space="preserve">[4]</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6"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9: Louvain community memberships for each site, by phase and threshold. Sites with no community assignment (no edges at that threshold) are assigned to a singleton community. Groups are numbered by Louvain membership.</w:t>
            </w:r>
          </w:p>
          <w:bookmarkEnd w:id="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7"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10: Adjusted Rand Index (ARI) between Louvain-derived communities and the manually assigned restricted/broad groups, by phase and threshold. ARI = 1.0 indicates identical partitions; ARI ≈ 0 indicates agreement no better than chance.</w:t>
            </w:r>
          </w:p>
          <w:bookmarkEnd w:id="5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8"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11: PerMANOVA comparison: manual (restricted/broad) grouping versus Louvain-derived grouping. R², pseudo-F, and p-values for each phase and threshold.</w:t>
            </w:r>
          </w:p>
          <w:bookmarkEnd w:id="58"/>
        </w:tc>
      </w:tr>
    </w:tbl>
    <w:bookmarkEnd w:id="59"/>
    <w:bookmarkEnd w:id="60"/>
    <w:bookmarkStart w:id="65" w:name="s5.1-interpretation"/>
    <w:p>
      <w:pPr>
        <w:pStyle w:val="Heading2"/>
      </w:pPr>
      <w:r>
        <w:t xml:space="preserve">S5.1 Interpretation</w:t>
      </w:r>
    </w:p>
    <w:bookmarkStart w:id="61"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9</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61"/>
    <w:bookmarkStart w:id="62"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10</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62"/>
    <w:bookmarkStart w:id="63"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11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63"/>
    <w:bookmarkStart w:id="64"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9</w:t>
        </w:r>
      </w:hyperlink>
      <w:r>
        <w:t xml:space="preserve">.</w:t>
      </w:r>
    </w:p>
    <w:bookmarkEnd w:id="64"/>
    <w:bookmarkEnd w:id="65"/>
    <w:bookmarkStart w:id="66"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6"/>
    <w:bookmarkStart w:id="67"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7"/>
    <w:bookmarkStart w:id="69"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8"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12: Observed modularity and null-model p-values for each Aurignacian phase at three Jaccard similarity thresholds.</w:t>
            </w:r>
          </w:p>
          <w:bookmarkEnd w:id="68"/>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9"/>
    <w:bookmarkStart w:id="71" w:name="sec-s5-4"/>
    <w:p>
      <w:pPr>
        <w:pStyle w:val="Heading2"/>
      </w:pPr>
      <w:r>
        <w:t xml:space="preserve">S5.4 Assemblage Richness / Sample-Size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70"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13: Spearman correlations between node degree and site sign richness (number of distinct sign types) within each Aurignacian phase, at the baseline threshold of 0.2.</w:t>
            </w:r>
          </w:p>
          <w:bookmarkEnd w:id="70"/>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71"/>
    <w:bookmarkStart w:id="78" w:name="sec-s5-5"/>
    <w:p>
      <w:pPr>
        <w:pStyle w:val="Heading2"/>
      </w:pPr>
      <w:r>
        <w:t xml:space="preserve">S5.5 Phase-Boundary Sensitivity</w:t>
      </w:r>
    </w:p>
    <w:bookmarkStart w:id="74" w:name="rationale-3"/>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72"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14: Number of objects and sites within ±500 and ±1000 calibrated years of the single periodisation boundary at 37799 BP separating Aur-P1 from Aur-P2.</w:t>
            </w:r>
          </w:p>
          <w:bookmarkEnd w:id="7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3"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15: Network statistics at the baseline threshold of 0.2 under shifts of the single Aur-P1/Aur-P2 boundary. Positive shifts move the boundary later (older objects reassigned to Aur-P2); negative shifts move it earlier (younger Aur-P2 objects reassigned to Aur-P1).</w:t>
            </w:r>
          </w:p>
          <w:bookmarkEnd w:id="73"/>
        </w:tc>
      </w:tr>
    </w:tbl>
    <w:bookmarkEnd w:id="74"/>
    <w:bookmarkStart w:id="75"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5"/>
    <w:bookmarkStart w:id="76"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6"/>
    <w:bookmarkStart w:id="77"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7"/>
    <w:bookmarkEnd w:id="78"/>
    <w:bookmarkStart w:id="83"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82" w:name="fig-threshold-sweep"/>
          <w:p>
            <w:pPr>
              <w:pStyle w:val="Compact"/>
              <w:jc w:val="center"/>
            </w:pPr>
            <w:r>
              <w:drawing>
                <wp:inline>
                  <wp:extent cx="5943600" cy="2971800"/>
                  <wp:effectExtent b="0" l="0" r="0" t="0"/>
                  <wp:docPr descr="" title="" id="80" name="Picture"/>
                  <a:graphic>
                    <a:graphicData uri="http://schemas.openxmlformats.org/drawingml/2006/picture">
                      <pic:pic>
                        <pic:nvPicPr>
                          <pic:cNvPr descr="S1-supplement-sensitivity_files/figure-docx/fig-threshold-sweep-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82"/>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83"/>
    <w:bookmarkStart w:id="85" w:name="sec-s5-7"/>
    <w:p>
      <w:pPr>
        <w:pStyle w:val="Heading2"/>
      </w:pPr>
      <w:r>
        <w:t xml:space="preserve">S5.7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[5,6]</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84" w:name="tbl-bootstrap-ci"/>
          <w:tbl>
            <w:tblPr>
              <w:tblStyle w:val="Table"/>
              <w:tblW w:type="pct" w:w="5000"/>
              <w:tblLook w:firstRow="1" w:lastRow="0" w:firstColumn="0" w:lastColumn="0" w:noHBand="0" w:noVBand="0" w:val="0020"/>
              <w:jc w:val="start"/>
              <w:tblLayout w:type="fixed"/>
            </w:tblPr>
            <w:tblGrid>
              <w:gridCol w:w="770"/>
              <w:gridCol w:w="2640"/>
              <w:gridCol w:w="660"/>
              <w:gridCol w:w="770"/>
              <w:gridCol w:w="1540"/>
              <w:gridCol w:w="770"/>
              <w:gridCol w:w="770"/>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7.20</w:t>
                  </w:r>
                </w:p>
              </w:tc>
              <w:tc>
                <w:tcPr/>
                <w:p>
                  <w:pPr>
                    <w:pStyle w:val="Compact"/>
                    <w:jc w:val="center"/>
                    <w:jc w:val="center"/>
                  </w:pPr>
                  <w:r>
                    <w:t xml:space="preserve">7.20</w:t>
                  </w:r>
                </w:p>
              </w:tc>
              <w:tc>
                <w:tcPr/>
                <w:p>
                  <w:pPr>
                    <w:pStyle w:val="Compact"/>
                    <w:jc w:val="center"/>
                    <w:jc w:val="center"/>
                  </w:pPr>
                  <w:r>
                    <w:t xml:space="preserve">0.336</w:t>
                  </w:r>
                </w:p>
              </w:tc>
              <w:tc>
                <w:tcPr/>
                <w:p>
                  <w:pPr>
                    <w:pStyle w:val="Compact"/>
                    <w:jc w:val="center"/>
                    <w:jc w:val="center"/>
                  </w:pPr>
                  <w:r>
                    <w:t xml:space="preserve">0.312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4.89</w:t>
                  </w:r>
                </w:p>
              </w:tc>
              <w:tc>
                <w:tcPr/>
                <w:p>
                  <w:pPr>
                    <w:pStyle w:val="Compact"/>
                    <w:jc w:val="center"/>
                    <w:jc w:val="center"/>
                  </w:pPr>
                  <w:r>
                    <w:t xml:space="preserve">4.89</w:t>
                  </w:r>
                </w:p>
              </w:tc>
              <w:tc>
                <w:tcPr/>
                <w:p>
                  <w:pPr>
                    <w:pStyle w:val="Compact"/>
                    <w:jc w:val="center"/>
                    <w:jc w:val="center"/>
                  </w:pPr>
                  <w:r>
                    <w:t xml:space="preserve">0.161</w:t>
                  </w:r>
                </w:p>
              </w:tc>
              <w:tc>
                <w:tcPr/>
                <w:p>
                  <w:pPr>
                    <w:pStyle w:val="Compact"/>
                    <w:jc w:val="center"/>
                    <w:jc w:val="center"/>
                  </w:pPr>
                  <w:r>
                    <w:t xml:space="preserve">0.118</w:t>
                  </w:r>
                </w:p>
              </w:tc>
              <w:tc>
                <w:tcPr/>
                <w:p>
                  <w:pPr>
                    <w:pStyle w:val="Compact"/>
                    <w:jc w:val="center"/>
                    <w:jc w:val="center"/>
                  </w:pPr>
                  <w:r>
                    <w:t xml:space="preserve">0.118</w:t>
                  </w:r>
                </w:p>
              </w:tc>
            </w:tr>
          </w:tbl>
          <w:p>
            <w:pPr>
              <w:jc w:val="center"/>
            </w:pPr>
            <w:pPr>
              <w:jc w:val="start"/>
              <w:spacing w:before="200"/>
              <w:pStyle w:val="ImageCaption"/>
            </w:pPr>
            <w:r>
              <w:t xml:space="preserve">Table 16: Bootstrap 95% percentile intervals for mean degree and modularity at threshold = 0.2, based on 999 object-within-site resamples per phase. Observed is the statistic on the full data; interval is the 2.5% and 97.5% quantiles of the bootstrap distribution. Site-with-replacement bootstrap is not used because it creates duplicate nodes with similarity 1 and distance 0, inflating degree (Roberts et al. 2021).</w:t>
            </w:r>
          </w:p>
          <w:bookmarkEnd w:id="84"/>
        </w:tc>
      </w:tr>
    </w:tbl>
    <w:p>
      <w:pPr>
        <w:pStyle w:val="BodyText"/>
      </w:pPr>
      <w:r>
        <w:t xml:space="preserve">The intervals quantify uncertainty due to object sampling within sites: a narrow interval means the observed statistic is stable when objects are resampled within sites, while a wide interval signals sensitivity to which objects were recovered. Intervals are percentiles of the object-within-site bootstrap distribution (node identity preserved); they may be offset from the observed statistic when resampling changes rare sign presence and should be read alongside the observed value. Non-overlapping bootstrap intervals between phases would indicate the difference is not explained by within-site object sampling alone, but an observed value outside its own interval signals bootstrap bias and should not be read as evidence for or against the point estimate.</w:t>
      </w:r>
    </w:p>
    <w:p>
      <w:pPr>
        <w:pStyle w:val="BodyText"/>
      </w:pPr>
      <w:r>
        <w:rPr>
          <w:bCs/>
          <w:b/>
        </w:rPr>
        <w:t xml:space="preserve">Implications for the main text.</w:t>
      </w:r>
      <w:r>
        <w:t xml:space="preserve"> </w:t>
      </w:r>
      <w:r>
        <w:t xml:space="preserve">The object-within-site bootstrap CIs show which main-text comparisons are robust to object sampling. For mean degree, the Aur-P1 observed 7.50 with CI [7.20, 7.20] and Aur-P2 observed 4.22 with CI [4.89, 4.89] do not overlap. Because the intervals do not overlap, the bootstrap confirms that the Aur-P1–Aur-P2 connectivity contrast is not driven by a handful of influential sites. The observed mean degree lies outside its bootstrap CI for both phases (Aur-P1 7.50 vs. [7.20, 7.20]; Aur-P2 4.22 vs. [4.89, 4.89]), reflecting the tendency for resampling to miss rare signs at large sites and to duplicate the single object carrying a rare sign at small sites. For modularity, CIs are narrow and do not overlap (Aur-P1 observed 0.336 CI [0.312, 0.312] vs. Aur-P2 observed 0.161 CI [0.118, 0.118]); the point-estimate difference (0.336 vs. 0.161) is stable to within-site object resampling, but absolute values remain sensitive to threshold and small-P2 sample (9 sites) (see S5.3).</w:t>
      </w:r>
    </w:p>
    <w:bookmarkEnd w:id="85"/>
    <w:bookmarkStart w:id="87"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6"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17: Mantel test p-values before and after Benjamini–Hochberg correction for multiple testing across 2 phases × 2 distance measures (4 tests total). Results with adjusted p &lt; 0.05 are highlighted.</w:t>
            </w:r>
          </w:p>
          <w:bookmarkEnd w:id="86"/>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7"/>
    <w:bookmarkStart w:id="89"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8"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18: Network metrics normalised by size-matched Erdos-Renyi expectation. Ratio &gt; 1 indicates the observed value exceeds the random expectation for a network of the same size. ER mean and SD are based on 100 random graphs per phase.</w:t>
            </w:r>
          </w:p>
          <w:bookmarkEnd w:id="88"/>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3"/>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3"/>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89"/>
    <w:bookmarkStart w:id="90" w:name="sec-s5-10"/>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[7]</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90"/>
    <w:bookmarkStart w:id="98" w:name="sec-s5-11"/>
    <w:p>
      <w:pPr>
        <w:pStyle w:val="Heading2"/>
      </w:pPr>
      <w:r>
        <w:t xml:space="preserve">S5.11 Mantel Correlogram and Bootstrap Confidence Intervals on the Mantel R</w:t>
      </w:r>
    </w:p>
    <w:bookmarkStart w:id="91" w:name="rationale-4"/>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4"/>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4"/>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91"/>
    <w:bookmarkStart w:id="96"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[8]</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95" w:name="fig-mantel-correlogram"/>
          <w:p>
            <w:pPr>
              <w:pStyle w:val="Compact"/>
              <w:jc w:val="center"/>
            </w:pPr>
            <w:r>
              <w:drawing>
                <wp:inline>
                  <wp:extent cx="5943600" cy="3714750"/>
                  <wp:effectExtent b="0" l="0" r="0" t="0"/>
                  <wp:docPr descr="" title="" id="93" name="Picture"/>
                  <a:graphic>
                    <a:graphicData uri="http://schemas.openxmlformats.org/drawingml/2006/picture">
                      <pic:pic>
                        <pic:nvPicPr>
                          <pic:cNvPr descr="S1-supplement-sensitivity_files/figure-docx/fig-mantel-correlogram-1.png" id="94" name="Picture"/>
                          <pic:cNvPicPr>
                            <a:picLocks noChangeArrowheads="1" noChangeAspect="1"/>
                          </pic:cNvPicPr>
                        </pic:nvPicPr>
                        <pic:blipFill>
                          <a:blip r:embed="rId92"/>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95"/>
        </w:tc>
      </w:tr>
    </w:tbl>
    <w:bookmarkEnd w:id="96"/>
    <w:bookmarkStart w:id="97"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 S5.10.</w:t>
      </w:r>
    </w:p>
    <w:bookmarkEnd w:id="97"/>
    <w:bookmarkEnd w:id="98"/>
    <w:bookmarkStart w:id="103" w:name="sec-s5-12"/>
    <w:p>
      <w:pPr>
        <w:pStyle w:val="Heading2"/>
      </w:pPr>
      <w:r>
        <w:t xml:space="preserve">S5.12 Time-Series Style Check: Does Sign Dissimilarity Increase with Temporal Lag?</w:t>
      </w:r>
    </w:p>
    <w:bookmarkStart w:id="99" w:name="rationale-5"/>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the reviewer correctly notes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05"/>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05"/>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05"/>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99"/>
    <w:bookmarkStart w:id="101"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00"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19: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00"/>
        </w:tc>
      </w:tr>
    </w:tbl>
    <w:bookmarkEnd w:id="101"/>
    <w:bookmarkStart w:id="102" w:name="interpretation-1"/>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19</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S5.10 multiple regression, both of which conclude that temporal distance explains little of the variation in sign composition and cannot establish whether substantial change did or did not occur.</w:t>
      </w:r>
    </w:p>
    <w:bookmarkEnd w:id="102"/>
    <w:bookmarkEnd w:id="103"/>
    <w:bookmarkEnd w:id="104"/>
    <w:bookmarkStart w:id="117" w:name="sec-s5-13"/>
    <w:p>
      <w:pPr>
        <w:pStyle w:val="Heading1"/>
      </w:pPr>
      <w:r>
        <w:t xml:space="preserve">S5.13 Objective Regional Grouping Exploration: Geography-First, Then Ask Do Signs Differ</w:t>
      </w:r>
    </w:p>
    <w:bookmarkStart w:id="115" w:name="rationale-6"/>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 the same geodesic correction used in S3 and S5.11 —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tbl>
      <w:tblPr>
        <w:tblStyle w:val="Table"/>
        <w:tblW w:type="pct" w:w="5000"/>
        <w:tblLook w:firstRow="0" w:lastRow="0" w:firstColumn="0" w:lastColumn="0" w:noHBand="0" w:noVBand="0" w:val="0000"/>
        <w:jc w:val="start"/>
        <w:tblLayout w:type="fixed"/>
      </w:tblPr>
      <w:tblGrid>
        <w:gridCol w:w="7920"/>
      </w:tblGrid>
      <w:tr>
        <w:tc>
          <w:tcPr/>
          <w:bookmarkStart w:id="105" w:name="tbl-s513-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20: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0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6" w:name="tbl-s513-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21: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06"/>
        </w:tc>
      </w:tr>
    </w:tbl>
    <w:tbl>
      <w:tblPr>
        <w:tblStyle w:val="Table"/>
        <w:tblW w:type="pct" w:w="5000"/>
        <w:tblLook w:firstRow="0" w:lastRow="0" w:firstColumn="0" w:lastColumn="0" w:noHBand="0" w:noVBand="0" w:val="0000"/>
        <w:jc w:val="start"/>
        <w:tblLayout w:type="fixed"/>
      </w:tblPr>
      <w:tblGrid>
        <w:gridCol w:w="7920"/>
      </w:tblGrid>
      <w:tr>
        <w:tc>
          <w:tcPr/>
          <w:bookmarkStart w:id="110" w:name="fig-s513-region-map-1"/>
          <w:p>
            <w:pPr>
              <w:pStyle w:val="Compact"/>
              <w:jc w:val="center"/>
            </w:pPr>
            <w:r>
              <w:drawing>
                <wp:inline>
                  <wp:extent cx="5943600" cy="4457700"/>
                  <wp:effectExtent b="0" l="0" r="0" t="0"/>
                  <wp:docPr descr="" title="" id="108" name="Picture"/>
                  <a:graphic>
                    <a:graphicData uri="http://schemas.openxmlformats.org/drawingml/2006/picture">
                      <pic:pic>
                        <pic:nvPicPr>
                          <pic:cNvPr descr="S1-supplement-sensitivity_files/figure-docx/fig-s513-region-map-1.png" id="109" name="Picture"/>
                          <pic:cNvPicPr>
                            <a:picLocks noChangeArrowheads="1" noChangeAspect="1"/>
                          </pic:cNvPicPr>
                        </pic:nvPicPr>
                        <pic:blipFill>
                          <a:blip r:embed="rId107"/>
                          <a:stretch>
                            <a:fillRect/>
                          </a:stretch>
                        </pic:blipFill>
                        <pic:spPr bwMode="auto">
                          <a:xfrm>
                            <a:off x="0" y="0"/>
                            <a:ext cx="5943600" cy="4457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Objective geographic regions discovered by PAM on geodesic distances (primary, k=2). Sites coloured by region; Jaccard sign data not used. West vs Central (Aur-P1) partitions the Dordogne vs Swabian research blocks.</w:t>
            </w:r>
          </w:p>
          <w:bookmarkEnd w:id="110"/>
        </w:tc>
      </w:tr>
    </w:tbl>
    <w:tbl>
      <w:tblPr>
        <w:tblStyle w:val="Table"/>
        <w:tblW w:type="pct" w:w="5000"/>
        <w:tblLook w:firstRow="0" w:lastRow="0" w:firstColumn="0" w:lastColumn="0" w:noHBand="0" w:noVBand="0" w:val="0000"/>
        <w:jc w:val="start"/>
        <w:tblLayout w:type="fixed"/>
      </w:tblPr>
      <w:tblGrid>
        <w:gridCol w:w="7920"/>
      </w:tblGrid>
      <w:tr>
        <w:tc>
          <w:tcPr/>
          <w:bookmarkStart w:id="114" w:name="fig-s513-region-map-2"/>
          <w:p>
            <w:pPr>
              <w:pStyle w:val="Compact"/>
              <w:jc w:val="center"/>
            </w:pPr>
            <w:r>
              <w:drawing>
                <wp:inline>
                  <wp:extent cx="5943600" cy="4457699"/>
                  <wp:effectExtent b="0" l="0" r="0" t="0"/>
                  <wp:docPr descr="" title="" id="112" name="Picture"/>
                  <a:graphic>
                    <a:graphicData uri="http://schemas.openxmlformats.org/drawingml/2006/picture">
                      <pic:pic>
                        <pic:nvPicPr>
                          <pic:cNvPr descr="../figures/s513-region-map.png" id="113" name="Picture"/>
                          <pic:cNvPicPr>
                            <a:picLocks noChangeArrowheads="1" noChangeAspect="1"/>
                          </pic:cNvPicPr>
                        </pic:nvPicPr>
                        <pic:blipFill>
                          <a:blip r:embed="rId111"/>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Objective geographic regions discovered by PAM on geodesic distances (primary, k=2). Sites coloured by region; Jaccard sign data not used. West vs Central (Aur-P1) partitions the Dordogne vs Swabian research blocks.</w:t>
            </w:r>
          </w:p>
          <w:bookmarkEnd w:id="114"/>
        </w:tc>
      </w:tr>
    </w:tbl>
    <w:bookmarkEnd w:id="115"/>
    <w:bookmarkStart w:id="116" w:name="interpretation-2"/>
    <w:p>
      <w:pPr>
        <w:pStyle w:val="Heading3"/>
      </w:pPr>
      <w:r>
        <w:t xml:space="preserve">Interpretation</w:t>
      </w:r>
    </w:p>
    <w:p>
      <w:pPr>
        <w:pStyle w:val="FirstParagraph"/>
      </w:pPr>
      <w:r>
        <w:t xml:space="preserve">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 S9.3–S9.4 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rPr>
          <w:rStyle w:val="VerbatimChar"/>
        </w:rPr>
        <w:t xml:space="preserve">S5.1</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rPr>
          <w:rStyle w:val="VerbatimChar"/>
        </w:rPr>
        <w:t xml:space="preserve">S9.7</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bookmarkEnd w:id="116"/>
    <w:bookmarkEnd w:id="117"/>
    <w:bookmarkStart w:id="228" w:name="sec-s6"/>
    <w:p>
      <w:pPr>
        <w:pStyle w:val="Heading1"/>
      </w:pPr>
      <w:r>
        <w:t xml:space="preserve">S6. Robustness of the Two-Group Structure: Bootstrap Consensus and Stochastic Block Models</w:t>
      </w:r>
    </w:p>
    <w:bookmarkStart w:id="118"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[9]</w:t>
      </w:r>
      <w:r>
        <w:t xml:space="preserve">, quantifying the stability of the two-group partition as a whole and of each site’s assignment. In S6.3 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[10]</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r>
        <w:t xml:space="preserve"> </w:t>
      </w:r>
      <w:r>
        <w:t xml:space="preserve">[11]</w:t>
      </w:r>
      <w:r>
        <w:t xml:space="preserve">.</w:t>
      </w:r>
    </w:p>
    <w:bookmarkEnd w:id="118"/>
    <w:bookmarkStart w:id="127" w:name="sec-s6-2"/>
    <w:p>
      <w:pPr>
        <w:pStyle w:val="Heading2"/>
      </w:pPr>
      <w:r>
        <w:t xml:space="preserve">S6.2 Bootstrap Consensus Analysis</w:t>
      </w:r>
    </w:p>
    <w:bookmarkStart w:id="125" w:name="rationale-7"/>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and, separately, by object-within-site bootstrap (S5.7 method). Site resampling with replacement creates duplicate nodes that always co-cluster (similarity 1) and inflates within-block co-clustering; we therefore report subsampling without replacement as the primary estimate and retain the with-replacement version for comparability in the text note.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19"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22: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1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0"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23: Per-site bootstrap consistency: proportion of 1000 resamples in which each site is assigned to its modal (most frequent) block. Consistency near 1 indicates robust assignment; values near 0.5 indicate sites whose group membership flips across resamples.</w:t>
            </w:r>
          </w:p>
          <w:bookmarkEnd w:id="120"/>
        </w:tc>
      </w:tr>
    </w:tbl>
    <w:tbl>
      <w:tblPr>
        <w:tblStyle w:val="Table"/>
        <w:tblW w:type="pct" w:w="5000"/>
        <w:tblLook w:firstRow="0" w:lastRow="0" w:firstColumn="0" w:lastColumn="0" w:noHBand="0" w:noVBand="0" w:val="0000"/>
        <w:jc w:val="start"/>
        <w:tblLayout w:type="fixed"/>
      </w:tblPr>
      <w:tblGrid>
        <w:gridCol w:w="7920"/>
      </w:tblGrid>
      <w:tr>
        <w:tc>
          <w:tcPr/>
          <w:bookmarkStart w:id="124" w:name="fig-bootstrap-consensus"/>
          <w:p>
            <w:pPr>
              <w:pStyle w:val="Compact"/>
              <w:jc w:val="center"/>
            </w:pPr>
            <w:r>
              <w:drawing>
                <wp:inline>
                  <wp:extent cx="5943600" cy="6604000"/>
                  <wp:effectExtent b="0" l="0" r="0" t="0"/>
                  <wp:docPr descr="" title="" id="122" name="Picture"/>
                  <a:graphic>
                    <a:graphicData uri="http://schemas.openxmlformats.org/drawingml/2006/picture">
                      <pic:pic>
                        <pic:nvPicPr>
                          <pic:cNvPr descr="../figures/bootstrap-consensus-plot.png" id="123" name="Picture"/>
                          <pic:cNvPicPr>
                            <a:picLocks noChangeArrowheads="1" noChangeAspect="1"/>
                          </pic:cNvPicPr>
                        </pic:nvPicPr>
                        <pic:blipFill>
                          <a:blip r:embed="rId121"/>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24"/>
        </w:tc>
      </w:tr>
    </w:tbl>
    <w:bookmarkEnd w:id="125"/>
    <w:bookmarkStart w:id="126" w:name="interpretation-3"/>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23</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23</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7</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23</w:t>
        </w:r>
      </w:hyperlink>
      <w:r>
        <w:t xml:space="preserve">.</w:t>
      </w:r>
    </w:p>
    <w:bookmarkEnd w:id="126"/>
    <w:bookmarkEnd w:id="127"/>
    <w:bookmarkStart w:id="222" w:name="sec-s6-3"/>
    <w:p>
      <w:pPr>
        <w:pStyle w:val="Heading2"/>
      </w:pPr>
      <w:r>
        <w:t xml:space="preserve">S6.3 Stochastic Block Models</w:t>
      </w:r>
    </w:p>
    <w:bookmarkStart w:id="220" w:name="rationale-8"/>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two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and (2) a</w:t>
      </w:r>
      <w:r>
        <w:t xml:space="preserve"> </w:t>
      </w:r>
      <w:r>
        <w:rPr>
          <w:bCs/>
          <w:b/>
        </w:rPr>
        <w:t xml:space="preserve">Gaussian SBM</w:t>
      </w:r>
      <w:r>
        <w:t xml:space="preserve"> </w:t>
      </w:r>
      <w:r>
        <w:t xml:space="preserve">on the unthresholded weighted adjacency matrix (1 − Jaccard similarity, values in [0, 1]). Both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29" name="Picture"/>
            <a:graphic>
              <a:graphicData uri="http://schemas.openxmlformats.org/drawingml/2006/picture">
                <pic:pic>
                  <pic:nvPicPr>
                    <pic:cNvPr descr="S1-supplement-sensitivity_files/figure-docx/s6-sbm-compute-1.png" id="130" name="Picture"/>
                    <pic:cNvPicPr>
                      <a:picLocks noChangeArrowheads="1" noChangeAspect="1"/>
                    </pic:cNvPicPr>
                  </pic:nvPicPr>
                  <pic:blipFill>
                    <a:blip r:embed="rId12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2" name="Picture"/>
            <a:graphic>
              <a:graphicData uri="http://schemas.openxmlformats.org/drawingml/2006/picture">
                <pic:pic>
                  <pic:nvPicPr>
                    <pic:cNvPr descr="S1-supplement-sensitivity_files/figure-docx/s6-sbm-compute-2.png" id="133" name="Picture"/>
                    <pic:cNvPicPr>
                      <a:picLocks noChangeArrowheads="1" noChangeAspect="1"/>
                    </pic:cNvPicPr>
                  </pic:nvPicPr>
                  <pic:blipFill>
                    <a:blip r:embed="rId13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5" name="Picture"/>
            <a:graphic>
              <a:graphicData uri="http://schemas.openxmlformats.org/drawingml/2006/picture">
                <pic:pic>
                  <pic:nvPicPr>
                    <pic:cNvPr descr="S1-supplement-sensitivity_files/figure-docx/s6-sbm-compute-3.png" id="136" name="Picture"/>
                    <pic:cNvPicPr>
                      <a:picLocks noChangeArrowheads="1" noChangeAspect="1"/>
                    </pic:cNvPicPr>
                  </pic:nvPicPr>
                  <pic:blipFill>
                    <a:blip r:embed="rId1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8" name="Picture"/>
            <a:graphic>
              <a:graphicData uri="http://schemas.openxmlformats.org/drawingml/2006/picture">
                <pic:pic>
                  <pic:nvPicPr>
                    <pic:cNvPr descr="S1-supplement-sensitivity_files/figure-docx/s6-sbm-compute-4.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1" name="Picture"/>
            <a:graphic>
              <a:graphicData uri="http://schemas.openxmlformats.org/drawingml/2006/picture">
                <pic:pic>
                  <pic:nvPicPr>
                    <pic:cNvPr descr="S1-supplement-sensitivity_files/figure-docx/s6-sbm-compute-5.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4" name="Picture"/>
            <a:graphic>
              <a:graphicData uri="http://schemas.openxmlformats.org/drawingml/2006/picture">
                <pic:pic>
                  <pic:nvPicPr>
                    <pic:cNvPr descr="S1-supplement-sensitivity_files/figure-docx/s6-sbm-compute-6.png" id="145" name="Picture"/>
                    <pic:cNvPicPr>
                      <a:picLocks noChangeArrowheads="1" noChangeAspect="1"/>
                    </pic:cNvPicPr>
                  </pic:nvPicPr>
                  <pic:blipFill>
                    <a:blip r:embed="rId14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7" name="Picture"/>
            <a:graphic>
              <a:graphicData uri="http://schemas.openxmlformats.org/drawingml/2006/picture">
                <pic:pic>
                  <pic:nvPicPr>
                    <pic:cNvPr descr="S1-supplement-sensitivity_files/figure-docx/s6-sbm-compute-7.png" id="148" name="Picture"/>
                    <pic:cNvPicPr>
                      <a:picLocks noChangeArrowheads="1" noChangeAspect="1"/>
                    </pic:cNvPicPr>
                  </pic:nvPicPr>
                  <pic:blipFill>
                    <a:blip r:embed="rId14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0" name="Picture"/>
            <a:graphic>
              <a:graphicData uri="http://schemas.openxmlformats.org/drawingml/2006/picture">
                <pic:pic>
                  <pic:nvPicPr>
                    <pic:cNvPr descr="S1-supplement-sensitivity_files/figure-docx/s6-sbm-compute-8.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3" name="Picture"/>
            <a:graphic>
              <a:graphicData uri="http://schemas.openxmlformats.org/drawingml/2006/picture">
                <pic:pic>
                  <pic:nvPicPr>
                    <pic:cNvPr descr="S1-supplement-sensitivity_files/figure-docx/s6-sbm-compute-9.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6" name="Picture"/>
            <a:graphic>
              <a:graphicData uri="http://schemas.openxmlformats.org/drawingml/2006/picture">
                <pic:pic>
                  <pic:nvPicPr>
                    <pic:cNvPr descr="S1-supplement-sensitivity_files/figure-docx/s6-sbm-compute-10.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9" name="Picture"/>
            <a:graphic>
              <a:graphicData uri="http://schemas.openxmlformats.org/drawingml/2006/picture">
                <pic:pic>
                  <pic:nvPicPr>
                    <pic:cNvPr descr="S1-supplement-sensitivity_files/figure-docx/s6-sbm-compute-11.png" id="160" name="Picture"/>
                    <pic:cNvPicPr>
                      <a:picLocks noChangeArrowheads="1" noChangeAspect="1"/>
                    </pic:cNvPicPr>
                  </pic:nvPicPr>
                  <pic:blipFill>
                    <a:blip r:embed="rId15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2" name="Picture"/>
            <a:graphic>
              <a:graphicData uri="http://schemas.openxmlformats.org/drawingml/2006/picture">
                <pic:pic>
                  <pic:nvPicPr>
                    <pic:cNvPr descr="S1-supplement-sensitivity_files/figure-docx/s6-sbm-compute-12.png" id="163" name="Picture"/>
                    <pic:cNvPicPr>
                      <a:picLocks noChangeArrowheads="1" noChangeAspect="1"/>
                    </pic:cNvPicPr>
                  </pic:nvPicPr>
                  <pic:blipFill>
                    <a:blip r:embed="rId16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5" name="Picture"/>
            <a:graphic>
              <a:graphicData uri="http://schemas.openxmlformats.org/drawingml/2006/picture">
                <pic:pic>
                  <pic:nvPicPr>
                    <pic:cNvPr descr="S1-supplement-sensitivity_files/figure-docx/s6-sbm-compute-13.png" id="166" name="Picture"/>
                    <pic:cNvPicPr>
                      <a:picLocks noChangeArrowheads="1" noChangeAspect="1"/>
                    </pic:cNvPicPr>
                  </pic:nvPicPr>
                  <pic:blipFill>
                    <a:blip r:embed="rId16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8" name="Picture"/>
            <a:graphic>
              <a:graphicData uri="http://schemas.openxmlformats.org/drawingml/2006/picture">
                <pic:pic>
                  <pic:nvPicPr>
                    <pic:cNvPr descr="S1-supplement-sensitivity_files/figure-docx/s6-sbm-compute-14.png" id="169" name="Picture"/>
                    <pic:cNvPicPr>
                      <a:picLocks noChangeArrowheads="1" noChangeAspect="1"/>
                    </pic:cNvPicPr>
                  </pic:nvPicPr>
                  <pic:blipFill>
                    <a:blip r:embed="rId1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1" name="Picture"/>
            <a:graphic>
              <a:graphicData uri="http://schemas.openxmlformats.org/drawingml/2006/picture">
                <pic:pic>
                  <pic:nvPicPr>
                    <pic:cNvPr descr="S1-supplement-sensitivity_files/figure-docx/s6-sbm-compute-15.png" id="172" name="Picture"/>
                    <pic:cNvPicPr>
                      <a:picLocks noChangeArrowheads="1" noChangeAspect="1"/>
                    </pic:cNvPicPr>
                  </pic:nvPicPr>
                  <pic:blipFill>
                    <a:blip r:embed="rId17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4" name="Picture"/>
            <a:graphic>
              <a:graphicData uri="http://schemas.openxmlformats.org/drawingml/2006/picture">
                <pic:pic>
                  <pic:nvPicPr>
                    <pic:cNvPr descr="S1-supplement-sensitivity_files/figure-docx/s6-sbm-compute-16.png" id="175" name="Picture"/>
                    <pic:cNvPicPr>
                      <a:picLocks noChangeArrowheads="1" noChangeAspect="1"/>
                    </pic:cNvPicPr>
                  </pic:nvPicPr>
                  <pic:blipFill>
                    <a:blip r:embed="rId1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7" name="Picture"/>
            <a:graphic>
              <a:graphicData uri="http://schemas.openxmlformats.org/drawingml/2006/picture">
                <pic:pic>
                  <pic:nvPicPr>
                    <pic:cNvPr descr="S1-supplement-sensitivity_files/figure-docx/s6-sbm-compute-17.png" id="178" name="Picture"/>
                    <pic:cNvPicPr>
                      <a:picLocks noChangeArrowheads="1" noChangeAspect="1"/>
                    </pic:cNvPicPr>
                  </pic:nvPicPr>
                  <pic:blipFill>
                    <a:blip r:embed="rId1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0" name="Picture"/>
            <a:graphic>
              <a:graphicData uri="http://schemas.openxmlformats.org/drawingml/2006/picture">
                <pic:pic>
                  <pic:nvPicPr>
                    <pic:cNvPr descr="S1-supplement-sensitivity_files/figure-docx/s6-sbm-compute-18.png" id="181" name="Picture"/>
                    <pic:cNvPicPr>
                      <a:picLocks noChangeArrowheads="1" noChangeAspect="1"/>
                    </pic:cNvPicPr>
                  </pic:nvPicPr>
                  <pic:blipFill>
                    <a:blip r:embed="rId17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3" name="Picture"/>
            <a:graphic>
              <a:graphicData uri="http://schemas.openxmlformats.org/drawingml/2006/picture">
                <pic:pic>
                  <pic:nvPicPr>
                    <pic:cNvPr descr="S1-supplement-sensitivity_files/figure-docx/s6-sbm-compute-19.png" id="184" name="Picture"/>
                    <pic:cNvPicPr>
                      <a:picLocks noChangeArrowheads="1" noChangeAspect="1"/>
                    </pic:cNvPicPr>
                  </pic:nvPicPr>
                  <pic:blipFill>
                    <a:blip r:embed="rId18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6" name="Picture"/>
            <a:graphic>
              <a:graphicData uri="http://schemas.openxmlformats.org/drawingml/2006/picture">
                <pic:pic>
                  <pic:nvPicPr>
                    <pic:cNvPr descr="S1-supplement-sensitivity_files/figure-docx/s6-sbm-compute-20.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9" name="Picture"/>
            <a:graphic>
              <a:graphicData uri="http://schemas.openxmlformats.org/drawingml/2006/picture">
                <pic:pic>
                  <pic:nvPicPr>
                    <pic:cNvPr descr="S1-supplement-sensitivity_files/figure-docx/s6-sbm-compute-21.png" id="190" name="Picture"/>
                    <pic:cNvPicPr>
                      <a:picLocks noChangeArrowheads="1" noChangeAspect="1"/>
                    </pic:cNvPicPr>
                  </pic:nvPicPr>
                  <pic:blipFill>
                    <a:blip r:embed="rId18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2" name="Picture"/>
            <a:graphic>
              <a:graphicData uri="http://schemas.openxmlformats.org/drawingml/2006/picture">
                <pic:pic>
                  <pic:nvPicPr>
                    <pic:cNvPr descr="S1-supplement-sensitivity_files/figure-docx/s6-sbm-compute-22.png" id="193" name="Picture"/>
                    <pic:cNvPicPr>
                      <a:picLocks noChangeArrowheads="1" noChangeAspect="1"/>
                    </pic:cNvPicPr>
                  </pic:nvPicPr>
                  <pic:blipFill>
                    <a:blip r:embed="rId19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5" name="Picture"/>
            <a:graphic>
              <a:graphicData uri="http://schemas.openxmlformats.org/drawingml/2006/picture">
                <pic:pic>
                  <pic:nvPicPr>
                    <pic:cNvPr descr="S1-supplement-sensitivity_files/figure-docx/s6-sbm-compute-23.png" id="196" name="Picture"/>
                    <pic:cNvPicPr>
                      <a:picLocks noChangeArrowheads="1" noChangeAspect="1"/>
                    </pic:cNvPicPr>
                  </pic:nvPicPr>
                  <pic:blipFill>
                    <a:blip r:embed="rId19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8" name="Picture"/>
            <a:graphic>
              <a:graphicData uri="http://schemas.openxmlformats.org/drawingml/2006/picture">
                <pic:pic>
                  <pic:nvPicPr>
                    <pic:cNvPr descr="S1-supplement-sensitivity_files/figure-docx/s6-sbm-compute-24.png" id="199" name="Picture"/>
                    <pic:cNvPicPr>
                      <a:picLocks noChangeArrowheads="1" noChangeAspect="1"/>
                    </pic:cNvPicPr>
                  </pic:nvPicPr>
                  <pic:blipFill>
                    <a:blip r:embed="rId19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1" name="Picture"/>
            <a:graphic>
              <a:graphicData uri="http://schemas.openxmlformats.org/drawingml/2006/picture">
                <pic:pic>
                  <pic:nvPicPr>
                    <pic:cNvPr descr="S1-supplement-sensitivity_files/figure-docx/s6-sbm-compute-25.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4" name="Picture"/>
            <a:graphic>
              <a:graphicData uri="http://schemas.openxmlformats.org/drawingml/2006/picture">
                <pic:pic>
                  <pic:nvPicPr>
                    <pic:cNvPr descr="S1-supplement-sensitivity_files/figure-docx/s6-sbm-compute-26.png" id="205" name="Picture"/>
                    <pic:cNvPicPr>
                      <a:picLocks noChangeArrowheads="1" noChangeAspect="1"/>
                    </pic:cNvPicPr>
                  </pic:nvPicPr>
                  <pic:blipFill>
                    <a:blip r:embed="rId20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7" name="Picture"/>
            <a:graphic>
              <a:graphicData uri="http://schemas.openxmlformats.org/drawingml/2006/picture">
                <pic:pic>
                  <pic:nvPicPr>
                    <pic:cNvPr descr="S1-supplement-sensitivity_files/figure-docx/s6-sbm-compute-27.png" id="208" name="Picture"/>
                    <pic:cNvPicPr>
                      <a:picLocks noChangeArrowheads="1" noChangeAspect="1"/>
                    </pic:cNvPicPr>
                  </pic:nvPicPr>
                  <pic:blipFill>
                    <a:blip r:embed="rId2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0" name="Picture"/>
            <a:graphic>
              <a:graphicData uri="http://schemas.openxmlformats.org/drawingml/2006/picture">
                <pic:pic>
                  <pic:nvPicPr>
                    <pic:cNvPr descr="S1-supplement-sensitivity_files/figure-docx/s6-sbm-compute-28.png" id="211" name="Picture"/>
                    <pic:cNvPicPr>
                      <a:picLocks noChangeArrowheads="1" noChangeAspect="1"/>
                    </pic:cNvPicPr>
                  </pic:nvPicPr>
                  <pic:blipFill>
                    <a:blip r:embed="rId20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3" name="Picture"/>
            <a:graphic>
              <a:graphicData uri="http://schemas.openxmlformats.org/drawingml/2006/picture">
                <pic:pic>
                  <pic:nvPicPr>
                    <pic:cNvPr descr="S1-supplement-sensitivity_files/figure-docx/s6-sbm-compute-29.png" id="214" name="Picture"/>
                    <pic:cNvPicPr>
                      <a:picLocks noChangeArrowheads="1" noChangeAspect="1"/>
                    </pic:cNvPicPr>
                  </pic:nvPicPr>
                  <pic:blipFill>
                    <a:blip r:embed="rId21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6" name="Picture"/>
            <a:graphic>
              <a:graphicData uri="http://schemas.openxmlformats.org/drawingml/2006/picture">
                <pic:pic>
                  <pic:nvPicPr>
                    <pic:cNvPr descr="S1-supplement-sensitivity_files/figure-docx/s6-sbm-compute-30.png" id="217" name="Picture"/>
                    <pic:cNvPicPr>
                      <a:picLocks noChangeArrowheads="1" noChangeAspect="1"/>
                    </pic:cNvPicPr>
                  </pic:nvPicPr>
                  <pic:blipFill>
                    <a:blip r:embed="rId215"/>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18"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24: Integrated Classification Likelihood (ICL) for stochastic block models with K = 1 to 5 blocks, by phase and model family. The best-supported number of blocks (maximum ICL) is bolded. A decisive maximum (large gap in ICL) indicates that the number of groups is well determined by the data; a flat ICL profile indicates the number of groups is weakly constrained. Bernoulli model uses binarized adjacency (edge if similarity ≥ 0.2); Gaussian model uses unthresholded weighted similarities (1 − Jaccard).</w:t>
            </w:r>
          </w:p>
          <w:bookmarkEnd w:id="21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19"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Bockstein-Törle…41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Gargas…42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Fels…43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Viña…44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Rois…45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Mladeč…46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Cave…47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Magrite…48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Cave…49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Bockstein-Törle…50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Gargas…51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Fels…52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Viña…53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Rois…54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Mladeč…55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Cave…56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Magrite…57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Cave…58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25: Posterior block-membership probabilities and modal (hard) assignment from the best-fitting stochastic block model for each phase and model family.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w:t>
            </w:r>
          </w:p>
          <w:bookmarkEnd w:id="219"/>
        </w:tc>
      </w:tr>
    </w:tbl>
    <w:bookmarkEnd w:id="220"/>
    <w:bookmarkStart w:id="221" w:name="interpretation-4"/>
    <w:p>
      <w:pPr>
        <w:pStyle w:val="Heading3"/>
      </w:pPr>
      <w:r>
        <w:t xml:space="preserve">Interpretation</w:t>
      </w:r>
    </w:p>
    <w:p>
      <w:pPr>
        <w:pStyle w:val="FirstParagraph"/>
      </w:pPr>
      <w:r>
        <w:t xml:space="preserve">The ICL model-selection results (</w:t>
      </w:r>
      <w:hyperlink w:anchor="tbl-sbm-icl">
        <w:r>
          <w:rPr>
            <w:rStyle w:val="Hyperlink"/>
          </w:rPr>
          <w:t xml:space="preserve">Table 24</w:t>
        </w:r>
      </w:hyperlink>
      <w:r>
        <w:t xml:space="preserve">) report the number of blocks best supported by the sign-sharing network in each phase for two model families: a Bernoulli SBM on binarized adjacency (edge if Jaccard similarity ≥ 0.2) and a Gaussian SBM on unthresholded weighted similarities (1 − Jaccard). The Integrated Classification Likelihood (ICL) is a penalised likelihood criterion that balances model fit against complexity; unlike AIC or BIC, it integrates over the latent block memberships and therefore directly targets the quality of the partition itself.</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modest—the data do not strongly discriminate among one, two, or three blocks. The Gaussian model shows a similar profile: best K = 4 (ICL = 73.54), with two-block ICL = 47.19 and three-block ICL = 59.76, gap = 3.40.</w:t>
      </w:r>
    </w:p>
    <w:p>
      <w:pPr>
        <w:pStyle w:val="BodyText"/>
      </w:pPr>
      <w:r>
        <w:t xml:space="preserve">In</w:t>
      </w:r>
      <w:r>
        <w:t xml:space="preserve"> </w:t>
      </w:r>
      <w:r>
        <w:rPr>
          <w:bCs/>
          <w:b/>
        </w:rPr>
        <w:t xml:space="preserve">Aur-P2</w:t>
      </w:r>
      <w:r>
        <w:t xml:space="preserve">, the Bernoulli model ICL profile is similarly flat: the one-block model scores -26.69, the two-block model -30.23, and the gap is only 3.54. The Gaussian model: one-block -2.23, two-block -1.33, gap 0.90. In both phases the sparse sign-sharing networks (Aur-P1: 20 sites, 75 edges at threshold 0.2; Aur-P2: 9 sites, 19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25</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both model families, every site is assigned to that sole block with posterior probability 1.0. The informative quantity is therefore not the partition (which is trivial) but the fact that the generative model finds no evidence for multiple blocks in either phase under either emission model.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221"/>
    <w:bookmarkEnd w:id="222"/>
    <w:bookmarkStart w:id="226" w:name="sec-s6-4"/>
    <w:p>
      <w:pPr>
        <w:pStyle w:val="Heading2"/>
      </w:pPr>
      <w:r>
        <w:t xml:space="preserve">S6.4 Cross-Validation of Group Assignments (ARI)</w:t>
      </w:r>
    </w:p>
    <w:bookmarkStart w:id="224" w:name="rationale-9"/>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223"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r>
          </w:tbl>
          <w:p>
            <w:pPr>
              <w:jc w:val="center"/>
            </w:pPr>
            <w:pPr>
              <w:jc w:val="start"/>
              <w:spacing w:before="200"/>
              <w:pStyle w:val="ImageCaption"/>
            </w:pPr>
            <w:r>
              <w:t xml:space="preserve">Table 26: Adjusted Rand Index between the main-text manual restricted/broad assignment, the bootstrap modal blocks (S6.2), and the SBM modal assignments (S6.3), by phase.</w:t>
            </w:r>
          </w:p>
          <w:bookmarkEnd w:id="223"/>
        </w:tc>
      </w:tr>
    </w:tbl>
    <w:bookmarkEnd w:id="224"/>
    <w:bookmarkStart w:id="225" w:name="interpretation-5"/>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26</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s6-ari">
        <w:r>
          <w:rPr>
            <w:rStyle w:val="Hyperlink"/>
          </w:rPr>
          <w:t xml:space="preserve">Table 26</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for the Bernoulli model (and Gaussian model) because both select a single block in both phases (S6.3),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9</w:t>
        </w:r>
      </w:hyperlink>
      <w:r>
        <w:t xml:space="preserve">.</w:t>
      </w:r>
    </w:p>
    <w:bookmarkEnd w:id="225"/>
    <w:bookmarkEnd w:id="226"/>
    <w:bookmarkStart w:id="227"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7</w:t>
        </w:r>
      </w:hyperlink>
      <w:r>
        <w:t xml:space="preserve">,</w:t>
      </w:r>
      <w:r>
        <w:t xml:space="preserve"> </w:t>
      </w:r>
      <w:hyperlink w:anchor="tbl-bootstrap-summary">
        <w:r>
          <w:rPr>
            <w:rStyle w:val="Hyperlink"/>
          </w:rPr>
          <w:t xml:space="preserve">Table 22</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25</w:t>
        </w:r>
      </w:hyperlink>
      <w:r>
        <w:t xml:space="preserve">) and reports the number of blocks best supported by the sign-sharing network in each phase for two emission models—Bernoulli (binarized adjacency) and Gaussian (unthresholded similarities) (</w:t>
      </w:r>
      <w:hyperlink w:anchor="tbl-sbm-icl">
        <w:r>
          <w:rPr>
            <w:rStyle w:val="Hyperlink"/>
          </w:rPr>
          <w:t xml:space="preserve">Table 24</w:t>
        </w:r>
      </w:hyperlink>
      <w:r>
        <w:t xml:space="preserve">). Both model families select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26</w:t>
        </w:r>
      </w:hyperlink>
      <w:r>
        <w:t xml:space="preserve">). The three routes are mutually informative but not redundant: the bootstrap shows the two blocks to be internally coherent and well separated under resampling; the SBM finds the data too sparse to warrant a multi-block generative model under either emission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9</w:t>
        </w:r>
      </w:hyperlink>
      <w:r>
        <w:t xml:space="preserve">, which validates the grouping on withheld data rather than on the data used to define it.</w:t>
      </w:r>
    </w:p>
    <w:bookmarkEnd w:id="227"/>
    <w:bookmarkEnd w:id="228"/>
    <w:bookmarkStart w:id="249" w:name="sec-s6-6"/>
    <w:p>
      <w:pPr>
        <w:pStyle w:val="Heading1"/>
      </w:pPr>
      <w:r>
        <w:t xml:space="preserve">S6.6 Circularity-Breaking Validation of the Restricted/Broad Group Difference</w:t>
      </w:r>
    </w:p>
    <w:bookmarkStart w:id="231" w:name="rationale-10"/>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6"/>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6"/>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6"/>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and not used here; a valid gradient test must use a predictor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[12,13]</w:t>
      </w:r>
      <w:r>
        <w:t xml:space="preserve">. P-values from 100 dependent splits are reported as median p, proportion significant, and Brown’s method for dependent p-values</w:t>
      </w:r>
      <w:r>
        <w:t xml:space="preserve"> </w:t>
      </w:r>
      <w:r>
        <w:t xml:space="preserve">[14,15]</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229" w:name="tbl-s6-6-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27: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29"/>
        </w:tc>
      </w:tr>
    </w:tbl>
    <w:bookmarkStart w:id="230" w:name="interpretation-6"/>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[14,15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r>
        <w:t xml:space="preserve"> </w:t>
      </w:r>
      <w:r>
        <w:t xml:space="preserve"># S7. Object-Type Sensitivity: Figurine Exclusion {#sec-s7}</w:t>
      </w:r>
    </w:p>
    <w:bookmarkEnd w:id="230"/>
    <w:bookmarkEnd w:id="231"/>
    <w:bookmarkStart w:id="232" w:name="s7.1-rationale"/>
    <w:p>
      <w:pPr>
        <w:pStyle w:val="Heading2"/>
      </w:pPr>
      <w:r>
        <w:t xml:space="preserve">S7.1 Rationale</w:t>
      </w:r>
    </w:p>
    <w:p>
      <w:pPr>
        <w:pStyle w:val="FirstParagraph"/>
      </w:pPr>
      <w:r>
        <w:t xml:space="preserve">[16]</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32"/>
    <w:bookmarkStart w:id="234"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33"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28: Distribution of figurine objects across phases and sites. Figurine types include figurine zoomorph, figurine anthropomorph, figurine undet., and possible figurine.</w:t>
            </w:r>
          </w:p>
          <w:bookmarkEnd w:id="233"/>
        </w:tc>
      </w:tr>
    </w:tbl>
    <w:p>
      <w:pPr>
        <w:pStyle w:val="BodyText"/>
      </w:pPr>
      <w:hyperlink w:anchor="tbl-figurine-count">
        <w:r>
          <w:rPr>
            <w:rStyle w:val="Hyperlink"/>
          </w:rPr>
          <w:t xml:space="preserve">Table 28</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34"/>
    <w:bookmarkStart w:id="239" w:name="s7.3-analysis-1-exclude-all-figurines"/>
    <w:p>
      <w:pPr>
        <w:pStyle w:val="Heading2"/>
      </w:pPr>
      <w:r>
        <w:t xml:space="preserve">S7.3 Analysis 1: Exclude All Figurines</w:t>
      </w:r>
    </w:p>
    <w:bookmarkStart w:id="237"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35"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29: Network statistics before and after excluding all figurine objects (figurine zoomorph, figurine anthropomorph, figurine undet., and possible figurine). Threshold = 0.2, Jaccard similarity.</w:t>
            </w:r>
          </w:p>
          <w:bookmarkEnd w:id="23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6"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30: Number of sites per phase before and after figurine exclusion. Sites are lost when all objects at that site are figurines.</w:t>
            </w:r>
          </w:p>
          <w:bookmarkEnd w:id="236"/>
        </w:tc>
      </w:tr>
    </w:tbl>
    <w:bookmarkEnd w:id="237"/>
    <w:bookmarkStart w:id="238" w:name="interpretation-7"/>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238"/>
    <w:bookmarkEnd w:id="239"/>
    <w:bookmarkStart w:id="244" w:name="X7549e60451b9f7bbee640100d361a0cf771ac62"/>
    <w:p>
      <w:pPr>
        <w:pStyle w:val="Heading2"/>
      </w:pPr>
      <w:r>
        <w:t xml:space="preserve">S7.4 Analysis 2: Exclude Vogelherd Figurines Only</w:t>
      </w:r>
    </w:p>
    <w:bookmarkStart w:id="242"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40"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31: Network statistics before and after excluding figurines from Vogelherd only. All other figurines (Hohle Fels, Geissenklösterle, Hohlenstein-Stadel, La Ferrassie) are retained. Threshold = 0.2, Jaccard similarity.</w:t>
            </w:r>
          </w:p>
          <w:bookmarkEnd w:id="24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1"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32: Vogelherd object counts before and after removing figurines. Non-figurine objects at Vogelherd (tools, plaquettes, etc.) are retained.</w:t>
            </w:r>
          </w:p>
          <w:bookmarkEnd w:id="241"/>
        </w:tc>
      </w:tr>
    </w:tbl>
    <w:bookmarkEnd w:id="242"/>
    <w:bookmarkStart w:id="243" w:name="interpretation-8"/>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243"/>
    <w:bookmarkEnd w:id="244"/>
    <w:bookmarkStart w:id="246"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245"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33: Side-by-side comparison of network statistics across all conditions: baseline (all objects), exclude all figurines, and exclude Vogelherd figurines only. The rightmost columns show the percentage change in mean degree from baseline.</w:t>
            </w:r>
          </w:p>
          <w:bookmarkEnd w:id="245"/>
        </w:tc>
      </w:tr>
    </w:tbl>
    <w:bookmarkEnd w:id="246"/>
    <w:bookmarkStart w:id="248"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33</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47"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34: Mean degree by figurine-exclusion condition, with percentage change from baseline. Reproduced directly from the joint comparison in</w:t>
            </w:r>
            <w:r>
              <w:t xml:space="preserve"> </w:t>
            </w:r>
            <w:hyperlink w:anchor="tbl-objtype-joint">
              <w:r>
                <w:rPr>
                  <w:rStyle w:val="Hyperlink"/>
                </w:rPr>
                <w:t xml:space="preserve">Table 33</w:t>
              </w:r>
            </w:hyperlink>
            <w:r>
              <w:t xml:space="preserve">.</w:t>
            </w:r>
          </w:p>
          <w:bookmarkEnd w:id="247"/>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[16]</w:t>
      </w:r>
      <w:r>
        <w:t xml:space="preserve"> </w:t>
      </w:r>
      <w:r>
        <w:t xml:space="preserve">argument that figurines carry high-information sign sequences, but the communities themselves are defined by shared sign types across all object types.</w:t>
      </w:r>
    </w:p>
    <w:bookmarkEnd w:id="248"/>
    <w:bookmarkEnd w:id="249"/>
    <w:bookmarkStart w:id="257" w:name="sec-s8"/>
    <w:p>
      <w:pPr>
        <w:pStyle w:val="Heading1"/>
      </w:pPr>
      <w:r>
        <w:t xml:space="preserve">S8. Site Reclassification Sensitivity Analysis</w:t>
      </w:r>
    </w:p>
    <w:bookmarkStart w:id="250"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7"/>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[17,18]</w:t>
      </w:r>
      <w:r>
        <w:t xml:space="preserve">. The site is classified as Aurignacian I (Early) in the Périgord sequence.</w:t>
      </w:r>
    </w:p>
    <w:p>
      <w:pPr>
        <w:numPr>
          <w:ilvl w:val="0"/>
          <w:numId w:val="1007"/>
        </w:numPr>
        <w:pStyle w:val="Compact"/>
      </w:pPr>
      <w:r>
        <w:rPr>
          <w:bCs/>
          <w:b/>
        </w:rPr>
        <w:t xml:space="preserve">La Ferrassie</w:t>
      </w:r>
      <w:r>
        <w:t xml:space="preserve">: The Aurignacian at La Ferrassie begins in Layer 7, directly overlying the Châtelperronian (Layer 6).</w:t>
      </w:r>
      <w:r>
        <w:t xml:space="preserve"> </w:t>
      </w:r>
      <w:r>
        <w:t xml:space="preserve">[19]</w:t>
      </w:r>
      <w:r>
        <w:t xml:space="preserve"> </w:t>
      </w:r>
      <w:r>
        <w:t xml:space="preserve">classify this as Early Aurignacian (Aur-P1) based on carinated scrapers and wide Aurignacian blades. No split-base bone points (Proto-Aurignacian diagnostic) were found</w:t>
      </w:r>
      <w:r>
        <w:t xml:space="preserve"> </w:t>
      </w:r>
      <w:r>
        <w:t xml:space="preserve">[19,20]</w:t>
      </w:r>
      <w:r>
        <w:t xml:space="preserve">. Layer 7b has mixed Early/Recent Aurignacian components.</w:t>
      </w:r>
    </w:p>
    <w:p>
      <w:pPr>
        <w:numPr>
          <w:ilvl w:val="0"/>
          <w:numId w:val="1007"/>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[21]</w:t>
      </w:r>
      <w:r>
        <w:t xml:space="preserve">. Direct dates of ~31 ka ¹⁴C BP (~35–36 cal BP) are too young for Proto-Aurignacian</w:t>
      </w:r>
      <w:r>
        <w:t xml:space="preserve"> </w:t>
      </w:r>
      <w:r>
        <w:t xml:space="preserve">[22]</w:t>
      </w:r>
      <w:r>
        <w:t xml:space="preserve">.</w:t>
      </w:r>
    </w:p>
    <w:p>
      <w:pPr>
        <w:numPr>
          <w:ilvl w:val="0"/>
          <w:numId w:val="1007"/>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[23]</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250"/>
    <w:bookmarkStart w:id="253"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251"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35: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251"/>
        </w:tc>
      </w:tr>
    </w:tbl>
    <w:bookmarkStart w:id="252"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[22]</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252"/>
    <w:bookmarkEnd w:id="253"/>
    <w:bookmarkStart w:id="255"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54"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36: Mean degree by phase under each reassignment condition. The Aur-P1 &gt; Aur-P2 ordering is preserved under every condition.</w:t>
            </w:r>
          </w:p>
          <w:bookmarkEnd w:id="254"/>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255"/>
    <w:bookmarkStart w:id="256"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and bootstrap consensus (S5, S6) , is defined within each phase’s membership and is unaffected by the between-phase assignment criterion tested here. The stochastic block model (S6.3) does not recover this dichotomy (single block selected under both emission models), consistent with the small size and sparsity of the sign-sharing networks falling below the detectability limit for block structure.</w:t>
      </w:r>
    </w:p>
    <w:bookmarkEnd w:id="256"/>
    <w:bookmarkEnd w:id="257"/>
    <w:bookmarkStart w:id="355"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five specific questions:</w:t>
      </w:r>
    </w:p>
    <w:p>
      <w:pPr>
        <w:numPr>
          <w:ilvl w:val="0"/>
          <w:numId w:val="1008"/>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08"/>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08"/>
        </w:numPr>
        <w:pStyle w:val="Compact"/>
      </w:pPr>
      <w:r>
        <w:rPr>
          <w:bCs/>
          <w:b/>
        </w:rPr>
        <w:t xml:space="preserve">(S9.4)</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08"/>
        </w:numPr>
        <w:pStyle w:val="Compact"/>
      </w:pPr>
      <w:r>
        <w:rPr>
          <w:bCs/>
          <w:b/>
        </w:rPr>
        <w:t xml:space="preserve">(S9.5)</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08"/>
        </w:numPr>
        <w:pStyle w:val="Compact"/>
      </w:pPr>
      <w:r>
        <w:rPr>
          <w:bCs/>
          <w:b/>
        </w:rPr>
        <w:t xml:space="preserve">(S9.6)</w:t>
      </w:r>
      <w:r>
        <w:t xml:space="preserve"> </w:t>
      </w:r>
      <w:r>
        <w:t xml:space="preserve">Taken together, is the R/B division independent of sampling intensity, and if not, what limitation must be stated?</w:t>
      </w:r>
    </w:p>
    <w:p>
      <w:pPr>
        <w:numPr>
          <w:ilvl w:val="0"/>
          <w:numId w:val="1008"/>
        </w:numPr>
        <w:pStyle w:val="Compact"/>
      </w:pPr>
      <w:r>
        <w:rPr>
          <w:bCs/>
          <w:b/>
        </w:rPr>
        <w:t xml:space="preserve">(S9.7)</w:t>
      </w:r>
      <w:r>
        <w:t xml:space="preserve"> </w:t>
      </w:r>
      <w:r>
        <w:t xml:space="preserve">Does the restricted/broad pattern survive richness-preserving nulls, and does the manual-group PerMANOVA hold on Simpson turnover dissimilarity, which removes the nestedness component of Jaccard?</w:t>
      </w:r>
    </w:p>
    <w:bookmarkStart w:id="265" w:name="sec-s9-1"/>
    <w:p>
      <w:pPr>
        <w:pStyle w:val="Heading2"/>
      </w:pPr>
      <w:r>
        <w:t xml:space="preserve">S9.1 Object-count distribution and feasible common counts</w:t>
      </w:r>
    </w:p>
    <w:bookmarkStart w:id="263" w:name="rationale-11"/>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following the reviewer’s suggestion,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258"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37: Per-site object counts by phase and manual restricted(1)/broad(2) group. The reviewer notes the strong Spearman correlation (ρ = 0.86) between object count and sign-type richness across sites.</w:t>
            </w:r>
          </w:p>
          <w:bookmarkEnd w:id="258"/>
        </w:tc>
      </w:tr>
    </w:tbl>
    <w:tbl>
      <w:tblPr>
        <w:tblStyle w:val="Table"/>
        <w:tblW w:type="pct" w:w="5000"/>
        <w:tblLook w:firstRow="0" w:lastRow="0" w:firstColumn="0" w:lastColumn="0" w:noHBand="0" w:noVBand="0" w:val="0000"/>
        <w:jc w:val="start"/>
        <w:tblLayout w:type="fixed"/>
      </w:tblPr>
      <w:tblGrid>
        <w:gridCol w:w="7920"/>
      </w:tblGrid>
      <w:tr>
        <w:tc>
          <w:tcPr/>
          <w:bookmarkStart w:id="262" w:name="fig-s9-objhist"/>
          <w:p>
            <w:pPr>
              <w:pStyle w:val="Compact"/>
              <w:jc w:val="center"/>
            </w:pPr>
            <w:r>
              <w:drawing>
                <wp:inline>
                  <wp:extent cx="5943600" cy="2971800"/>
                  <wp:effectExtent b="0" l="0" r="0" t="0"/>
                  <wp:docPr descr="" title="" id="260" name="Picture"/>
                  <a:graphic>
                    <a:graphicData uri="http://schemas.openxmlformats.org/drawingml/2006/picture">
                      <pic:pic>
                        <pic:nvPicPr>
                          <pic:cNvPr descr="S1-supplement-sensitivity_files/figure-docx/fig-s9-objhist-1.png" id="261" name="Picture"/>
                          <pic:cNvPicPr>
                            <a:picLocks noChangeArrowheads="1" noChangeAspect="1"/>
                          </pic:cNvPicPr>
                        </pic:nvPicPr>
                        <pic:blipFill>
                          <a:blip r:embed="rId25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object counts per site by phase. Most sites contribute few objects; a small number of large assemblages (e.g. Vogelherd) dominate the upper tail.</w:t>
            </w:r>
          </w:p>
          <w:bookmarkEnd w:id="262"/>
        </w:tc>
      </w:tr>
    </w:tbl>
    <w:bookmarkEnd w:id="263"/>
    <w:bookmarkStart w:id="264" w:name="interpretation-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64"/>
    <w:bookmarkEnd w:id="265"/>
    <w:bookmarkStart w:id="274" w:name="sec-s9-2"/>
    <w:p>
      <w:pPr>
        <w:pStyle w:val="Heading2"/>
      </w:pPr>
      <w:r>
        <w:t xml:space="preserve">S9.2 Object-level downsampling sensitivity</w:t>
      </w:r>
    </w:p>
    <w:bookmarkStart w:id="272" w:name="rationale-12"/>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66"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38: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67"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39: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67"/>
        </w:tc>
      </w:tr>
    </w:tbl>
    <w:tbl>
      <w:tblPr>
        <w:tblStyle w:val="Table"/>
        <w:tblW w:type="pct" w:w="5000"/>
        <w:tblLook w:firstRow="0" w:lastRow="0" w:firstColumn="0" w:lastColumn="0" w:noHBand="0" w:noVBand="0" w:val="0000"/>
        <w:jc w:val="start"/>
        <w:tblLayout w:type="fixed"/>
      </w:tblPr>
      <w:tblGrid>
        <w:gridCol w:w="7920"/>
      </w:tblGrid>
      <w:tr>
        <w:tc>
          <w:tcPr/>
          <w:bookmarkStart w:id="271" w:name="fig-s9-retention"/>
          <w:p>
            <w:pPr>
              <w:pStyle w:val="Compact"/>
              <w:jc w:val="center"/>
            </w:pPr>
            <w:r>
              <w:drawing>
                <wp:inline>
                  <wp:extent cx="5943600" cy="5943600"/>
                  <wp:effectExtent b="0" l="0" r="0" t="0"/>
                  <wp:docPr descr="" title="" id="269" name="Picture"/>
                  <a:graphic>
                    <a:graphicData uri="http://schemas.openxmlformats.org/drawingml/2006/picture">
                      <pic:pic>
                        <pic:nvPicPr>
                          <pic:cNvPr descr="S1-supplement-sensitivity_files/figure-docx/fig-s9-retention-1.png" id="270" name="Picture"/>
                          <pic:cNvPicPr>
                            <a:picLocks noChangeArrowheads="1" noChangeAspect="1"/>
                          </pic:cNvPicPr>
                        </pic:nvPicPr>
                        <pic:blipFill>
                          <a:blip r:embed="rId26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71"/>
        </w:tc>
      </w:tr>
    </w:tbl>
    <w:bookmarkEnd w:id="272"/>
    <w:bookmarkStart w:id="273" w:name="interpretation-1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73"/>
    <w:bookmarkEnd w:id="274"/>
    <w:bookmarkStart w:id="282" w:name="sec-s9-3"/>
    <w:p>
      <w:pPr>
        <w:pStyle w:val="Heading2"/>
      </w:pPr>
      <w:r>
        <w:t xml:space="preserve">S9.3 Coverage-based rarefaction</w:t>
      </w:r>
    </w:p>
    <w:bookmarkStart w:id="280" w:name="rationale-13"/>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The reviewer’s preferred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75" w:name="tbl-s9-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40: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75"/>
        </w:tc>
      </w:tr>
    </w:tbl>
    <w:tbl>
      <w:tblPr>
        <w:tblStyle w:val="Table"/>
        <w:tblW w:type="pct" w:w="5000"/>
        <w:tblLook w:firstRow="0" w:lastRow="0" w:firstColumn="0" w:lastColumn="0" w:noHBand="0" w:noVBand="0" w:val="0000"/>
        <w:jc w:val="start"/>
        <w:tblLayout w:type="fixed"/>
      </w:tblPr>
      <w:tblGrid>
        <w:gridCol w:w="7920"/>
      </w:tblGrid>
      <w:tr>
        <w:tc>
          <w:tcPr/>
          <w:bookmarkStart w:id="279" w:name="fig-s9-rarefaction"/>
          <w:p>
            <w:pPr>
              <w:pStyle w:val="Compact"/>
              <w:jc w:val="center"/>
            </w:pPr>
            <w:r>
              <w:drawing>
                <wp:inline>
                  <wp:extent cx="5943600" cy="3396342"/>
                  <wp:effectExtent b="0" l="0" r="0" t="0"/>
                  <wp:docPr descr="" title="" id="277" name="Picture"/>
                  <a:graphic>
                    <a:graphicData uri="http://schemas.openxmlformats.org/drawingml/2006/picture">
                      <pic:pic>
                        <pic:nvPicPr>
                          <pic:cNvPr descr="S1-supplement-sensitivity_files/figure-docx/fig-s9-rarefaction-1.png" id="278" name="Picture"/>
                          <pic:cNvPicPr>
                            <a:picLocks noChangeArrowheads="1" noChangeAspect="1"/>
                          </pic:cNvPicPr>
                        </pic:nvPicPr>
                        <pic:blipFill>
                          <a:blip r:embed="rId276"/>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Sign-type richness estimated at target coverage = 0.9 with 95% confidence intervals, by manual group, for sites that reach that coverage. Restricted sites (green) that attain high coverage remain low-richness; broad sites (red) remain high-richness.</w:t>
            </w:r>
          </w:p>
          <w:bookmarkEnd w:id="279"/>
        </w:tc>
      </w:tr>
    </w:tbl>
    <w:bookmarkEnd w:id="280"/>
    <w:bookmarkStart w:id="281" w:name="interpretation-1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 S9.2, approached from the richness axis.</w:t>
      </w:r>
    </w:p>
    <w:bookmarkEnd w:id="281"/>
    <w:bookmarkEnd w:id="282"/>
    <w:bookmarkStart w:id="286" w:name="sec-s9-4"/>
    <w:p>
      <w:pPr>
        <w:pStyle w:val="Heading2"/>
      </w:pPr>
      <w:r>
        <w:t xml:space="preserve">S9.4 Negative-binomial regression with object-count covariate</w:t>
      </w:r>
    </w:p>
    <w:bookmarkStart w:id="284" w:name="rationale-14"/>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283" w:name="tbl-s9-mixed"/>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41: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83"/>
        </w:tc>
      </w:tr>
    </w:tbl>
    <w:bookmarkEnd w:id="284"/>
    <w:bookmarkStart w:id="285" w:name="interpretation-1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 S9.3,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85"/>
    <w:bookmarkEnd w:id="286"/>
    <w:bookmarkStart w:id="294" w:name="sec-s9-5"/>
    <w:p>
      <w:pPr>
        <w:pStyle w:val="Heading2"/>
      </w:pPr>
      <w:r>
        <w:t xml:space="preserve">S9.5 Equal-effort pool comparison (iNEXT)</w:t>
      </w:r>
    </w:p>
    <w:bookmarkStart w:id="292" w:name="rationale-15"/>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287" w:name="tbl-s9-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42: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87"/>
        </w:tc>
      </w:tr>
    </w:tbl>
    <w:tbl>
      <w:tblPr>
        <w:tblStyle w:val="Table"/>
        <w:tblW w:type="pct" w:w="5000"/>
        <w:tblLook w:firstRow="0" w:lastRow="0" w:firstColumn="0" w:lastColumn="0" w:noHBand="0" w:noVBand="0" w:val="0000"/>
        <w:jc w:val="start"/>
        <w:tblLayout w:type="fixed"/>
      </w:tblPr>
      <w:tblGrid>
        <w:gridCol w:w="7920"/>
      </w:tblGrid>
      <w:tr>
        <w:tc>
          <w:tcPr/>
          <w:bookmarkStart w:id="291" w:name="fig-s9-pool-inext"/>
          <w:p>
            <w:pPr>
              <w:pStyle w:val="Compact"/>
              <w:jc w:val="center"/>
            </w:pPr>
            <w:r>
              <w:drawing>
                <wp:inline>
                  <wp:extent cx="5943600" cy="3566160"/>
                  <wp:effectExtent b="0" l="0" r="0" t="0"/>
                  <wp:docPr descr="" title="" id="289" name="Picture"/>
                  <a:graphic>
                    <a:graphicData uri="http://schemas.openxmlformats.org/drawingml/2006/picture">
                      <pic:pic>
                        <pic:nvPicPr>
                          <pic:cNvPr descr="S1-supplement-sensitivity_files/figure-docx/fig-s9-pool-inext-1.png" id="290" name="Picture"/>
                          <pic:cNvPicPr>
                            <a:picLocks noChangeArrowheads="1" noChangeAspect="1"/>
                          </pic:cNvPicPr>
                        </pic:nvPicPr>
                        <pic:blipFill>
                          <a:blip r:embed="rId28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91"/>
        </w:tc>
      </w:tr>
    </w:tbl>
    <w:bookmarkEnd w:id="292"/>
    <w:bookmarkStart w:id="293" w:name="interpretation-1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 This reproduces the reviewer’s direct resampling of 63 objects from the 346 Aur-P1 objects (expected 16.7, interval 13–20). The phase coefficient in S9.4 at equal object count is also non-significant (rate ratio 1.27, p = 0.462 in the reviewer’s re-run).</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293"/>
    <w:bookmarkEnd w:id="294"/>
    <w:bookmarkStart w:id="295" w:name="sec-s9-6"/>
    <w:p>
      <w:pPr>
        <w:pStyle w:val="Heading2"/>
      </w:pPr>
      <w:r>
        <w:t xml:space="preserve">S9.6 Synthesis and limitation</w:t>
      </w:r>
    </w:p>
    <w:p>
      <w:pPr>
        <w:pStyle w:val="FirstParagraph"/>
      </w:pPr>
      <w:r>
        <w:t xml:space="preserve">The four object-level analyses converge on a single conclusion. (1) Under object-downsampling, only the best-sampled sites retain their R/B assignment; small-object sites flip group at rates indistinguishable from chance, and network modularity collapses (S9.2). (2) Coverage-based rarefaction shows the broad/restricted contrast persists among the sites assessable at equal coverage, but the majority of the smallest sites never reach a comparable coverage, so the method cannot vindicate them (S9.3). (3) The offset model’s null group effect was a property of fixing the richness-effort exponent at 1; with the exponent estimated, the group contrast persists, so the gap is not distinguishable from a genuine group difference at saturating effort (S9.4). (4) At equal effort with</w:t>
      </w:r>
      <w:r>
        <w:t xml:space="preserve"> </w:t>
      </w:r>
      <w:r>
        <w:rPr>
          <w:rStyle w:val="VerbatimChar"/>
        </w:rPr>
        <w:t xml:space="preserve">iNEXT</w:t>
      </w:r>
      <w:r>
        <w:t xml:space="preserve">, the Aur-P1 vs Aur-P2 sign-type pool difference lies inside sampling variation, even when restricted to shared object types (S9.5). (5) Under fixed margins the Jaccard group separation is not distinguished from richness structure alone (Aur-P1 exceeds object-sampling expectation; Aur-P2 does not), while Simpson turnover dissimilarity shows no group separation in either phase (S9.7).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95"/>
    <w:bookmarkStart w:id="299" w:name="sec-s9-7"/>
    <w:p>
      <w:pPr>
        <w:pStyle w:val="Heading2"/>
      </w:pPr>
      <w:r>
        <w:t xml:space="preserve">S9.7 Simpson-dissimilarity group test and richness-preserving nulls</w:t>
      </w:r>
    </w:p>
    <w:bookmarkStart w:id="297" w:name="rationale-16"/>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96" w:name="tbl-s9-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43: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96"/>
        </w:tc>
      </w:tr>
    </w:tbl>
    <w:bookmarkEnd w:id="297"/>
    <w:bookmarkStart w:id="298" w:name="interpretation-14"/>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 S9.3 and the free-slope S9.4: the groups differ in how much they contain at comparable effort, not in turnover-independent composition. The division should accordingly be read as a richness axis whose separation from sampling effort is not demonstrated for small-object sites.</w:t>
      </w:r>
    </w:p>
    <w:bookmarkEnd w:id="298"/>
    <w:bookmarkEnd w:id="299"/>
    <w:bookmarkStart w:id="354" w:name="references-cited"/>
    <w:p>
      <w:pPr>
        <w:pStyle w:val="Heading2"/>
      </w:pPr>
      <w:r>
        <w:t xml:space="preserve">References cited</w:t>
      </w:r>
    </w:p>
    <w:bookmarkStart w:id="353" w:name="refs"/>
    <w:bookmarkStart w:id="301"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00">
        <w:r>
          <w:rPr>
            <w:rStyle w:val="Hyperlink"/>
          </w:rPr>
          <w:t xml:space="preserve">https://doi.org/10.1016/j.quascirev.2021.106995</w:t>
        </w:r>
      </w:hyperlink>
      <w:r>
        <w:t xml:space="preserve">.</w:t>
      </w:r>
    </w:p>
    <w:bookmarkEnd w:id="301"/>
    <w:bookmarkStart w:id="303"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2">
        <w:r>
          <w:rPr>
            <w:rStyle w:val="Hyperlink"/>
          </w:rPr>
          <w:t xml:space="preserve">https://doi.org/10.1007/s41982-017-0004-4</w:t>
        </w:r>
      </w:hyperlink>
      <w:r>
        <w:t xml:space="preserve">.</w:t>
      </w:r>
    </w:p>
    <w:bookmarkEnd w:id="303"/>
    <w:bookmarkStart w:id="305" w:name="ref-Blondel_2008"/>
    <w:p>
      <w:pPr>
        <w:pStyle w:val="Bibliography"/>
      </w:pPr>
      <w:r>
        <w:t xml:space="preserve">[3]</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04">
        <w:r>
          <w:rPr>
            <w:rStyle w:val="Hyperlink"/>
          </w:rPr>
          <w:t xml:space="preserve">https://doi.org/10.1088/1742-5468/2008/10/P10008</w:t>
        </w:r>
      </w:hyperlink>
      <w:r>
        <w:t xml:space="preserve">.</w:t>
      </w:r>
    </w:p>
    <w:bookmarkEnd w:id="305"/>
    <w:bookmarkStart w:id="307" w:name="ref-newman2004finding"/>
    <w:p>
      <w:pPr>
        <w:pStyle w:val="Bibliography"/>
      </w:pPr>
      <w:r>
        <w:t xml:space="preserve">[4]</w:t>
      </w:r>
      <w:r>
        <w:t xml:space="preserve"> </w:t>
      </w:r>
      <w:r>
        <w:t xml:space="preserve">	</w:t>
      </w:r>
      <w:r>
        <w:t xml:space="preserve">Newman ME, Girvan M. Finding and evaluating community structure in networks. Physical Review E 2004;69:026113.</w:t>
      </w:r>
      <w:r>
        <w:t xml:space="preserve"> </w:t>
      </w:r>
      <w:hyperlink r:id="rId306">
        <w:r>
          <w:rPr>
            <w:rStyle w:val="Hyperlink"/>
          </w:rPr>
          <w:t xml:space="preserve">https://doi.org/10.1103/PhysRevE.69.026113</w:t>
        </w:r>
      </w:hyperlink>
      <w:r>
        <w:t xml:space="preserve">.</w:t>
      </w:r>
    </w:p>
    <w:bookmarkEnd w:id="307"/>
    <w:bookmarkStart w:id="309" w:name="ref-Roberts_2021"/>
    <w:p>
      <w:pPr>
        <w:pStyle w:val="Bibliography"/>
      </w:pPr>
      <w:r>
        <w:t xml:space="preserve">[5]</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08">
        <w:r>
          <w:rPr>
            <w:rStyle w:val="Hyperlink"/>
          </w:rPr>
          <w:t xml:space="preserve">https://doi.org/10.1016/j.socnet.2020.11.005</w:t>
        </w:r>
      </w:hyperlink>
      <w:r>
        <w:t xml:space="preserve">.</w:t>
      </w:r>
    </w:p>
    <w:bookmarkEnd w:id="309"/>
    <w:bookmarkStart w:id="311" w:name="ref-Clarke_Rothery_Raybould_2002"/>
    <w:p>
      <w:pPr>
        <w:pStyle w:val="Bibliography"/>
      </w:pPr>
      <w:r>
        <w:t xml:space="preserve">[6]</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10">
        <w:r>
          <w:rPr>
            <w:rStyle w:val="Hyperlink"/>
          </w:rPr>
          <w:t xml:space="preserve">https://doi.org/10.1198/108571102320</w:t>
        </w:r>
      </w:hyperlink>
      <w:r>
        <w:t xml:space="preserve">.</w:t>
      </w:r>
    </w:p>
    <w:bookmarkEnd w:id="311"/>
    <w:bookmarkStart w:id="313" w:name="ref-Lichstein_2007"/>
    <w:p>
      <w:pPr>
        <w:pStyle w:val="Bibliography"/>
      </w:pPr>
      <w:r>
        <w:t xml:space="preserve">[7]</w:t>
      </w:r>
      <w:r>
        <w:t xml:space="preserve"> </w:t>
      </w:r>
      <w:r>
        <w:t xml:space="preserve">	</w:t>
      </w:r>
      <w:r>
        <w:t xml:space="preserve">Lichstein JW. Multiple regression on distance matrices: A multivariate spatial analysis tool. Plant Ecology 2007;188:117–31.</w:t>
      </w:r>
      <w:r>
        <w:t xml:space="preserve"> </w:t>
      </w:r>
      <w:hyperlink r:id="rId312">
        <w:r>
          <w:rPr>
            <w:rStyle w:val="Hyperlink"/>
          </w:rPr>
          <w:t xml:space="preserve">https://doi.org/10.1007/s11258-006-9126-3</w:t>
        </w:r>
      </w:hyperlink>
      <w:r>
        <w:t xml:space="preserve">.</w:t>
      </w:r>
    </w:p>
    <w:bookmarkEnd w:id="313"/>
    <w:bookmarkStart w:id="315" w:name="ref-Goslee_Urban_2007"/>
    <w:p>
      <w:pPr>
        <w:pStyle w:val="Bibliography"/>
      </w:pPr>
      <w:r>
        <w:t xml:space="preserve">[8]</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14">
        <w:r>
          <w:rPr>
            <w:rStyle w:val="Hyperlink"/>
          </w:rPr>
          <w:t xml:space="preserve">https://doi.org/10.18637/jss.v022.i07</w:t>
        </w:r>
      </w:hyperlink>
      <w:r>
        <w:t xml:space="preserve">.</w:t>
      </w:r>
    </w:p>
    <w:bookmarkEnd w:id="315"/>
    <w:bookmarkStart w:id="317" w:name="ref-Monti_2003"/>
    <w:p>
      <w:pPr>
        <w:pStyle w:val="Bibliography"/>
      </w:pPr>
      <w:r>
        <w:t xml:space="preserve">[9]</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16">
        <w:r>
          <w:rPr>
            <w:rStyle w:val="Hyperlink"/>
          </w:rPr>
          <w:t xml:space="preserve">https://doi.org/10.1023/A:1023949509487</w:t>
        </w:r>
      </w:hyperlink>
      <w:r>
        <w:t xml:space="preserve">.</w:t>
      </w:r>
    </w:p>
    <w:bookmarkEnd w:id="317"/>
    <w:bookmarkStart w:id="319" w:name="ref-Leger_2016"/>
    <w:p>
      <w:pPr>
        <w:pStyle w:val="Bibliography"/>
      </w:pPr>
      <w:r>
        <w:t xml:space="preserve">[10]</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18">
        <w:r>
          <w:rPr>
            <w:rStyle w:val="Hyperlink"/>
          </w:rPr>
          <w:t xml:space="preserve">https://doi.org/10.48550/arXiv.1602.07587</w:t>
        </w:r>
      </w:hyperlink>
      <w:r>
        <w:t xml:space="preserve">.</w:t>
      </w:r>
    </w:p>
    <w:bookmarkEnd w:id="319"/>
    <w:bookmarkStart w:id="321" w:name="ref-Hubert_Arabie_1985"/>
    <w:p>
      <w:pPr>
        <w:pStyle w:val="Bibliography"/>
      </w:pPr>
      <w:r>
        <w:t xml:space="preserve">[11]</w:t>
      </w:r>
      <w:r>
        <w:t xml:space="preserve"> </w:t>
      </w:r>
      <w:r>
        <w:t xml:space="preserve">	</w:t>
      </w:r>
      <w:r>
        <w:t xml:space="preserve">Hubert L, Arabie P. Comparing partitions. Journal of Classification 1985;2:193–218.</w:t>
      </w:r>
      <w:r>
        <w:t xml:space="preserve"> </w:t>
      </w:r>
      <w:hyperlink r:id="rId320">
        <w:r>
          <w:rPr>
            <w:rStyle w:val="Hyperlink"/>
          </w:rPr>
          <w:t xml:space="preserve">https://doi.org/10.1007/BF01908075</w:t>
        </w:r>
      </w:hyperlink>
      <w:r>
        <w:t xml:space="preserve">.</w:t>
      </w:r>
    </w:p>
    <w:bookmarkEnd w:id="321"/>
    <w:bookmarkStart w:id="323" w:name="ref-Gao_Bien_Witten_2022"/>
    <w:p>
      <w:pPr>
        <w:pStyle w:val="Bibliography"/>
      </w:pPr>
      <w:r>
        <w:t xml:space="preserve">[12]</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22">
        <w:r>
          <w:rPr>
            <w:rStyle w:val="Hyperlink"/>
          </w:rPr>
          <w:t xml:space="preserve">https://doi.org/10.1080/01621459.2022.2116331</w:t>
        </w:r>
      </w:hyperlink>
      <w:r>
        <w:t xml:space="preserve">.</w:t>
      </w:r>
    </w:p>
    <w:bookmarkEnd w:id="323"/>
    <w:bookmarkStart w:id="325" w:name="ref-Neufeld_2024"/>
    <w:p>
      <w:pPr>
        <w:pStyle w:val="Bibliography"/>
      </w:pPr>
      <w:r>
        <w:t xml:space="preserve">[13]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24">
        <w:r>
          <w:rPr>
            <w:rStyle w:val="Hyperlink"/>
          </w:rPr>
          <w:t xml:space="preserve">https://doi.org/10.1093/biostatistics/kxac047</w:t>
        </w:r>
      </w:hyperlink>
      <w:r>
        <w:t xml:space="preserve">.</w:t>
      </w:r>
    </w:p>
    <w:bookmarkEnd w:id="325"/>
    <w:bookmarkStart w:id="327" w:name="ref-Brown_1975"/>
    <w:p>
      <w:pPr>
        <w:pStyle w:val="Bibliography"/>
      </w:pPr>
      <w:r>
        <w:t xml:space="preserve">[14]</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26">
        <w:r>
          <w:rPr>
            <w:rStyle w:val="Hyperlink"/>
          </w:rPr>
          <w:t xml:space="preserve">https://doi.org/10.2307/2529826</w:t>
        </w:r>
      </w:hyperlink>
      <w:r>
        <w:t xml:space="preserve">.</w:t>
      </w:r>
    </w:p>
    <w:bookmarkEnd w:id="327"/>
    <w:bookmarkStart w:id="329" w:name="ref-Poole_2016"/>
    <w:p>
      <w:pPr>
        <w:pStyle w:val="Bibliography"/>
      </w:pPr>
      <w:r>
        <w:t xml:space="preserve">[15]</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28">
        <w:r>
          <w:rPr>
            <w:rStyle w:val="Hyperlink"/>
          </w:rPr>
          <w:t xml:space="preserve">https://doi.org/10.1093/bioinformatics/btw438</w:t>
        </w:r>
      </w:hyperlink>
      <w:r>
        <w:t xml:space="preserve">.</w:t>
      </w:r>
    </w:p>
    <w:bookmarkEnd w:id="329"/>
    <w:bookmarkStart w:id="331" w:name="ref-Bentz_Dutkiewicz_2026"/>
    <w:p>
      <w:pPr>
        <w:pStyle w:val="Bibliography"/>
      </w:pPr>
      <w:r>
        <w:t xml:space="preserve">[16]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30">
        <w:r>
          <w:rPr>
            <w:rStyle w:val="Hyperlink"/>
          </w:rPr>
          <w:t xml:space="preserve">https://doi.org/10.1073/pnas.2520385123</w:t>
        </w:r>
      </w:hyperlink>
      <w:r>
        <w:t xml:space="preserve">.</w:t>
      </w:r>
    </w:p>
    <w:bookmarkEnd w:id="331"/>
    <w:bookmarkStart w:id="333" w:name="ref-Chiotti_2005"/>
    <w:p>
      <w:pPr>
        <w:pStyle w:val="Bibliography"/>
      </w:pPr>
      <w:r>
        <w:t xml:space="preserve">[17]</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32">
        <w:r>
          <w:rPr>
            <w:rStyle w:val="Hyperlink"/>
          </w:rPr>
          <w:t xml:space="preserve">https://doi.org/10.30861/9781841718309</w:t>
        </w:r>
      </w:hyperlink>
      <w:r>
        <w:t xml:space="preserve">.</w:t>
      </w:r>
    </w:p>
    <w:bookmarkEnd w:id="333"/>
    <w:bookmarkStart w:id="335" w:name="ref-Higham_Abri_Pataud_2011"/>
    <w:p>
      <w:pPr>
        <w:pStyle w:val="Bibliography"/>
      </w:pPr>
      <w:r>
        <w:t xml:space="preserve">[18]</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34">
        <w:r>
          <w:rPr>
            <w:rStyle w:val="Hyperlink"/>
          </w:rPr>
          <w:t xml:space="preserve">https://doi.org/10.1016/j.jhevol.2011.06.005</w:t>
        </w:r>
      </w:hyperlink>
      <w:r>
        <w:t xml:space="preserve">.</w:t>
      </w:r>
    </w:p>
    <w:bookmarkEnd w:id="335"/>
    <w:bookmarkStart w:id="337" w:name="ref-Talamo_La_Ferrassie_2020"/>
    <w:p>
      <w:pPr>
        <w:pStyle w:val="Bibliography"/>
      </w:pPr>
      <w:r>
        <w:t xml:space="preserve">[19]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36">
        <w:r>
          <w:rPr>
            <w:rStyle w:val="Hyperlink"/>
          </w:rPr>
          <w:t xml:space="preserve">https://doi.org/10.1002/jqs.3236</w:t>
        </w:r>
      </w:hyperlink>
      <w:r>
        <w:t xml:space="preserve">.</w:t>
      </w:r>
    </w:p>
    <w:bookmarkEnd w:id="337"/>
    <w:bookmarkStart w:id="338" w:name="ref-Delporte_1984_Ferrassie"/>
    <w:p>
      <w:pPr>
        <w:pStyle w:val="Bibliography"/>
      </w:pPr>
      <w:r>
        <w:t xml:space="preserve">[20]</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38"/>
    <w:bookmarkStart w:id="340" w:name="ref-Oliva_2006"/>
    <w:p>
      <w:pPr>
        <w:pStyle w:val="Bibliography"/>
      </w:pPr>
      <w:r>
        <w:t xml:space="preserve">[21]</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39">
        <w:r>
          <w:rPr>
            <w:rStyle w:val="Hyperlink"/>
          </w:rPr>
          <w:t xml:space="preserve">https://doi.org/10.1007/978-3-211-49294-9_4</w:t>
        </w:r>
      </w:hyperlink>
      <w:r>
        <w:t xml:space="preserve">.</w:t>
      </w:r>
    </w:p>
    <w:bookmarkEnd w:id="340"/>
    <w:bookmarkStart w:id="342" w:name="ref-Wild_et_al_2005"/>
    <w:p>
      <w:pPr>
        <w:pStyle w:val="Bibliography"/>
      </w:pPr>
      <w:r>
        <w:t xml:space="preserve">[22]</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41">
        <w:r>
          <w:rPr>
            <w:rStyle w:val="Hyperlink"/>
          </w:rPr>
          <w:t xml:space="preserve">https://doi.org/10.1038/nature03585</w:t>
        </w:r>
      </w:hyperlink>
      <w:r>
        <w:t xml:space="preserve">.</w:t>
      </w:r>
    </w:p>
    <w:bookmarkEnd w:id="342"/>
    <w:bookmarkStart w:id="344" w:name="ref-Schurch_Conard_2026_reassess"/>
    <w:p>
      <w:pPr>
        <w:pStyle w:val="Bibliography"/>
      </w:pPr>
      <w:r>
        <w:t xml:space="preserve">[23]</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43">
        <w:r>
          <w:rPr>
            <w:rStyle w:val="Hyperlink"/>
          </w:rPr>
          <w:t xml:space="preserve">https://doi.org/10.1007/s41982-025-00246-x</w:t>
        </w:r>
      </w:hyperlink>
      <w:r>
        <w:t xml:space="preserve">.</w:t>
      </w:r>
    </w:p>
    <w:bookmarkEnd w:id="344"/>
    <w:bookmarkStart w:id="346"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45">
        <w:r>
          <w:rPr>
            <w:rStyle w:val="Hyperlink"/>
          </w:rPr>
          <w:t xml:space="preserve">https://doi.org/10.1890/11-1952.1</w:t>
        </w:r>
      </w:hyperlink>
      <w:r>
        <w:t xml:space="preserve">.</w:t>
      </w:r>
    </w:p>
    <w:bookmarkEnd w:id="346"/>
    <w:bookmarkStart w:id="348"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47">
        <w:r>
          <w:rPr>
            <w:rStyle w:val="Hyperlink"/>
          </w:rPr>
          <w:t xml:space="preserve">https://doi.org/10.1046/j.1461-0248.2001.00230.x</w:t>
        </w:r>
      </w:hyperlink>
      <w:r>
        <w:t xml:space="preserve">.</w:t>
      </w:r>
    </w:p>
    <w:bookmarkEnd w:id="348"/>
    <w:bookmarkStart w:id="350"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49">
        <w:r>
          <w:rPr>
            <w:rStyle w:val="Hyperlink"/>
          </w:rPr>
          <w:t xml:space="preserve">https://doi.org/10.1111/2041-210X.12613</w:t>
        </w:r>
      </w:hyperlink>
      <w:r>
        <w:t xml:space="preserve">.</w:t>
      </w:r>
    </w:p>
    <w:bookmarkEnd w:id="350"/>
    <w:bookmarkStart w:id="352"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51">
        <w:r>
          <w:rPr>
            <w:rStyle w:val="Hyperlink"/>
          </w:rPr>
          <w:t xml:space="preserve">https://doi.org/10.1007/978-0-387-21706-2</w:t>
        </w:r>
      </w:hyperlink>
      <w:r>
        <w:t xml:space="preserve">.</w:t>
      </w:r>
    </w:p>
    <w:bookmarkEnd w:id="352"/>
    <w:bookmarkEnd w:id="353"/>
    <w:bookmarkEnd w:id="354"/>
    <w:bookmarkEnd w:id="35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11" Target="media/rId111.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92" Target="media/rId92.png" /><Relationship Type="http://schemas.openxmlformats.org/officeDocument/2006/relationships/image" Id="rId107" Target="media/rId107.png" /><Relationship Type="http://schemas.openxmlformats.org/officeDocument/2006/relationships/image" Id="rId259" Target="media/rId259.png" /><Relationship Type="http://schemas.openxmlformats.org/officeDocument/2006/relationships/image" Id="rId288" Target="media/rId288.png" /><Relationship Type="http://schemas.openxmlformats.org/officeDocument/2006/relationships/image" Id="rId276" Target="media/rId276.png" /><Relationship Type="http://schemas.openxmlformats.org/officeDocument/2006/relationships/image" Id="rId268" Target="media/rId268.png" /><Relationship Type="http://schemas.openxmlformats.org/officeDocument/2006/relationships/image" Id="rId79" Target="media/rId79.png" /><Relationship Type="http://schemas.openxmlformats.org/officeDocument/2006/relationships/image" Id="rId128" Target="media/rId128.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31" Target="media/rId131.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134" Target="media/rId134.png" /><Relationship Type="http://schemas.openxmlformats.org/officeDocument/2006/relationships/image" Id="rId215" Target="media/rId215.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hyperlink" Id="rId336" Target="https://doi.org/10.1002/jqs.3236" TargetMode="External" /><Relationship Type="http://schemas.openxmlformats.org/officeDocument/2006/relationships/hyperlink" Id="rId351" Target="https://doi.org/10.1007/978-0-387-21706-2" TargetMode="External" /><Relationship Type="http://schemas.openxmlformats.org/officeDocument/2006/relationships/hyperlink" Id="rId339" Target="https://doi.org/10.1007/978-3-211-49294-9_4" TargetMode="External" /><Relationship Type="http://schemas.openxmlformats.org/officeDocument/2006/relationships/hyperlink" Id="rId320" Target="https://doi.org/10.1007/BF01908075" TargetMode="External" /><Relationship Type="http://schemas.openxmlformats.org/officeDocument/2006/relationships/hyperlink" Id="rId312"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43" Target="https://doi.org/10.1007/s41982-025-00246-x" TargetMode="External" /><Relationship Type="http://schemas.openxmlformats.org/officeDocument/2006/relationships/hyperlink" Id="rId334"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08" Target="https://doi.org/10.1016/j.socnet.2020.11.005" TargetMode="External" /><Relationship Type="http://schemas.openxmlformats.org/officeDocument/2006/relationships/hyperlink" Id="rId316" Target="https://doi.org/10.1023/A:1023949509487" TargetMode="External" /><Relationship Type="http://schemas.openxmlformats.org/officeDocument/2006/relationships/hyperlink" Id="rId341" Target="https://doi.org/10.1038/nature03585" TargetMode="External" /><Relationship Type="http://schemas.openxmlformats.org/officeDocument/2006/relationships/hyperlink" Id="rId347" Target="https://doi.org/10.1046/j.1461-0248.2001.00230.x" TargetMode="External" /><Relationship Type="http://schemas.openxmlformats.org/officeDocument/2006/relationships/hyperlink" Id="rId330" Target="https://doi.org/10.1073/pnas.2520385123" TargetMode="External" /><Relationship Type="http://schemas.openxmlformats.org/officeDocument/2006/relationships/hyperlink" Id="rId322" Target="https://doi.org/10.1080/01621459.2022.2116331" TargetMode="External" /><Relationship Type="http://schemas.openxmlformats.org/officeDocument/2006/relationships/hyperlink" Id="rId304" Target="https://doi.org/10.1088/1742-5468/2008/10/P10008" TargetMode="External" /><Relationship Type="http://schemas.openxmlformats.org/officeDocument/2006/relationships/hyperlink" Id="rId328" Target="https://doi.org/10.1093/bioinformatics/btw438" TargetMode="External" /><Relationship Type="http://schemas.openxmlformats.org/officeDocument/2006/relationships/hyperlink" Id="rId324" Target="https://doi.org/10.1093/biostatistics/kxac047" TargetMode="External" /><Relationship Type="http://schemas.openxmlformats.org/officeDocument/2006/relationships/hyperlink" Id="rId306" Target="https://doi.org/10.1103/PhysRevE.69.026113" TargetMode="External" /><Relationship Type="http://schemas.openxmlformats.org/officeDocument/2006/relationships/hyperlink" Id="rId349" Target="https://doi.org/10.1111/2041-210X.12613" TargetMode="External" /><Relationship Type="http://schemas.openxmlformats.org/officeDocument/2006/relationships/hyperlink" Id="rId310" Target="https://doi.org/10.1198/108571102320" TargetMode="External" /><Relationship Type="http://schemas.openxmlformats.org/officeDocument/2006/relationships/hyperlink" Id="rId314" Target="https://doi.org/10.18637/jss.v022.i07" TargetMode="External" /><Relationship Type="http://schemas.openxmlformats.org/officeDocument/2006/relationships/hyperlink" Id="rId345" Target="https://doi.org/10.1890/11-1952.1" TargetMode="External" /><Relationship Type="http://schemas.openxmlformats.org/officeDocument/2006/relationships/hyperlink" Id="rId326" Target="https://doi.org/10.2307/2529826" TargetMode="External" /><Relationship Type="http://schemas.openxmlformats.org/officeDocument/2006/relationships/hyperlink" Id="rId332" Target="https://doi.org/10.30861/9781841718309" TargetMode="External" /><Relationship Type="http://schemas.openxmlformats.org/officeDocument/2006/relationships/hyperlink" Id="rId318"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36" Target="https://doi.org/10.1002/jqs.3236" TargetMode="External" /><Relationship Type="http://schemas.openxmlformats.org/officeDocument/2006/relationships/hyperlink" Id="rId351" Target="https://doi.org/10.1007/978-0-387-21706-2" TargetMode="External" /><Relationship Type="http://schemas.openxmlformats.org/officeDocument/2006/relationships/hyperlink" Id="rId339" Target="https://doi.org/10.1007/978-3-211-49294-9_4" TargetMode="External" /><Relationship Type="http://schemas.openxmlformats.org/officeDocument/2006/relationships/hyperlink" Id="rId320" Target="https://doi.org/10.1007/BF01908075" TargetMode="External" /><Relationship Type="http://schemas.openxmlformats.org/officeDocument/2006/relationships/hyperlink" Id="rId312" Target="https://doi.org/10.1007/s11258-006-9126-3" TargetMode="External" /><Relationship Type="http://schemas.openxmlformats.org/officeDocument/2006/relationships/hyperlink" Id="rId302" Target="https://doi.org/10.1007/s41982-017-0004-4" TargetMode="External" /><Relationship Type="http://schemas.openxmlformats.org/officeDocument/2006/relationships/hyperlink" Id="rId343" Target="https://doi.org/10.1007/s41982-025-00246-x" TargetMode="External" /><Relationship Type="http://schemas.openxmlformats.org/officeDocument/2006/relationships/hyperlink" Id="rId334" Target="https://doi.org/10.1016/j.jhevol.2011.06.005" TargetMode="External" /><Relationship Type="http://schemas.openxmlformats.org/officeDocument/2006/relationships/hyperlink" Id="rId300" Target="https://doi.org/10.1016/j.quascirev.2021.106995" TargetMode="External" /><Relationship Type="http://schemas.openxmlformats.org/officeDocument/2006/relationships/hyperlink" Id="rId308" Target="https://doi.org/10.1016/j.socnet.2020.11.005" TargetMode="External" /><Relationship Type="http://schemas.openxmlformats.org/officeDocument/2006/relationships/hyperlink" Id="rId316" Target="https://doi.org/10.1023/A:1023949509487" TargetMode="External" /><Relationship Type="http://schemas.openxmlformats.org/officeDocument/2006/relationships/hyperlink" Id="rId341" Target="https://doi.org/10.1038/nature03585" TargetMode="External" /><Relationship Type="http://schemas.openxmlformats.org/officeDocument/2006/relationships/hyperlink" Id="rId347" Target="https://doi.org/10.1046/j.1461-0248.2001.00230.x" TargetMode="External" /><Relationship Type="http://schemas.openxmlformats.org/officeDocument/2006/relationships/hyperlink" Id="rId330" Target="https://doi.org/10.1073/pnas.2520385123" TargetMode="External" /><Relationship Type="http://schemas.openxmlformats.org/officeDocument/2006/relationships/hyperlink" Id="rId322" Target="https://doi.org/10.1080/01621459.2022.2116331" TargetMode="External" /><Relationship Type="http://schemas.openxmlformats.org/officeDocument/2006/relationships/hyperlink" Id="rId304" Target="https://doi.org/10.1088/1742-5468/2008/10/P10008" TargetMode="External" /><Relationship Type="http://schemas.openxmlformats.org/officeDocument/2006/relationships/hyperlink" Id="rId328" Target="https://doi.org/10.1093/bioinformatics/btw438" TargetMode="External" /><Relationship Type="http://schemas.openxmlformats.org/officeDocument/2006/relationships/hyperlink" Id="rId324" Target="https://doi.org/10.1093/biostatistics/kxac047" TargetMode="External" /><Relationship Type="http://schemas.openxmlformats.org/officeDocument/2006/relationships/hyperlink" Id="rId306" Target="https://doi.org/10.1103/PhysRevE.69.026113" TargetMode="External" /><Relationship Type="http://schemas.openxmlformats.org/officeDocument/2006/relationships/hyperlink" Id="rId349" Target="https://doi.org/10.1111/2041-210X.12613" TargetMode="External" /><Relationship Type="http://schemas.openxmlformats.org/officeDocument/2006/relationships/hyperlink" Id="rId310" Target="https://doi.org/10.1198/108571102320" TargetMode="External" /><Relationship Type="http://schemas.openxmlformats.org/officeDocument/2006/relationships/hyperlink" Id="rId314" Target="https://doi.org/10.18637/jss.v022.i07" TargetMode="External" /><Relationship Type="http://schemas.openxmlformats.org/officeDocument/2006/relationships/hyperlink" Id="rId345" Target="https://doi.org/10.1890/11-1952.1" TargetMode="External" /><Relationship Type="http://schemas.openxmlformats.org/officeDocument/2006/relationships/hyperlink" Id="rId326" Target="https://doi.org/10.2307/2529826" TargetMode="External" /><Relationship Type="http://schemas.openxmlformats.org/officeDocument/2006/relationships/hyperlink" Id="rId332" Target="https://doi.org/10.30861/9781841718309" TargetMode="External" /><Relationship Type="http://schemas.openxmlformats.org/officeDocument/2006/relationships/hyperlink" Id="rId318"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2026-09-03T21:03:57Z</dcterms:created>
  <dcterms:modified xsi:type="dcterms:W3CDTF">2026-09-03T21:03:57Z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