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sec-overview"/>
    <w:p>
      <w:pPr>
        <w:pStyle w:val="Heading2"/>
      </w:pPr>
      <w:r>
        <w:t xml:space="preserve">S2.1 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p>
      <w:pPr>
        <w:pStyle w:val="BodyText"/>
      </w:pPr>
      <w:r>
        <w:t xml:space="preserve">Our phase assignments follow specialist technological attributions from the published literature, not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[1,2]</w:t>
      </w:r>
      <w:r>
        <w:t xml:space="preserve">, La Ferrassie in the Early Aurignacian (Aur-P1) on the basis of Layer 7 directly above the Châtelperronian</w:t>
      </w:r>
      <w:r>
        <w:t xml:space="preserve"> </w:t>
      </w:r>
      <w:r>
        <w:t xml:space="preserve">[3]</w:t>
      </w:r>
      <w:r>
        <w:t xml:space="preserve">, Mladeč in the Evolved Aurignacian (Aur-P2) on the basis of its massive-base bone points and ~31 ka ¹⁴C BP (~35–36 ka cal BP) dates</w:t>
      </w:r>
      <w:r>
        <w:t xml:space="preserve"> </w:t>
      </w:r>
      <w:r>
        <w:t xml:space="preserve">[4]</w:t>
      </w:r>
      <w:r>
        <w:t xml:space="preserve">, and the Swabian Jura site of Geissenklösterle in the Early Aurignacian</w:t>
      </w:r>
      <w:r>
        <w:t xml:space="preserve"> </w:t>
      </w:r>
      <w:r>
        <w:t xml:space="preserve">[Aur-P1, 5,6]</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[5–7]</w:t>
      </w:r>
      <w:r>
        <w:t xml:space="preserve">. Two sites are excluded from the analysis because their assemblages are too mixed to assign to a single phase reliably: Spy</w:t>
      </w:r>
      <w:r>
        <w:t xml:space="preserve"> </w:t>
      </w:r>
      <w:r>
        <w:t xml:space="preserve">[8,9]</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[10]</w:t>
      </w:r>
      <w:r>
        <w:t xml:space="preserve">. We detail the rationale and procedure for assigning archaeological sites to Aurignacian phases further below.</w:t>
      </w:r>
    </w:p>
    <w:bookmarkEnd w:id="21"/>
    <w:bookmarkStart w:id="22" w:name="sec-data-pipeline"/>
    <w:p>
      <w:pPr>
        <w:pStyle w:val="Heading2"/>
      </w:pPr>
      <w:r>
        <w:t xml:space="preserve">S2.2 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Date parsing handles both ends of date ranges, routes OSL ages around radiocarbon calibration, and uses IntCal20 explicitly. Sensitivity to variant choice is explored in Supplement S1.</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[11,12]</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w:t>
            </w:r>
            <w:r>
              <w:t xml:space="preserve"> </w:t>
            </w:r>
            <w:r>
              <w:t xml:space="preserve">[13]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w:t>
            </w:r>
            <w:r>
              <w:t xml:space="preserve"> </w:t>
            </w:r>
            <w:r>
              <w:t xml:space="preserve">[5]</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37200</w:t>
            </w:r>
          </w:p>
        </w:tc>
        <w:tc>
          <w:tcPr/>
          <w:p>
            <w:pPr>
              <w:pStyle w:val="Compact"/>
              <w:jc w:val="left"/>
            </w:pPr>
            <w:r>
              <w:t xml:space="preserve">technology</w:t>
            </w:r>
          </w:p>
        </w:tc>
        <w:tc>
          <w:tcPr/>
          <w:p>
            <w:pPr>
              <w:pStyle w:val="Compact"/>
              <w:jc w:val="left"/>
            </w:pPr>
            <w:r>
              <w:t xml:space="preserve">Early Aurignacian</w:t>
            </w:r>
            <w:r>
              <w:t xml:space="preserve"> </w:t>
            </w:r>
            <w:r>
              <w:t xml:space="preserve">[3]</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w:t>
            </w:r>
            <w:r>
              <w:t xml:space="preserve"> </w:t>
            </w:r>
            <w:r>
              <w:t xml:space="preserve">[14]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w:t>
            </w:r>
            <w:r>
              <w:t xml:space="preserve"> </w:t>
            </w:r>
            <w:r>
              <w:t xml:space="preserve">[5,10]</w:t>
            </w:r>
          </w:p>
        </w:tc>
      </w:tr>
    </w:tbl>
    <w:bookmarkEnd w:id="22"/>
    <w:bookmarkStart w:id="33" w:name="sec-literature-findings"/>
    <w:p>
      <w:pPr>
        <w:pStyle w:val="Heading2"/>
      </w:pPr>
      <w:r>
        <w:t xml:space="preserve">S2.3 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[5]</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[6]</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[7]</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[5]</w:t>
      </w:r>
      <w:r>
        <w:t xml:space="preserve"> </w:t>
      </w:r>
      <w:r>
        <w:t xml:space="preserve">: The Geissenklösterle Aurignacian (AH III and II) is assigned to the Early Aurignacian on technological grounds.</w:t>
      </w:r>
    </w:p>
    <w:p>
      <w:pPr>
        <w:numPr>
          <w:ilvl w:val="0"/>
          <w:numId w:val="1002"/>
        </w:numPr>
        <w:pStyle w:val="Compact"/>
      </w:pPr>
      <w:r>
        <w:t xml:space="preserve">[15]</w:t>
      </w:r>
      <w:r>
        <w:t xml:space="preserve"> </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[16]</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[10]</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[17]</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[11]</w:t>
      </w:r>
      <w:r>
        <w:t xml:space="preserve"> </w:t>
      </w:r>
      <w:r>
        <w:t xml:space="preserve">: Protoaurignacian techno-typology persists throughout sequence at Fumane (A2-A1 through D3).</w:t>
      </w:r>
    </w:p>
    <w:p>
      <w:pPr>
        <w:numPr>
          <w:ilvl w:val="0"/>
          <w:numId w:val="1004"/>
        </w:numPr>
        <w:pStyle w:val="Compact"/>
      </w:pPr>
      <w:r>
        <w:t xml:space="preserve">[12]</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[3]</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[14]</w:t>
      </w:r>
      <w:r>
        <w:t xml:space="preserve"> </w:t>
      </w:r>
      <w:r>
        <w:t xml:space="preserve">: Technological and typological analysis assigns Mladeč to the Evolved Aurignacian.</w:t>
      </w:r>
    </w:p>
    <w:p>
      <w:pPr>
        <w:numPr>
          <w:ilvl w:val="0"/>
          <w:numId w:val="1007"/>
        </w:numPr>
        <w:pStyle w:val="Compact"/>
      </w:pPr>
      <w:r>
        <w:t xml:space="preserve">[4]</w:t>
      </w:r>
      <w:r>
        <w:t xml:space="preserve"> </w:t>
      </w:r>
      <w:r>
        <w:t xml:space="preserve">: Direct AMS dates of ~31 ka ¹⁴C BP (~35–36 ka cal BP) support an Evolved Aurignacian attribution.</w:t>
      </w:r>
    </w:p>
    <w:bookmarkEnd w:id="29"/>
    <w:bookmarkStart w:id="30" w:name="spy-excluded"/>
    <w:p>
      <w:pPr>
        <w:pStyle w:val="Heading3"/>
      </w:pPr>
      <w:r>
        <w:t xml:space="preserve">Spy → Excluded</w:t>
      </w:r>
    </w:p>
    <w:p>
      <w:pPr>
        <w:numPr>
          <w:ilvl w:val="0"/>
          <w:numId w:val="1008"/>
        </w:numPr>
        <w:pStyle w:val="Compact"/>
      </w:pPr>
      <w:r>
        <w:t xml:space="preserve">[8]</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[9]</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[18]</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[13]</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[19]</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9" w:name="sec-site-status"/>
    <w:p>
      <w:pPr>
        <w:pStyle w:val="Heading2"/>
      </w:pPr>
      <w:r>
        <w:t xml:space="preserve">S2.4 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S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[5,10]</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[5]</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[3]</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[13]</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S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[14]</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S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[8,9,18]</w:t>
                  </w:r>
                </w:p>
              </w:tc>
            </w:tr>
          </w:tbl>
          <w:bookmarkEnd w:id="38"/>
          <w:p/>
        </w:tc>
      </w:tr>
    </w:tbl>
    <w:bookmarkEnd w:id="39"/>
    <w:bookmarkStart w:id="42" w:name="X66c9cc182233bd002ab6e072ce477517bb113a6"/>
    <w:p>
      <w:pPr>
        <w:pStyle w:val="Heading3"/>
      </w:pPr>
      <w:r>
        <w:t xml:space="preserve">Sites excluded for date parsing (Category B + C)</w:t>
      </w:r>
    </w:p>
    <w:p>
      <w:pPr>
        <w:pStyle w:val="FirstParagraph"/>
      </w:pPr>
      <w:r>
        <w:t xml:space="preserve">Twenty-seven sites are excluded because their SignBase records lack a parsable</w:t>
      </w:r>
      <w:r>
        <w:t xml:space="preserve"> </w:t>
      </w:r>
      <w:r>
        <w:rPr>
          <w:rStyle w:val="VerbatimChar"/>
        </w:rPr>
        <w:t xml:space="preserve">date_bp_max_min</w:t>
      </w:r>
      <w:r>
        <w:t xml:space="preserve"> </w:t>
      </w:r>
      <w:r>
        <w:t xml:space="preserve">string or because the calibrated median (</w:t>
      </w:r>
      <w:r>
        <w:rPr>
          <w:rStyle w:val="VerbatimChar"/>
        </w:rPr>
        <w:t xml:space="preserve">MedianBP</w:t>
      </w:r>
      <w:r>
        <w:t xml:space="preserve">) cannot be computed from the available radiocarbon data. These exclusions occur during the date-parsing/calibration step, prior to phase assignment.</w:t>
      </w:r>
    </w:p>
    <w:p>
      <w:pPr>
        <w:pStyle w:val="BodyText"/>
      </w:pPr>
      <w:r>
        <w:rPr>
          <w:bCs/>
          <w:b/>
        </w:rPr>
        <w:t xml:space="preserve">Category B (no</w:t>
      </w:r>
      <w:r>
        <w:rPr>
          <w:bCs/>
          <w:b/>
        </w:rPr>
        <w:t xml:space="preserve"> </w:t>
      </w:r>
      <w:r>
        <w:rPr>
          <w:rStyle w:val="VerbatimChar"/>
          <w:bCs/>
          <w:b/>
        </w:rPr>
        <w:t xml:space="preserve">date_bp_max_min</w:t>
      </w:r>
      <w:r>
        <w:rPr>
          <w:bCs/>
          <w:b/>
        </w:rPr>
        <w:t xml:space="preserve"> </w:t>
      </w:r>
      <w:r>
        <w:rPr>
          <w:bCs/>
          <w:b/>
        </w:rPr>
        <w:t xml:space="preserve">field in SignBase): 16 sites with 30 total objects (27 signed).</w:t>
      </w:r>
      <w:r>
        <w:t xml:space="preserve"> </w:t>
      </w:r>
      <w:r>
        <w:t xml:space="preserve">These sites appear in SignBase as type sites or old excavations that did not record standardized date strings. No radiocarbon dating information is available for any object from these sites.</w:t>
      </w:r>
    </w:p>
    <w:p>
      <w:pPr>
        <w:pStyle w:val="BodyText"/>
      </w:pPr>
      <w:r>
        <w:rPr>
          <w:bCs/>
          <w:b/>
        </w:rPr>
        <w:t xml:space="preserve">Category C (date string present but calibration fails): 11 sites with 35 total objects (32 signed).</w:t>
      </w:r>
      <w:r>
        <w:t xml:space="preserve"> </w:t>
      </w:r>
      <w:r>
        <w:t xml:space="preserve">These sites have</w:t>
      </w:r>
      <w:r>
        <w:t xml:space="preserve"> </w:t>
      </w:r>
      <w:r>
        <w:rPr>
          <w:rStyle w:val="VerbatimChar"/>
        </w:rPr>
        <w:t xml:space="preserve">date_bp_max_min</w:t>
      </w:r>
      <w:r>
        <w:t xml:space="preserve"> </w:t>
      </w:r>
      <w:r>
        <w:t xml:space="preserve">entries in the format</w:t>
      </w:r>
      <w:r>
        <w:t xml:space="preserve"> </w:t>
      </w:r>
      <w:r>
        <w:t xml:space="preserve">“</w:t>
      </w:r>
      <w:r>
        <w:t xml:space="preserve">34000 - 30000</w:t>
      </w:r>
      <w:r>
        <w:t xml:space="preserve">”</w:t>
      </w:r>
      <w:r>
        <w:t xml:space="preserve"> </w:t>
      </w:r>
      <w:r>
        <w:t xml:space="preserve">or</w:t>
      </w:r>
      <w:r>
        <w:t xml:space="preserve"> </w:t>
      </w:r>
      <w:r>
        <w:t xml:space="preserve">“</w:t>
      </w:r>
      <w:r>
        <w:t xml:space="preserve">35000 - 32000</w:t>
      </w:r>
      <w:r>
        <w:t xml:space="preserve">”</w:t>
      </w:r>
      <w:r>
        <w:t xml:space="preserve"> </w:t>
      </w:r>
      <w:r>
        <w:t xml:space="preserve">that lack the ± error notation required by the parser. We cannot be confident of the correct approach to calibrate these ages, so we exclude them.</w:t>
      </w:r>
    </w:p>
    <w:tbl>
      <w:tblPr>
        <w:tblStyle w:val="Table"/>
        <w:tblW w:type="pct" w:w="5000"/>
        <w:tblLook w:firstRow="0" w:lastRow="0" w:firstColumn="0" w:lastColumn="0" w:noHBand="0" w:noVBand="0" w:val="0000"/>
        <w:jc w:val="start"/>
        <w:tblLayout w:type="fixed"/>
      </w:tblPr>
      <w:tblGrid>
        <w:gridCol w:w="7920"/>
      </w:tblGrid>
      <w:tr>
        <w:tc>
          <w:tcPr/>
          <w:bookmarkStart w:id="40" w:name="tbl-date-excluded"/>
          <w:p>
            <w:pPr>
              <w:jc w:val="center"/>
            </w:pPr>
            <w:pPr>
              <w:jc w:val="start"/>
              <w:spacing w:before="200"/>
              <w:pStyle w:val="ImageCaption"/>
            </w:pPr>
            <w:r>
              <w:t xml:space="preserve">Table S 4: 27 sites excluded during the date-parsing/calibration step: 16 Category B (no date string) and 11 Category C (unparseable date string).</w:t>
            </w:r>
          </w:p>
          <w:tbl>
            <w:tblPr>
              <w:tblStyle w:val="Table"/>
              <w:tblW w:type="pct" w:w="5000"/>
              <w:tblLook w:firstRow="1" w:lastRow="0" w:firstColumn="0" w:lastColumn="0" w:noHBand="0" w:noVBand="0" w:val="0020"/>
              <w:jc w:val="start"/>
              <w:tblLayout w:type="fixed"/>
            </w:tblPr>
            <w:tblGrid>
              <w:gridCol w:w="1474"/>
              <w:gridCol w:w="491"/>
              <w:gridCol w:w="436"/>
              <w:gridCol w:w="819"/>
              <w:gridCol w:w="4697"/>
            </w:tblGrid>
            <w:tr>
              <w:trPr>
                <w:tblHeader w:val="true"/>
              </w:trPr>
              <w:tc>
                <w:tcPr/>
                <w:p>
                  <w:pPr>
                    <w:pStyle w:val="Compact"/>
                    <w:jc w:val="left"/>
                    <w:jc w:val="center"/>
                  </w:pPr>
                  <w:r>
                    <w:t xml:space="preserve">Site</w:t>
                  </w:r>
                </w:p>
              </w:tc>
              <w:tc>
                <w:tcPr/>
                <w:p>
                  <w:pPr>
                    <w:pStyle w:val="Compact"/>
                    <w:jc w:val="left"/>
                    <w:jc w:val="center"/>
                  </w:pPr>
                  <w:r>
                    <w:t xml:space="preserve">Category</w:t>
                  </w:r>
                </w:p>
              </w:tc>
              <w:tc>
                <w:tcPr/>
                <w:p>
                  <w:pPr>
                    <w:pStyle w:val="Compact"/>
                    <w:jc w:val="right"/>
                    <w:jc w:val="center"/>
                  </w:pPr>
                  <w:r>
                    <w:t xml:space="preserve">Objects</w:t>
                  </w:r>
                </w:p>
              </w:tc>
              <w:tc>
                <w:tcPr/>
                <w:p>
                  <w:pPr>
                    <w:pStyle w:val="Compact"/>
                    <w:jc w:val="right"/>
                    <w:jc w:val="center"/>
                  </w:pPr>
                  <w:r>
                    <w:t xml:space="preserve">Signed objects</w:t>
                  </w:r>
                </w:p>
              </w:tc>
              <w:tc>
                <w:tcPr/>
                <w:p>
                  <w:pPr>
                    <w:pStyle w:val="Compact"/>
                    <w:jc w:val="left"/>
                    <w:jc w:val="center"/>
                  </w:pPr>
                  <w:r>
                    <w:t xml:space="preserve">Exemption reason</w:t>
                  </w:r>
                </w:p>
              </w:tc>
            </w:tr>
            <w:tr>
              <w:tc>
                <w:tcPr/>
                <w:p>
                  <w:pPr>
                    <w:pStyle w:val="Compact"/>
                    <w:jc w:val="left"/>
                    <w:jc w:val="center"/>
                  </w:pPr>
                  <w:r>
                    <w:t xml:space="preserve">Abri de Laussel</w:t>
                  </w:r>
                </w:p>
              </w:tc>
              <w:tc>
                <w:tcPr/>
                <w:p>
                  <w:pPr>
                    <w:pStyle w:val="Compact"/>
                    <w:jc w:val="left"/>
                    <w:jc w:val="center"/>
                  </w:pPr>
                  <w:r>
                    <w:t xml:space="preserve">B</w:t>
                  </w:r>
                </w:p>
              </w:tc>
              <w:tc>
                <w:tcPr/>
                <w:p>
                  <w:pPr>
                    <w:pStyle w:val="Compact"/>
                    <w:jc w:val="right"/>
                    <w:jc w:val="center"/>
                  </w:pPr>
                  <w:r>
                    <w:t xml:space="preserve">6</w:t>
                  </w:r>
                </w:p>
              </w:tc>
              <w:tc>
                <w:tcPr/>
                <w:p>
                  <w:pPr>
                    <w:pStyle w:val="Compact"/>
                    <w:jc w:val="right"/>
                    <w:jc w:val="center"/>
                  </w:pPr>
                  <w:r>
                    <w:t xml:space="preserve">5</w:t>
                  </w:r>
                </w:p>
              </w:tc>
              <w:tc>
                <w:tcPr/>
                <w:p>
                  <w:pPr>
                    <w:pStyle w:val="Compact"/>
                    <w:jc w:val="left"/>
                    <w:jc w:val="center"/>
                  </w:pPr>
                  <w:r>
                    <w:t xml:space="preserve">No date_bp_max_min; signed objects from deep Dordogne Late Aurignacian context</w:t>
                  </w:r>
                </w:p>
              </w:tc>
            </w:tr>
            <w:tr>
              <w:tc>
                <w:tcPr/>
                <w:p>
                  <w:pPr>
                    <w:pStyle w:val="Compact"/>
                    <w:jc w:val="left"/>
                    <w:jc w:val="center"/>
                  </w:pPr>
                  <w:r>
                    <w:t xml:space="preserve">Abri Lartet/Gorge d’Enfer</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multiple Aurignacian levels reported by historical excavations</w:t>
                  </w:r>
                </w:p>
              </w:tc>
            </w:tr>
            <w:tr>
              <w:tc>
                <w:tcPr/>
                <w:p>
                  <w:pPr>
                    <w:pStyle w:val="Compact"/>
                    <w:jc w:val="left"/>
                    <w:jc w:val="center"/>
                  </w:pPr>
                  <w:r>
                    <w:t xml:space="preserve">Abri du Poisson</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single object from historical excavation</w:t>
                  </w:r>
                </w:p>
              </w:tc>
            </w:tr>
            <w:tr>
              <w:tc>
                <w:tcPr/>
                <w:p>
                  <w:pPr>
                    <w:pStyle w:val="Compact"/>
                    <w:jc w:val="left"/>
                    <w:jc w:val="center"/>
                  </w:pPr>
                  <w:r>
                    <w:t xml:space="preserve">Aurignac</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isolated Italian Early Aurignacian find with no associated dating</w:t>
                  </w:r>
                </w:p>
              </w:tc>
            </w:tr>
            <w:tr>
              <w:tc>
                <w:tcPr/>
                <w:p>
                  <w:pPr>
                    <w:pStyle w:val="Compact"/>
                    <w:jc w:val="left"/>
                    <w:jc w:val="center"/>
                  </w:pPr>
                  <w:r>
                    <w:t xml:space="preserve">d’Engihoul</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Swiss site with published chronology but no SignBase date entry</w:t>
                  </w:r>
                </w:p>
              </w:tc>
            </w:tr>
            <w:tr>
              <w:tc>
                <w:tcPr/>
                <w:p>
                  <w:pPr>
                    <w:pStyle w:val="Compact"/>
                    <w:jc w:val="left"/>
                    <w:jc w:val="center"/>
                  </w:pPr>
                  <w:r>
                    <w:t xml:space="preserve">El Rascaño</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Göpfelsteinhöhle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Kvasice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La Souquette</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Le Terme Pialat</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Lhotka</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Otaslavice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Slatinice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Nová Dědina</w:t>
                  </w:r>
                </w:p>
              </w:tc>
              <w:tc>
                <w:tcPr/>
                <w:p>
                  <w:pPr>
                    <w:pStyle w:val="Compact"/>
                    <w:jc w:val="left"/>
                    <w:jc w:val="center"/>
                  </w:pPr>
                  <w:r>
                    <w:t xml:space="preserve">B</w:t>
                  </w:r>
                </w:p>
              </w:tc>
              <w:tc>
                <w:tcPr/>
                <w:p>
                  <w:pPr>
                    <w:pStyle w:val="Compact"/>
                    <w:jc w:val="right"/>
                    <w:jc w:val="center"/>
                  </w:pPr>
                  <w:r>
                    <w:t xml:space="preserve">4</w:t>
                  </w:r>
                </w:p>
              </w:tc>
              <w:tc>
                <w:tcPr/>
                <w:p>
                  <w:pPr>
                    <w:pStyle w:val="Compact"/>
                    <w:jc w:val="right"/>
                    <w:jc w:val="center"/>
                  </w:pPr>
                  <w:r>
                    <w:t xml:space="preserve">3</w:t>
                  </w:r>
                </w:p>
              </w:tc>
              <w:tc>
                <w:tcPr/>
                <w:p>
                  <w:pPr>
                    <w:pStyle w:val="Compact"/>
                    <w:jc w:val="left"/>
                    <w:jc w:val="center"/>
                  </w:pPr>
                  <w:r>
                    <w:t xml:space="preserve">No date_bp_max_min; Late Aurignacian assemblage with 3 artifacts</w:t>
                  </w:r>
                </w:p>
              </w:tc>
            </w:tr>
            <w:tr>
              <w:tc>
                <w:tcPr/>
                <w:p>
                  <w:pPr>
                    <w:pStyle w:val="Compact"/>
                    <w:jc w:val="left"/>
                    <w:jc w:val="center"/>
                  </w:pPr>
                  <w:r>
                    <w:t xml:space="preserve">Menton/Grottes du Grimaldi</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Žlutava</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No date_bp_max_min</w:t>
                  </w:r>
                </w:p>
              </w:tc>
            </w:tr>
            <w:tr>
              <w:tc>
                <w:tcPr/>
                <w:p>
                  <w:pPr>
                    <w:pStyle w:val="Compact"/>
                    <w:jc w:val="left"/>
                    <w:jc w:val="center"/>
                  </w:pPr>
                  <w:r>
                    <w:t xml:space="preserve">Grotte de Goyet</w:t>
                  </w:r>
                </w:p>
              </w:tc>
              <w:tc>
                <w:tcPr/>
                <w:p>
                  <w:pPr>
                    <w:pStyle w:val="Compact"/>
                    <w:jc w:val="left"/>
                    <w:jc w:val="center"/>
                  </w:pPr>
                  <w:r>
                    <w:t xml:space="preserve">C</w:t>
                  </w:r>
                </w:p>
              </w:tc>
              <w:tc>
                <w:tcPr/>
                <w:p>
                  <w:pPr>
                    <w:pStyle w:val="Compact"/>
                    <w:jc w:val="right"/>
                    <w:jc w:val="center"/>
                  </w:pPr>
                  <w:r>
                    <w:t xml:space="preserve">13</w:t>
                  </w:r>
                </w:p>
              </w:tc>
              <w:tc>
                <w:tcPr/>
                <w:p>
                  <w:pPr>
                    <w:pStyle w:val="Compact"/>
                    <w:jc w:val="right"/>
                    <w:jc w:val="center"/>
                  </w:pPr>
                  <w:r>
                    <w:t xml:space="preserve">12</w:t>
                  </w:r>
                </w:p>
              </w:tc>
              <w:tc>
                <w:tcPr/>
                <w:p>
                  <w:pPr>
                    <w:pStyle w:val="Compact"/>
                    <w:jc w:val="left"/>
                    <w:jc w:val="center"/>
                  </w:pPr>
                  <w:r>
                    <w:t xml:space="preserve">No date_bp_max_min</w:t>
                  </w:r>
                </w:p>
              </w:tc>
            </w:tr>
            <w:tr>
              <w:tc>
                <w:tcPr/>
                <w:p>
                  <w:pPr>
                    <w:pStyle w:val="Compact"/>
                    <w:jc w:val="left"/>
                    <w:jc w:val="center"/>
                  </w:pPr>
                  <w:r>
                    <w:t xml:space="preserve">Maisières-Canal</w:t>
                  </w:r>
                </w:p>
              </w:tc>
              <w:tc>
                <w:tcPr/>
                <w:p>
                  <w:pPr>
                    <w:pStyle w:val="Compact"/>
                    <w:jc w:val="left"/>
                    <w:jc w:val="center"/>
                  </w:pPr>
                  <w:r>
                    <w:t xml:space="preserve">C</w:t>
                  </w:r>
                </w:p>
              </w:tc>
              <w:tc>
                <w:tcPr/>
                <w:p>
                  <w:pPr>
                    <w:pStyle w:val="Compact"/>
                    <w:jc w:val="right"/>
                    <w:jc w:val="center"/>
                  </w:pPr>
                  <w:r>
                    <w:t xml:space="preserve">7</w:t>
                  </w:r>
                </w:p>
              </w:tc>
              <w:tc>
                <w:tcPr/>
                <w:p>
                  <w:pPr>
                    <w:pStyle w:val="Compact"/>
                    <w:jc w:val="right"/>
                    <w:jc w:val="center"/>
                  </w:pPr>
                  <w:r>
                    <w:t xml:space="preserve">5</w:t>
                  </w:r>
                </w:p>
              </w:tc>
              <w:tc>
                <w:tcPr/>
                <w:p>
                  <w:pPr>
                    <w:pStyle w:val="Compact"/>
                    <w:jc w:val="left"/>
                    <w:jc w:val="center"/>
                  </w:pPr>
                  <w:r>
                    <w:t xml:space="preserve">No date_bp_max_min</w:t>
                  </w:r>
                </w:p>
              </w:tc>
            </w:tr>
            <w:tr>
              <w:tc>
                <w:tcPr/>
                <w:p>
                  <w:pPr>
                    <w:pStyle w:val="Compact"/>
                    <w:jc w:val="left"/>
                    <w:jc w:val="center"/>
                  </w:pPr>
                  <w:r>
                    <w:t xml:space="preserve">Brassempouy</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35160-33140 uncalibratable</w:t>
                  </w:r>
                </w:p>
              </w:tc>
            </w:tr>
            <w:tr>
              <w:tc>
                <w:tcPr/>
                <w:p>
                  <w:pPr>
                    <w:pStyle w:val="Compact"/>
                    <w:jc w:val="left"/>
                    <w:jc w:val="center"/>
                  </w:pPr>
                  <w:r>
                    <w:t xml:space="preserve">Istállóskő Cave</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Le Trou Du Renard</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in parsed form; AMS date range 35000-32000 lacks error field</w:t>
                  </w:r>
                </w:p>
              </w:tc>
            </w:tr>
            <w:tr>
              <w:tc>
                <w:tcPr/>
                <w:p>
                  <w:pPr>
                    <w:pStyle w:val="Compact"/>
                    <w:jc w:val="left"/>
                    <w:jc w:val="center"/>
                  </w:pPr>
                  <w:r>
                    <w:t xml:space="preserve">Tuto de Camalhot</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Peskő Cave</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single value 34750 uncalibratable</w:t>
                  </w:r>
                </w:p>
              </w:tc>
            </w:tr>
            <w:tr>
              <w:tc>
                <w:tcPr/>
                <w:p>
                  <w:pPr>
                    <w:pStyle w:val="Compact"/>
                    <w:jc w:val="left"/>
                    <w:jc w:val="center"/>
                  </w:pPr>
                  <w:r>
                    <w:t xml:space="preserve">Shelter Birów IV</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AMS date range 38300-33500 uncalibratable</w:t>
                  </w:r>
                </w:p>
              </w:tc>
            </w:tr>
            <w:tr>
              <w:tc>
                <w:tcPr/>
                <w:p>
                  <w:pPr>
                    <w:pStyle w:val="Compact"/>
                    <w:jc w:val="left"/>
                    <w:jc w:val="center"/>
                  </w:pPr>
                  <w:r>
                    <w:t xml:space="preserve">Wildscheuer</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Hornos de la Pena</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Breitenbach</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bl>
          <w:bookmarkEnd w:id="40"/>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1" w:name="tbl-excluded-summary"/>
          <w:p>
            <w:pPr>
              <w:jc w:val="center"/>
            </w:pPr>
            <w:pPr>
              <w:jc w:val="start"/>
              <w:spacing w:before="200"/>
              <w:pStyle w:val="ImageCaption"/>
            </w:pPr>
            <w:r>
              <w:t xml:space="preserve">Table S 5</w:t>
            </w:r>
          </w:p>
          <w:p>
            <w:pPr>
              <w:pStyle w:val="SourceCode"/>
              <w:jc w:val="center"/>
            </w:pPr>
            <w:r>
              <w:rPr>
                <w:rStyle w:val="VerbatimChar"/>
              </w:rPr>
              <w:t xml:space="preserve">**Summary:** 27 sites with 65 total objects (59 signed) failed date parsing. </w:t>
            </w:r>
          </w:p>
          <w:bookmarkEnd w:id="41"/>
        </w:tc>
      </w:tr>
    </w:tbl>
    <w:bookmarkEnd w:id="42"/>
    <w:bookmarkStart w:id="44"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3" w:name="tbl-date-aurp1"/>
          <w:p>
            <w:pPr>
              <w:jc w:val="center"/>
            </w:pPr>
            <w:pPr>
              <w:jc w:val="start"/>
              <w:spacing w:before="200"/>
              <w:pStyle w:val="ImageCaption"/>
            </w:pPr>
            <w:r>
              <w:t xml:space="preserve">Table S 6: Aur-P1 sites assigned by their calibrated radiocarbon date.</w:t>
            </w:r>
          </w:p>
          <w:tbl>
            <w:tblPr>
              <w:tblStyle w:val="Table"/>
              <w:tblW w:type="pct" w:w="5000"/>
              <w:tblLook w:firstRow="1" w:lastRow="0" w:firstColumn="0" w:lastColumn="0" w:noHBand="0" w:noVBand="0" w:val="0020"/>
              <w:jc w:val="start"/>
              <w:tblLayout w:type="fixed"/>
            </w:tblPr>
            <w:tblGrid>
              <w:gridCol w:w="1516"/>
              <w:gridCol w:w="449"/>
              <w:gridCol w:w="595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[11,12]</w:t>
                  </w:r>
                  <w:r>
                    <w:t xml:space="preserve">)</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43"/>
          <w:p/>
        </w:tc>
      </w:tr>
    </w:tbl>
    <w:bookmarkEnd w:id="44"/>
    <w:bookmarkStart w:id="46"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5" w:name="tbl-date-aurp2"/>
          <w:p>
            <w:pPr>
              <w:jc w:val="center"/>
            </w:pPr>
            <w:pPr>
              <w:jc w:val="start"/>
              <w:spacing w:before="200"/>
              <w:pStyle w:val="ImageCaption"/>
            </w:pPr>
            <w:r>
              <w:t xml:space="preserve">Table S 7: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5"/>
          <w:p/>
        </w:tc>
      </w:tr>
    </w:tbl>
    <w:bookmarkEnd w:id="46"/>
    <w:bookmarkStart w:id="48"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7" w:name="tbl-zero-sign"/>
          <w:p>
            <w:pPr>
              <w:jc w:val="center"/>
            </w:pPr>
            <w:pPr>
              <w:jc w:val="start"/>
              <w:spacing w:before="200"/>
              <w:pStyle w:val="ImageCaption"/>
            </w:pPr>
            <w:r>
              <w:t xml:space="preserve">Table S 8: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7"/>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8"/>
    <w:bookmarkEnd w:id="49"/>
    <w:bookmarkStart w:id="88" w:name="references-cited"/>
    <w:p>
      <w:pPr>
        <w:pStyle w:val="Heading2"/>
      </w:pPr>
      <w:r>
        <w:t xml:space="preserve">References cited</w:t>
      </w:r>
    </w:p>
    <w:bookmarkStart w:id="87" w:name="refs"/>
    <w:bookmarkStart w:id="51"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50">
        <w:r>
          <w:rPr>
            <w:rStyle w:val="Hyperlink"/>
          </w:rPr>
          <w:t xml:space="preserve">https://doi.org/10.30861/9781841718309</w:t>
        </w:r>
      </w:hyperlink>
      <w:r>
        <w:t xml:space="preserve">.</w:t>
      </w:r>
    </w:p>
    <w:bookmarkEnd w:id="51"/>
    <w:bookmarkStart w:id="53"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52">
        <w:r>
          <w:rPr>
            <w:rStyle w:val="Hyperlink"/>
          </w:rPr>
          <w:t xml:space="preserve">https://doi.org/10.1016/j.jhevol.2011.06.005</w:t>
        </w:r>
      </w:hyperlink>
      <w:r>
        <w:t xml:space="preserve">.</w:t>
      </w:r>
    </w:p>
    <w:bookmarkEnd w:id="53"/>
    <w:bookmarkStart w:id="55" w:name="ref-Talamo_La_Ferrassie_2020"/>
    <w:p>
      <w:pPr>
        <w:pStyle w:val="Bibliography"/>
      </w:pPr>
      <w:r>
        <w:t xml:space="preserve">[3]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54">
        <w:r>
          <w:rPr>
            <w:rStyle w:val="Hyperlink"/>
          </w:rPr>
          <w:t xml:space="preserve">https://doi.org/10.1002/jqs.3236</w:t>
        </w:r>
      </w:hyperlink>
      <w:r>
        <w:t xml:space="preserve">.</w:t>
      </w:r>
    </w:p>
    <w:bookmarkEnd w:id="55"/>
    <w:bookmarkStart w:id="57" w:name="ref-Wild_et_al_2005"/>
    <w:p>
      <w:pPr>
        <w:pStyle w:val="Bibliography"/>
      </w:pPr>
      <w:r>
        <w:t xml:space="preserve">[4]</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56">
        <w:r>
          <w:rPr>
            <w:rStyle w:val="Hyperlink"/>
          </w:rPr>
          <w:t xml:space="preserve">https://doi.org/10.1038/nature03585</w:t>
        </w:r>
      </w:hyperlink>
      <w:r>
        <w:t xml:space="preserve">.</w:t>
      </w:r>
    </w:p>
    <w:bookmarkEnd w:id="57"/>
    <w:bookmarkStart w:id="59" w:name="ref-Bataille_Conard_2018"/>
    <w:p>
      <w:pPr>
        <w:pStyle w:val="Bibliography"/>
      </w:pPr>
      <w:r>
        <w:t xml:space="preserve">[5]</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8">
        <w:r>
          <w:rPr>
            <w:rStyle w:val="Hyperlink"/>
          </w:rPr>
          <w:t xml:space="preserve">https://doi.org/10.1371/journal.pone.0194097</w:t>
        </w:r>
      </w:hyperlink>
      <w:r>
        <w:t xml:space="preserve">.</w:t>
      </w:r>
    </w:p>
    <w:bookmarkEnd w:id="59"/>
    <w:bookmarkStart w:id="61" w:name="ref-Bataille_Conard_2019"/>
    <w:p>
      <w:pPr>
        <w:pStyle w:val="Bibliography"/>
      </w:pPr>
      <w:r>
        <w:t xml:space="preserve">[6]</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60">
        <w:r>
          <w:rPr>
            <w:rStyle w:val="Hyperlink"/>
          </w:rPr>
          <w:t xml:space="preserve">https://doi.org/10.7485/QU65_1</w:t>
        </w:r>
      </w:hyperlink>
      <w:r>
        <w:t xml:space="preserve">.</w:t>
      </w:r>
    </w:p>
    <w:bookmarkEnd w:id="61"/>
    <w:bookmarkStart w:id="63" w:name="ref-Dinnis_et_al_2019"/>
    <w:p>
      <w:pPr>
        <w:pStyle w:val="Bibliography"/>
      </w:pPr>
      <w:r>
        <w:t xml:space="preserve">[7]</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2">
        <w:r>
          <w:rPr>
            <w:rStyle w:val="Hyperlink"/>
          </w:rPr>
          <w:t xml:space="preserve">https://doi.org/10.1017/ppr.2019.11</w:t>
        </w:r>
      </w:hyperlink>
      <w:r>
        <w:t xml:space="preserve">.</w:t>
      </w:r>
    </w:p>
    <w:bookmarkEnd w:id="63"/>
    <w:bookmarkStart w:id="64" w:name="ref-Flas_et_al_2013"/>
    <w:p>
      <w:pPr>
        <w:pStyle w:val="Bibliography"/>
      </w:pPr>
      <w:r>
        <w:t xml:space="preserve">[8]</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64"/>
    <w:bookmarkStart w:id="66" w:name="ref-Flas_2015"/>
    <w:p>
      <w:pPr>
        <w:pStyle w:val="Bibliography"/>
      </w:pPr>
      <w:r>
        <w:t xml:space="preserve">[9]</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65">
        <w:r>
          <w:rPr>
            <w:rStyle w:val="Hyperlink"/>
          </w:rPr>
          <w:t xml:space="preserve">https://doi.org/10.4000/palethnologie.736</w:t>
        </w:r>
      </w:hyperlink>
      <w:r>
        <w:t xml:space="preserve">.</w:t>
      </w:r>
    </w:p>
    <w:bookmarkEnd w:id="66"/>
    <w:bookmarkStart w:id="68"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Falcucci_Peresani_2017"/>
    <w:p>
      <w:pPr>
        <w:pStyle w:val="Bibliography"/>
      </w:pPr>
      <w:r>
        <w:t xml:space="preserve">[11]</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69">
        <w:r>
          <w:rPr>
            <w:rStyle w:val="Hyperlink"/>
          </w:rPr>
          <w:t xml:space="preserve">https://doi.org/10.1371/journal.pone.0189241</w:t>
        </w:r>
      </w:hyperlink>
      <w:r>
        <w:t xml:space="preserve">.</w:t>
      </w:r>
    </w:p>
    <w:bookmarkEnd w:id="70"/>
    <w:bookmarkStart w:id="72" w:name="ref-falcucci2020breaking"/>
    <w:p>
      <w:pPr>
        <w:pStyle w:val="Bibliography"/>
      </w:pPr>
      <w:r>
        <w:t xml:space="preserve">[12]</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71">
        <w:r>
          <w:rPr>
            <w:rStyle w:val="Hyperlink"/>
          </w:rPr>
          <w:t xml:space="preserve">https://doi.org/10.4436/JASS.98021</w:t>
        </w:r>
      </w:hyperlink>
      <w:r>
        <w:t xml:space="preserve">.</w:t>
      </w:r>
    </w:p>
    <w:bookmarkEnd w:id="72"/>
    <w:bookmarkStart w:id="74" w:name="ref-Barshay_Szmidt_2012"/>
    <w:p>
      <w:pPr>
        <w:pStyle w:val="Bibliography"/>
      </w:pPr>
      <w:r>
        <w:t xml:space="preserve">[13]</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73">
        <w:r>
          <w:rPr>
            <w:rStyle w:val="Hyperlink"/>
          </w:rPr>
          <w:t xml:space="preserve">https://doi.org/10.4000/paleo.2250</w:t>
        </w:r>
      </w:hyperlink>
      <w:r>
        <w:t xml:space="preserve">.</w:t>
      </w:r>
    </w:p>
    <w:bookmarkEnd w:id="74"/>
    <w:bookmarkStart w:id="76" w:name="ref-Oliva_2006"/>
    <w:p>
      <w:pPr>
        <w:pStyle w:val="Bibliography"/>
      </w:pPr>
      <w:r>
        <w:t xml:space="preserve">[14]</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75">
        <w:r>
          <w:rPr>
            <w:rStyle w:val="Hyperlink"/>
          </w:rPr>
          <w:t xml:space="preserve">https://doi.org/10.1007/978-3-211-49294-9_4</w:t>
        </w:r>
      </w:hyperlink>
      <w:r>
        <w:t xml:space="preserve">.</w:t>
      </w:r>
    </w:p>
    <w:bookmarkEnd w:id="76"/>
    <w:bookmarkStart w:id="78" w:name="ref-Higham_2012"/>
    <w:p>
      <w:pPr>
        <w:pStyle w:val="Bibliography"/>
      </w:pPr>
      <w:r>
        <w:t xml:space="preserve">[15]</w:t>
      </w:r>
      <w:r>
        <w:t xml:space="preserve"> </w:t>
      </w:r>
      <w:r>
        <w:t xml:space="preserve">	</w:t>
      </w:r>
      <w:r>
        <w:t xml:space="preserve">Higham T, Basell L, Jacobi R, Wood R, Ramsey CB, Conard NJ. Testing models for the beginnings of the</w:t>
      </w:r>
      <w:r>
        <w:t xml:space="preserve"> </w:t>
      </w:r>
      <w:r>
        <w:t xml:space="preserve">Aurignacian</w:t>
      </w:r>
      <w:r>
        <w:t xml:space="preserve"> </w:t>
      </w:r>
      <w:r>
        <w:t xml:space="preserve">and the advent of figurative art and music: The radiocarbon chronology of</w:t>
      </w:r>
      <w:r>
        <w:t xml:space="preserve"> </w:t>
      </w:r>
      <w:r>
        <w:t xml:space="preserve">Gei</w:t>
      </w:r>
      <w:r>
        <w:t xml:space="preserve">ß</w:t>
      </w:r>
      <w:r>
        <w:t xml:space="preserve">enkl</w:t>
      </w:r>
      <w:r>
        <w:t xml:space="preserve">ö</w:t>
      </w:r>
      <w:r>
        <w:t xml:space="preserve">sterle</w:t>
      </w:r>
      <w:r>
        <w:t xml:space="preserve">. Journal of Human Evolution 2012;62:664–76.</w:t>
      </w:r>
      <w:r>
        <w:t xml:space="preserve"> </w:t>
      </w:r>
      <w:hyperlink r:id="rId77">
        <w:r>
          <w:rPr>
            <w:rStyle w:val="Hyperlink"/>
          </w:rPr>
          <w:t xml:space="preserve">https://doi.org/10.1016/j.jhevol.2012.03.003</w:t>
        </w:r>
      </w:hyperlink>
      <w:r>
        <w:t xml:space="preserve">.</w:t>
      </w:r>
    </w:p>
    <w:bookmarkEnd w:id="78"/>
    <w:bookmarkStart w:id="80" w:name="ref-zilhao2003aurignacian"/>
    <w:p>
      <w:pPr>
        <w:pStyle w:val="Bibliography"/>
      </w:pPr>
      <w:r>
        <w:t xml:space="preserve">[16]</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79">
        <w:r>
          <w:rPr>
            <w:rStyle w:val="Hyperlink"/>
          </w:rPr>
          <w:t xml:space="preserve">https://doi.org/10.4000/paleo.1231</w:t>
        </w:r>
      </w:hyperlink>
      <w:r>
        <w:t xml:space="preserve">.</w:t>
      </w:r>
    </w:p>
    <w:bookmarkEnd w:id="80"/>
    <w:bookmarkStart w:id="82" w:name="ref-Schurch_et_al_2025_bladelet"/>
    <w:p>
      <w:pPr>
        <w:pStyle w:val="Bibliography"/>
      </w:pPr>
      <w:r>
        <w:t xml:space="preserve">[17]</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81">
        <w:r>
          <w:rPr>
            <w:rStyle w:val="Hyperlink"/>
          </w:rPr>
          <w:t xml:space="preserve">https://doi.org/10.1371/journal.pone.0331921</w:t>
        </w:r>
      </w:hyperlink>
      <w:r>
        <w:t xml:space="preserve">.</w:t>
      </w:r>
    </w:p>
    <w:bookmarkEnd w:id="82"/>
    <w:bookmarkStart w:id="84" w:name="ref-Semal_2009"/>
    <w:p>
      <w:pPr>
        <w:pStyle w:val="Bibliography"/>
      </w:pPr>
      <w:r>
        <w:t xml:space="preserve">[18]</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83">
        <w:r>
          <w:rPr>
            <w:rStyle w:val="Hyperlink"/>
          </w:rPr>
          <w:t xml:space="preserve">https://doi.org/10.1002/ajpa.20954</w:t>
        </w:r>
      </w:hyperlink>
      <w:r>
        <w:t xml:space="preserve">.</w:t>
      </w:r>
    </w:p>
    <w:bookmarkEnd w:id="84"/>
    <w:bookmarkStart w:id="86" w:name="ref-Deschamps_2019"/>
    <w:p>
      <w:pPr>
        <w:pStyle w:val="Bibliography"/>
      </w:pPr>
      <w:r>
        <w:t xml:space="preserve">[19]</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85">
        <w:r>
          <w:rPr>
            <w:rStyle w:val="Hyperlink"/>
          </w:rPr>
          <w:t xml:space="preserve">https://doi.org/10.1016/j.crpv.2019.04.001</w:t>
        </w:r>
      </w:hyperlink>
      <w:r>
        <w:t xml:space="preserve">.</w:t>
      </w:r>
    </w:p>
    <w:bookmarkEnd w:id="86"/>
    <w:bookmarkEnd w:id="87"/>
    <w:bookmarkEnd w:id="88"/>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2026-09-06T08:38:07Z</dcterms:created>
  <dcterms:modified xsi:type="dcterms:W3CDTF">2026-09-06T08:38:07Z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2</vt:lpwstr>
  </property>
  <property fmtid="{D5CDD505-2E9C-101B-9397-08002B2CF9AE}" pid="18" name="title-block-published">
    <vt:lpwstr>Last updated</vt:lpwstr>
  </property>
  <property fmtid="{D5CDD505-2E9C-101B-9397-08002B2CF9AE}" pid="19" name="toc-title">
    <vt:lpwstr>Table of contents</vt:lpwstr>
  </property>
</Properties>
</file>