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convincing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 same procedure as S1 S5.11).</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hypothesis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partly supports the two-group hypothesis in Aur-P1: all three emission models (Bernoulli K = 3, Gaussian K = 4, Poisson K = 3) recover the restricted/broad split as their two largest blocks; Bernoulli and Gaussian additionally isolate Labeko Koba, Les Cottés, and Trou al’Wesse as a small third block, while under Poisson the same two broad sites pair off and Grotte du Renne joins the large mixed block (S1</w:t>
      </w:r>
      <w:r>
        <w:t xml:space="preserve"> </w:t>
      </w:r>
      <w:r>
        <w:t xml:space="preserve">“</w:t>
      </w:r>
      <w:r>
        <w:t xml:space="preserve">Sensitivity Analyses</w:t>
      </w:r>
      <w:r>
        <w:t xml:space="preserve">”</w:t>
      </w:r>
      <w:r>
        <w:t xml:space="preserve">). In Aur-P2 the Bernoulli and Poisson models select a single block and only the Gaussian model selects two, by 0.90 ICL points. We therefore retain the restricted/broad division as a dominant axis of sign type composition variation (rich vs. poor sign repertoires) with a stable small-block refinement in Aur-P1, rather than an exact two-group partition, and treat the Aur-P2 grouping as provisional.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The Aur-P1–Aur-P2 contrast is therefore primarily one of network scale rather than a statistically distinguishable community structure. Object-within-site bootstrap stability bands likewise overlap between phases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Betadisper did not detect a significant difference in within-group dispersion in either phase; this does not establish equal dispersions, so the PerMANOVA results should be interpreted cautiously. Complementary analyses provide mixed evidence (see our S1</w:t>
      </w:r>
      <w:r>
        <w:t xml:space="preserve"> </w:t>
      </w:r>
      <w:r>
        <w:t xml:space="preserve">“</w:t>
      </w:r>
      <w:r>
        <w:t xml:space="preserve">Sensitivity Analyses</w:t>
      </w:r>
      <w:r>
        <w:t xml:space="preserve">”</w:t>
      </w:r>
      <w:r>
        <w:t xml:space="preserve">). Object-half holdout shows that a richness-based contrast can be recovered from disjoint objects, but the contrast is weaker when Jaccard’s nestedness component is removed using Simpson turnover.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Among the subset of sites that attain comparable coverage, broad-range sites remain richer, and a negative-binomial model with an estimated exponent finds that the richness–effort exponent is consistent with a residual group difference at equal object count. Note, this estimate is imprecise because the sample is small and group membership is strongly collinear with object count, and a negative-binomial model with an fixed exponent shows no effect (S1). At the phase level, the Jaccard separation is not greater than expected under a fixed-margin null preserving site richness and sign-type frequencies, and no separation remains on Simpson turnover, which removes the nestedness component of Jaccard (S1 S10.1).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having protocuneiform-like information density, suggesting notational function, or</w:t>
      </w:r>
      <w:r>
        <w:t xml:space="preserve"> </w:t>
      </w:r>
      <w:r>
        <w:t xml:space="preserve">[107]</w:t>
      </w:r>
      <w:r>
        <w:t xml:space="preserve">’s claim that some sign recording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(Aur-P1: within-block 0.75/0.97 vs. across-block 0.2; Aur-P2: 0.49/0.92 vs. 0.4). A negative-binomial regression with the exponent estimated at 0.38 95% CI 0.23–0.53, shows broad-range sites with higher richness at equal object count (rate ratio 2.31, p = 0.003; see S1). With the exponent fixed at 1, the difference is not statistically significant (rate ratio 0.72, p = 0.292), but 1 lies outside the estimated interval and the free-slope estimate remains imprecise because group tracks object count. Stochastic block models recover the two-group partition as their two largest blocks in Aur-P1 under all three emission models (Bernoulli K = 3, Gaussian K = 4, Poisson K = 3; S1 §S9.3), with Labeko Koba, Les Cottés, and Trou al’Wesse forming a stable third block under Bernoulli and Gaussian models (under Poisson the same two broad sites pair off while Grotte du Renne joins the large mixed block), while in Aur-P2 the Bernoulli and Poisson models select a single block.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four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p>
      <w:pPr>
        <w:pStyle w:val="BodyText"/>
      </w:pPr>
      <w:r>
        <w:t xml:space="preserve">Fourth, the restricted/broad gradient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richness gap can reflect either richer repertoires or more objects; the data cannot separate the two for sites with few objects.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2026-09-06T18:40:04Z</dcterms:created>
  <dcterms:modified xsi:type="dcterms:W3CDTF">2026-09-06T18:40:04Z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