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3.png" ContentType="image/png"/>
  <Override PartName="/word/media/rId33.png" ContentType="image/png"/>
  <Override PartName="/word/media/rId25.png" ContentType="image/png"/>
  <Override PartName="/word/media/rId87.png" ContentType="image/png"/>
  <Override PartName="/word/media/rId241.png" ContentType="image/png"/>
  <Override PartName="/word/media/rId270.png" ContentType="image/png"/>
  <Override PartName="/word/media/rId258.png" ContentType="image/png"/>
  <Override PartName="/word/media/rId250.png" ContentType="image/png"/>
  <Override PartName="/word/media/rId74.png" ContentType="image/png"/>
  <Override PartName="/word/media/rId110.png" ContentType="image/png"/>
  <Override PartName="/word/media/rId137.png" ContentType="image/png"/>
  <Override PartName="/word/media/rId140.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13.png" ContentType="image/png"/>
  <Override PartName="/word/media/rId167.png" ContentType="image/png"/>
  <Override PartName="/word/media/rId170.png" ContentType="image/png"/>
  <Override PartName="/word/media/rId173.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16.png" ContentType="image/png"/>
  <Override PartName="/word/media/rId197.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2,</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1" w:name="sec-s1"/>
    <w:p>
      <w:pPr>
        <w:pStyle w:val="Heading1"/>
      </w:pPr>
      <w:r>
        <w:t xml:space="preserve">S1. Sensitivity Analysis: Network Similarity Threshold</w:t>
      </w:r>
    </w:p>
    <w:bookmarkStart w:id="22"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tbl>
      <w:tblPr>
        <w:tblStyle w:val="Table"/>
        <w:tblW w:type="pct" w:w="5000"/>
        <w:tblLook w:firstRow="0" w:lastRow="0" w:firstColumn="0" w:lastColumn="0" w:noHBand="0" w:noVBand="0" w:val="0000"/>
        <w:jc w:val="start"/>
        <w:tblLayout w:type="fixed"/>
      </w:tblPr>
      <w:tblGrid>
        <w:gridCol w:w="7920"/>
      </w:tblGrid>
      <w:tr>
        <w:tc>
          <w:tcPr/>
          <w:bookmarkStart w:id="21"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1: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21"/>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the review’s finding that the original single-end calibration systematically biases sites toward the older phase.</w:t>
      </w:r>
    </w:p>
    <w:bookmarkEnd w:id="22"/>
    <w:bookmarkStart w:id="24"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3"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3"/>
        </w:tc>
      </w:tr>
    </w:tbl>
    <w:bookmarkEnd w:id="24"/>
    <w:bookmarkStart w:id="29"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8" w:name="fig-sens-networks"/>
          <w:p>
            <w:pPr>
              <w:pStyle w:val="Compact"/>
              <w:jc w:val="center"/>
            </w:pPr>
            <w:r>
              <w:drawing>
                <wp:inline>
                  <wp:extent cx="5943600" cy="5403272"/>
                  <wp:effectExtent b="0" l="0" r="0" t="0"/>
                  <wp:docPr descr="" title="" id="26" name="Picture"/>
                  <a:graphic>
                    <a:graphicData uri="http://schemas.openxmlformats.org/drawingml/2006/picture">
                      <pic:pic>
                        <pic:nvPicPr>
                          <pic:cNvPr descr="../figures/sensitivity-network-plot.png" id="27" name="Picture"/>
                          <pic:cNvPicPr>
                            <a:picLocks noChangeArrowheads="1" noChangeAspect="1"/>
                          </pic:cNvPicPr>
                        </pic:nvPicPr>
                        <pic:blipFill>
                          <a:blip r:embed="rId25"/>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8"/>
        </w:tc>
      </w:tr>
    </w:tbl>
    <w:bookmarkEnd w:id="29"/>
    <w:bookmarkStart w:id="30"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2</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0"/>
    <w:bookmarkEnd w:id="31"/>
    <w:bookmarkStart w:id="39" w:name="sec-s2"/>
    <w:p>
      <w:pPr>
        <w:pStyle w:val="Heading1"/>
      </w:pPr>
      <w:r>
        <w:t xml:space="preserve">S2. Sensitivity to Similarity Metric Choice (Jaccard vs. Sørensen-Dice vs. Simpson)</w:t>
      </w:r>
    </w:p>
    <w:bookmarkStart w:id="37"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2"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3: Network statistics for each Aurignacian phase across three similarity metrics (Jaccard, Sørensen-Dice, Simpson) at threshold = 0.2.</w:t>
            </w:r>
          </w:p>
          <w:bookmarkEnd w:id="32"/>
        </w:tc>
      </w:tr>
    </w:tbl>
    <w:tbl>
      <w:tblPr>
        <w:tblStyle w:val="Table"/>
        <w:tblW w:type="pct" w:w="5000"/>
        <w:tblLook w:firstRow="0" w:lastRow="0" w:firstColumn="0" w:lastColumn="0" w:noHBand="0" w:noVBand="0" w:val="0000"/>
        <w:jc w:val="start"/>
        <w:tblLayout w:type="fixed"/>
      </w:tblPr>
      <w:tblGrid>
        <w:gridCol w:w="7920"/>
      </w:tblGrid>
      <w:tr>
        <w:tc>
          <w:tcPr/>
          <w:bookmarkStart w:id="36" w:name="fig-metric-networks"/>
          <w:p>
            <w:pPr>
              <w:pStyle w:val="Compact"/>
              <w:jc w:val="center"/>
            </w:pPr>
            <w:r>
              <w:drawing>
                <wp:inline>
                  <wp:extent cx="5943600" cy="5403272"/>
                  <wp:effectExtent b="0" l="0" r="0" t="0"/>
                  <wp:docPr descr="" title="" id="34" name="Picture"/>
                  <a:graphic>
                    <a:graphicData uri="http://schemas.openxmlformats.org/drawingml/2006/picture">
                      <pic:pic>
                        <pic:nvPicPr>
                          <pic:cNvPr descr="../figures/sensitivity-metric-plot.png" id="35" name="Picture"/>
                          <pic:cNvPicPr>
                            <a:picLocks noChangeArrowheads="1" noChangeAspect="1"/>
                          </pic:cNvPicPr>
                        </pic:nvPicPr>
                        <pic:blipFill>
                          <a:blip r:embed="rId33"/>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6"/>
        </w:tc>
      </w:tr>
    </w:tbl>
    <w:bookmarkEnd w:id="37"/>
    <w:bookmarkStart w:id="38"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8"/>
    <w:bookmarkEnd w:id="39"/>
    <w:bookmarkStart w:id="43" w:name="sec-s3"/>
    <w:p>
      <w:pPr>
        <w:pStyle w:val="Heading1"/>
      </w:pPr>
      <w:r>
        <w:t xml:space="preserve">S3. Geodesic vs. Euclidean Geographic Distance Verification (Mantel Tests)</w:t>
      </w:r>
    </w:p>
    <w:bookmarkStart w:id="41"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4: Comparison of Mantel test results (Mantel R and p-value) evaluating sign assemblage dissimilarity vs. spatial distance using flat coordinate Euclidean distance vs. true Geodesic distance (in kilometers).</w:t>
            </w:r>
          </w:p>
          <w:bookmarkEnd w:id="40"/>
        </w:tc>
      </w:tr>
    </w:tbl>
    <w:bookmarkEnd w:id="41"/>
    <w:bookmarkStart w:id="42"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2"/>
    <w:bookmarkEnd w:id="43"/>
    <w:bookmarkStart w:id="50" w:name="sec-s4"/>
    <w:p>
      <w:pPr>
        <w:pStyle w:val="Heading1"/>
      </w:pPr>
      <w:r>
        <w:t xml:space="preserve">S4. Periodisation Scheme Sensitivity</w:t>
      </w:r>
    </w:p>
    <w:bookmarkStart w:id="46"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4"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Reference: network statistics under the two-phase periodisation used in the main text (threshold = 0.2). Aur-P1 = Proto + Early; Aur-P2 = Evolved.</w:t>
            </w:r>
          </w:p>
          <w:bookmarkEnd w:id="4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5"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Network statistics for the technology-assigned components of the two-phase baseline (Proto-Aurignacian, Early Aurignacian, Evolved Aurignacian) at threshold = 0.2. Aur-P1 = Proto + Early; Aur-P2 = Evolved.</w:t>
            </w:r>
          </w:p>
          <w:bookmarkEnd w:id="45"/>
        </w:tc>
      </w:tr>
    </w:tbl>
    <w:bookmarkEnd w:id="46"/>
    <w:bookmarkStart w:id="49"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7"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7: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7"/>
        </w:tc>
      </w:tr>
    </w:tbl>
    <w:bookmarkStart w:id="48"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8"/>
    <w:bookmarkEnd w:id="49"/>
    <w:bookmarkEnd w:id="50"/>
    <w:bookmarkStart w:id="99"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7</w:t>
        </w:r>
      </w:hyperlink>
      <w:r>
        <w:t xml:space="preserve">.</w:t>
      </w:r>
    </w:p>
    <w:bookmarkStart w:id="55" w:name="sec-s5-1"/>
    <w:p>
      <w:pPr>
        <w:pStyle w:val="Heading2"/>
      </w:pPr>
      <w:r>
        <w:t xml:space="preserve">S5.1 Algorithmic Group Detection via Louvain Community Partitioning</w:t>
      </w:r>
    </w:p>
    <w:bookmarkStart w:id="54"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[3]</w:t>
      </w:r>
      <w:r>
        <w:t xml:space="preserve"> </w:t>
      </w:r>
      <w:r>
        <w:t xml:space="preserve">identifies clusters of sites whose sign repertoires are more similar to each other than to sites in other clusters, optimising Newman–Girvan modularity</w:t>
      </w:r>
      <w:r>
        <w:t xml:space="preserve"> </w:t>
      </w:r>
      <w:r>
        <w:t xml:space="preserve">[4]</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8: Louvain community memberships for each site, by phase and threshold. Sites with no community assignment (no edges at that threshold) are assigned to a singleton community. Groups are numbered by Louvain membership.</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9: Adjusted Rand Index (ARI) between Louvain-derived communities and the manually assigned restricted/broad groups, by phase and threshold. ARI = 1.0 indicates identical partitions; ARI ≈ 0 indicates agreement no better than chance.</w:t>
            </w:r>
          </w:p>
          <w:bookmarkEnd w:id="5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3"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10: PerMANOVA comparison: manual (restricted/broad) grouping versus Louvain-derived grouping. R², pseudo-F, and p-values for each phase and threshold.</w:t>
            </w:r>
          </w:p>
          <w:bookmarkEnd w:id="53"/>
        </w:tc>
      </w:tr>
    </w:tbl>
    <w:bookmarkEnd w:id="54"/>
    <w:bookmarkEnd w:id="55"/>
    <w:bookmarkStart w:id="60" w:name="s5.1-interpretation"/>
    <w:p>
      <w:pPr>
        <w:pStyle w:val="Heading2"/>
      </w:pPr>
      <w:r>
        <w:t xml:space="preserve">S5.1 Interpretation</w:t>
      </w:r>
    </w:p>
    <w:bookmarkStart w:id="56"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8</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6"/>
    <w:bookmarkStart w:id="57"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9</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7"/>
    <w:bookmarkStart w:id="58"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10</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8"/>
    <w:bookmarkStart w:id="59"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7</w:t>
        </w:r>
      </w:hyperlink>
      <w:r>
        <w:t xml:space="preserve">.</w:t>
      </w:r>
    </w:p>
    <w:bookmarkEnd w:id="59"/>
    <w:bookmarkEnd w:id="60"/>
    <w:bookmarkStart w:id="61"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1"/>
    <w:bookmarkStart w:id="62"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2"/>
    <w:bookmarkStart w:id="64"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3"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11: Observed modularity and null-model p-values for each Aurignacian phase at three Jaccard similarity thresholds.</w:t>
            </w:r>
          </w:p>
          <w:bookmarkEnd w:id="63"/>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4"/>
    <w:bookmarkStart w:id="66" w:name="sec-s5-4"/>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12: Spearman correlations between node degree and site sign richness (number of distinct sign types) within each Aurignacian phase, at the baseline threshold of 0.2.</w:t>
            </w:r>
          </w:p>
          <w:bookmarkEnd w:id="6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6"/>
    <w:bookmarkStart w:id="73" w:name="sec-s5-5"/>
    <w:p>
      <w:pPr>
        <w:pStyle w:val="Heading2"/>
      </w:pPr>
      <w:r>
        <w:t xml:space="preserve">S5.5 Phase-Boundary Sensitivity</w:t>
      </w:r>
    </w:p>
    <w:bookmarkStart w:id="69"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7"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13: Number of objects and sites within ±500 and ±1000 calibrated years of the single periodisation boundary at 37799 BP separating Aur-P1 from Aur-P2.</w:t>
            </w:r>
          </w:p>
          <w:bookmarkEnd w:id="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8"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14: Network statistics at the baseline threshold of 0.2 under shifts of the single Aur-P1/Aur-P2 boundary. Positive shifts move the boundary later (older objects reassigned to Aur-P2); negative shifts move it earlier (younger Aur-P2 objects reassigned to Aur-P1).</w:t>
            </w:r>
          </w:p>
          <w:bookmarkEnd w:id="68"/>
        </w:tc>
      </w:tr>
    </w:tbl>
    <w:bookmarkEnd w:id="69"/>
    <w:bookmarkStart w:id="70"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0"/>
    <w:bookmarkStart w:id="71"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1"/>
    <w:bookmarkStart w:id="72"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2"/>
    <w:bookmarkEnd w:id="73"/>
    <w:bookmarkStart w:id="78"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7" w:name="fig-threshold-sweep"/>
          <w:p>
            <w:pPr>
              <w:pStyle w:val="Compact"/>
              <w:jc w:val="center"/>
            </w:pPr>
            <w:r>
              <w:drawing>
                <wp:inline>
                  <wp:extent cx="5943600" cy="2971800"/>
                  <wp:effectExtent b="0" l="0" r="0" t="0"/>
                  <wp:docPr descr="" title="" id="75" name="Picture"/>
                  <a:graphic>
                    <a:graphicData uri="http://schemas.openxmlformats.org/drawingml/2006/picture">
                      <pic:pic>
                        <pic:nvPicPr>
                          <pic:cNvPr descr="S1-supplement-sensitivity_files/figure-docx/fig-threshold-sweep-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7"/>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8"/>
    <w:bookmarkStart w:id="80"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9"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 degree</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15: Bootstrap 95% confidence intervals for mean degree and modularity at threshold = 0.2, based on 999 within-phase resamples.</w:t>
            </w:r>
          </w:p>
          <w:bookmarkEnd w:id="79"/>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80"/>
    <w:bookmarkStart w:id="82"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4</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1"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16: Mantel test p-values before and after Benjamini–Hochberg correction for multiple testing across 2 phases × 2 distance measures (4 tests total). Results with adjusted p &lt; 0.05 are highlighted.</w:t>
            </w:r>
          </w:p>
          <w:bookmarkEnd w:id="81"/>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2"/>
    <w:bookmarkStart w:id="84"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3"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17: Network metrics normalised by size-matched Erdos-Renyi expectation. Ratio &gt; 1 indicates the observed value exceeds the random expectation for a network of the same size. ER mean and SD are based on 100 random graphs per phase.</w:t>
            </w:r>
          </w:p>
          <w:bookmarkEnd w:id="83"/>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4"/>
    <w:bookmarkStart w:id="85" w:name="sec-s5-10"/>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[5]</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85"/>
    <w:bookmarkStart w:id="93" w:name="sec-s5-11"/>
    <w:p>
      <w:pPr>
        <w:pStyle w:val="Heading2"/>
      </w:pPr>
      <w:r>
        <w:t xml:space="preserve">S5.11 Mantel Correlogram and Bootstrap Confidence Intervals on the Mantel R</w:t>
      </w:r>
    </w:p>
    <w:bookmarkStart w:id="86" w:name="rationale-3"/>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4"/>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4"/>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86"/>
    <w:bookmarkStart w:id="91"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[6]</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90" w:name="fig-mantel-correlogram"/>
          <w:p>
            <w:pPr>
              <w:pStyle w:val="Compact"/>
              <w:jc w:val="center"/>
            </w:pPr>
            <w:r>
              <w:drawing>
                <wp:inline>
                  <wp:extent cx="5943600" cy="3714750"/>
                  <wp:effectExtent b="0" l="0" r="0" t="0"/>
                  <wp:docPr descr="" title="" id="88" name="Picture"/>
                  <a:graphic>
                    <a:graphicData uri="http://schemas.openxmlformats.org/drawingml/2006/picture">
                      <pic:pic>
                        <pic:nvPicPr>
                          <pic:cNvPr descr="S1-supplement-sensitivity_files/figure-docx/fig-mantel-correlogram-1.png" id="89" name="Picture"/>
                          <pic:cNvPicPr>
                            <a:picLocks noChangeArrowheads="1" noChangeAspect="1"/>
                          </pic:cNvPicPr>
                        </pic:nvPicPr>
                        <pic:blipFill>
                          <a:blip r:embed="rId87"/>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90"/>
        </w:tc>
      </w:tr>
    </w:tbl>
    <w:bookmarkEnd w:id="91"/>
    <w:bookmarkStart w:id="92"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bootstrap 95% CI on this statistic is [0.036, 0.517] for Aur-P1 and [-0.199, 0.749] for Aur-P2; both span zero. Because the Aur-P2 analysis rests on only 9 sites (36 site pairs) and Aur-P1 on 20 sites (190 pairs), the Mantel test has low statistical power: the wide intervals mean a true moderate geographic correlation (|r| ≈ 0.3–0.4) would fall well inside the sampling noise and could not be excluded. The non-significant Mantel result must therefore be read as a</w:t>
      </w:r>
      <w:r>
        <w:t xml:space="preserve"> </w:t>
      </w:r>
      <w:r>
        <w:rPr>
          <w:iCs/>
          <w:i/>
        </w:rPr>
        <w:t xml:space="preserve">lack of evidence</w:t>
      </w:r>
      <w:r>
        <w:t xml:space="preserve"> </w:t>
      </w:r>
      <w:r>
        <w:t xml:space="preserve">for geographic structure, not as evidence that geographic structure is absent, and (consistent with S5.10) it provides no support for any alternative cultural process.</w:t>
      </w:r>
    </w:p>
    <w:bookmarkEnd w:id="92"/>
    <w:bookmarkEnd w:id="93"/>
    <w:bookmarkStart w:id="98" w:name="sec-s5-12"/>
    <w:p>
      <w:pPr>
        <w:pStyle w:val="Heading2"/>
      </w:pPr>
      <w:r>
        <w:t xml:space="preserve">S5.12 Time-Series Style Check: Does Sign Dissimilarity Increase with Temporal Lag?</w:t>
      </w:r>
    </w:p>
    <w:bookmarkStart w:id="94" w:name="rationale-4"/>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the reviewer correctly notes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5"/>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5"/>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5"/>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94"/>
    <w:bookmarkStart w:id="96"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95"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18: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95"/>
        </w:tc>
      </w:tr>
    </w:tbl>
    <w:bookmarkEnd w:id="96"/>
    <w:bookmarkStart w:id="97"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18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97"/>
    <w:bookmarkEnd w:id="98"/>
    <w:bookmarkEnd w:id="99"/>
    <w:bookmarkStart w:id="210" w:name="sec-s6"/>
    <w:p>
      <w:pPr>
        <w:pStyle w:val="Heading1"/>
      </w:pPr>
      <w:r>
        <w:t xml:space="preserve">S6. Robustness of the Two-Group Structure: Bootstrap Consensus and Stochastic Block Models</w:t>
      </w:r>
    </w:p>
    <w:bookmarkStart w:id="100"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[7]</w:t>
      </w:r>
      <w:r>
        <w:t xml:space="preserve">, quantifying the stability of the two-group partition as a whole and of each site’s assignment. In S6.3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[8]</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r>
        <w:t xml:space="preserve"> </w:t>
      </w:r>
      <w:r>
        <w:t xml:space="preserve">[9]</w:t>
      </w:r>
      <w:r>
        <w:t xml:space="preserve">.</w:t>
      </w:r>
    </w:p>
    <w:bookmarkEnd w:id="100"/>
    <w:bookmarkStart w:id="109" w:name="sec-s6-2"/>
    <w:p>
      <w:pPr>
        <w:pStyle w:val="Heading2"/>
      </w:pPr>
      <w:r>
        <w:t xml:space="preserve">S6.2 Bootstrap Consensus Analysis</w:t>
      </w:r>
    </w:p>
    <w:bookmarkStart w:id="107" w:name="rationale-5"/>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101"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19: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20: Per-site bootstrap consistency: proportion of 1000 resamples in which each site is assigned to its modal (most frequent) block. Consistency near 1 indicates robust assignment; values near 0.5 indicate sites whose group membership flips across resamples.</w:t>
            </w:r>
          </w:p>
          <w:bookmarkEnd w:id="102"/>
        </w:tc>
      </w:tr>
    </w:tbl>
    <w:tbl>
      <w:tblPr>
        <w:tblStyle w:val="Table"/>
        <w:tblW w:type="pct" w:w="5000"/>
        <w:tblLook w:firstRow="0" w:lastRow="0" w:firstColumn="0" w:lastColumn="0" w:noHBand="0" w:noVBand="0" w:val="0000"/>
        <w:jc w:val="start"/>
        <w:tblLayout w:type="fixed"/>
      </w:tblPr>
      <w:tblGrid>
        <w:gridCol w:w="7920"/>
      </w:tblGrid>
      <w:tr>
        <w:tc>
          <w:tcPr/>
          <w:bookmarkStart w:id="106" w:name="fig-bootstrap-consensus"/>
          <w:p>
            <w:pPr>
              <w:pStyle w:val="Compact"/>
              <w:jc w:val="center"/>
            </w:pPr>
            <w:r>
              <w:drawing>
                <wp:inline>
                  <wp:extent cx="5943600" cy="6604000"/>
                  <wp:effectExtent b="0" l="0" r="0" t="0"/>
                  <wp:docPr descr="" title="" id="104" name="Picture"/>
                  <a:graphic>
                    <a:graphicData uri="http://schemas.openxmlformats.org/drawingml/2006/picture">
                      <pic:pic>
                        <pic:nvPicPr>
                          <pic:cNvPr descr="../figures/bootstrap-consensus-plot.png" id="105" name="Picture"/>
                          <pic:cNvPicPr>
                            <a:picLocks noChangeArrowheads="1" noChangeAspect="1"/>
                          </pic:cNvPicPr>
                        </pic:nvPicPr>
                        <pic:blipFill>
                          <a:blip r:embed="rId103"/>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06"/>
        </w:tc>
      </w:tr>
    </w:tbl>
    <w:bookmarkEnd w:id="107"/>
    <w:bookmarkStart w:id="108" w:name="interpretation-2"/>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20</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20</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5</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20</w:t>
        </w:r>
      </w:hyperlink>
      <w:r>
        <w:t xml:space="preserve">.</w:t>
      </w:r>
    </w:p>
    <w:bookmarkEnd w:id="108"/>
    <w:bookmarkEnd w:id="109"/>
    <w:bookmarkStart w:id="204" w:name="sec-s6-3"/>
    <w:p>
      <w:pPr>
        <w:pStyle w:val="Heading2"/>
      </w:pPr>
      <w:r>
        <w:t xml:space="preserve">S6.3 Stochastic Block Models</w:t>
      </w:r>
    </w:p>
    <w:bookmarkStart w:id="202" w:name="rationale-6"/>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two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and (2) a</w:t>
      </w:r>
      <w:r>
        <w:t xml:space="preserve"> </w:t>
      </w:r>
      <w:r>
        <w:rPr>
          <w:bCs/>
          <w:b/>
        </w:rPr>
        <w:t xml:space="preserve">Gaussian SBM</w:t>
      </w:r>
      <w:r>
        <w:t xml:space="preserve"> </w:t>
      </w:r>
      <w:r>
        <w:t xml:space="preserve">on the unthresholded weighted adjacency matrix (1 − Jaccard similarity, values in [0, 1]). Both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11" name="Picture"/>
            <a:graphic>
              <a:graphicData uri="http://schemas.openxmlformats.org/drawingml/2006/picture">
                <pic:pic>
                  <pic:nvPicPr>
                    <pic:cNvPr descr="S1-supplement-sensitivity_files/figure-docx/s6-sbm-compute-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1-supplement-sensitivity_files/figure-docx/s6-sbm-compute-2.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7" name="Picture"/>
            <a:graphic>
              <a:graphicData uri="http://schemas.openxmlformats.org/drawingml/2006/picture">
                <pic:pic>
                  <pic:nvPicPr>
                    <pic:cNvPr descr="S1-supplement-sensitivity_files/figure-docx/s6-sbm-compute-3.png" id="118" name="Picture"/>
                    <pic:cNvPicPr>
                      <a:picLocks noChangeArrowheads="1" noChangeAspect="1"/>
                    </pic:cNvPicPr>
                  </pic:nvPicPr>
                  <pic:blipFill>
                    <a:blip r:embed="rId1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0" name="Picture"/>
            <a:graphic>
              <a:graphicData uri="http://schemas.openxmlformats.org/drawingml/2006/picture">
                <pic:pic>
                  <pic:nvPicPr>
                    <pic:cNvPr descr="S1-supplement-sensitivity_files/figure-docx/s6-sbm-compute-4.png" id="121" name="Picture"/>
                    <pic:cNvPicPr>
                      <a:picLocks noChangeArrowheads="1" noChangeAspect="1"/>
                    </pic:cNvPicPr>
                  </pic:nvPicPr>
                  <pic:blipFill>
                    <a:blip r:embed="rId1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3" name="Picture"/>
            <a:graphic>
              <a:graphicData uri="http://schemas.openxmlformats.org/drawingml/2006/picture">
                <pic:pic>
                  <pic:nvPicPr>
                    <pic:cNvPr descr="S1-supplement-sensitivity_files/figure-docx/s6-sbm-compute-5.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6" name="Picture"/>
            <a:graphic>
              <a:graphicData uri="http://schemas.openxmlformats.org/drawingml/2006/picture">
                <pic:pic>
                  <pic:nvPicPr>
                    <pic:cNvPr descr="S1-supplement-sensitivity_files/figure-docx/s6-sbm-compute-6.png" id="127" name="Picture"/>
                    <pic:cNvPicPr>
                      <a:picLocks noChangeArrowheads="1" noChangeAspect="1"/>
                    </pic:cNvPicPr>
                  </pic:nvPicPr>
                  <pic:blipFill>
                    <a:blip r:embed="rId12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9" name="Picture"/>
            <a:graphic>
              <a:graphicData uri="http://schemas.openxmlformats.org/drawingml/2006/picture">
                <pic:pic>
                  <pic:nvPicPr>
                    <pic:cNvPr descr="S1-supplement-sensitivity_files/figure-docx/s6-sbm-compute-7.png" id="130" name="Picture"/>
                    <pic:cNvPicPr>
                      <a:picLocks noChangeArrowheads="1" noChangeAspect="1"/>
                    </pic:cNvPicPr>
                  </pic:nvPicPr>
                  <pic:blipFill>
                    <a:blip r:embed="rId12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2" name="Picture"/>
            <a:graphic>
              <a:graphicData uri="http://schemas.openxmlformats.org/drawingml/2006/picture">
                <pic:pic>
                  <pic:nvPicPr>
                    <pic:cNvPr descr="S1-supplement-sensitivity_files/figure-docx/s6-sbm-compute-8.png" id="133" name="Picture"/>
                    <pic:cNvPicPr>
                      <a:picLocks noChangeArrowheads="1" noChangeAspect="1"/>
                    </pic:cNvPicPr>
                  </pic:nvPicPr>
                  <pic:blipFill>
                    <a:blip r:embed="rId13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5" name="Picture"/>
            <a:graphic>
              <a:graphicData uri="http://schemas.openxmlformats.org/drawingml/2006/picture">
                <pic:pic>
                  <pic:nvPicPr>
                    <pic:cNvPr descr="S1-supplement-sensitivity_files/figure-docx/s6-sbm-compute-9.png" id="136" name="Picture"/>
                    <pic:cNvPicPr>
                      <a:picLocks noChangeArrowheads="1" noChangeAspect="1"/>
                    </pic:cNvPicPr>
                  </pic:nvPicPr>
                  <pic:blipFill>
                    <a:blip r:embed="rId1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8" name="Picture"/>
            <a:graphic>
              <a:graphicData uri="http://schemas.openxmlformats.org/drawingml/2006/picture">
                <pic:pic>
                  <pic:nvPicPr>
                    <pic:cNvPr descr="S1-supplement-sensitivity_files/figure-docx/s6-sbm-compute-10.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1" name="Picture"/>
            <a:graphic>
              <a:graphicData uri="http://schemas.openxmlformats.org/drawingml/2006/picture">
                <pic:pic>
                  <pic:nvPicPr>
                    <pic:cNvPr descr="S1-supplement-sensitivity_files/figure-docx/s6-sbm-compute-1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4" name="Picture"/>
            <a:graphic>
              <a:graphicData uri="http://schemas.openxmlformats.org/drawingml/2006/picture">
                <pic:pic>
                  <pic:nvPicPr>
                    <pic:cNvPr descr="S1-supplement-sensitivity_files/figure-docx/s6-sbm-compute-12.png" id="145" name="Picture"/>
                    <pic:cNvPicPr>
                      <a:picLocks noChangeArrowheads="1" noChangeAspect="1"/>
                    </pic:cNvPicPr>
                  </pic:nvPicPr>
                  <pic:blipFill>
                    <a:blip r:embed="rId14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7" name="Picture"/>
            <a:graphic>
              <a:graphicData uri="http://schemas.openxmlformats.org/drawingml/2006/picture">
                <pic:pic>
                  <pic:nvPicPr>
                    <pic:cNvPr descr="S1-supplement-sensitivity_files/figure-docx/s6-sbm-compute-13.png" id="148" name="Picture"/>
                    <pic:cNvPicPr>
                      <a:picLocks noChangeArrowheads="1" noChangeAspect="1"/>
                    </pic:cNvPicPr>
                  </pic:nvPicPr>
                  <pic:blipFill>
                    <a:blip r:embed="rId14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0" name="Picture"/>
            <a:graphic>
              <a:graphicData uri="http://schemas.openxmlformats.org/drawingml/2006/picture">
                <pic:pic>
                  <pic:nvPicPr>
                    <pic:cNvPr descr="S1-supplement-sensitivity_files/figure-docx/s6-sbm-compute-14.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3" name="Picture"/>
            <a:graphic>
              <a:graphicData uri="http://schemas.openxmlformats.org/drawingml/2006/picture">
                <pic:pic>
                  <pic:nvPicPr>
                    <pic:cNvPr descr="S1-supplement-sensitivity_files/figure-docx/s6-sbm-compute-15.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6" name="Picture"/>
            <a:graphic>
              <a:graphicData uri="http://schemas.openxmlformats.org/drawingml/2006/picture">
                <pic:pic>
                  <pic:nvPicPr>
                    <pic:cNvPr descr="S1-supplement-sensitivity_files/figure-docx/s6-sbm-compute-16.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9" name="Picture"/>
            <a:graphic>
              <a:graphicData uri="http://schemas.openxmlformats.org/drawingml/2006/picture">
                <pic:pic>
                  <pic:nvPicPr>
                    <pic:cNvPr descr="S1-supplement-sensitivity_files/figure-docx/s6-sbm-compute-17.png" id="160" name="Picture"/>
                    <pic:cNvPicPr>
                      <a:picLocks noChangeArrowheads="1" noChangeAspect="1"/>
                    </pic:cNvPicPr>
                  </pic:nvPicPr>
                  <pic:blipFill>
                    <a:blip r:embed="rId15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2" name="Picture"/>
            <a:graphic>
              <a:graphicData uri="http://schemas.openxmlformats.org/drawingml/2006/picture">
                <pic:pic>
                  <pic:nvPicPr>
                    <pic:cNvPr descr="S1-supplement-sensitivity_files/figure-docx/s6-sbm-compute-18.png" id="163" name="Picture"/>
                    <pic:cNvPicPr>
                      <a:picLocks noChangeArrowheads="1" noChangeAspect="1"/>
                    </pic:cNvPicPr>
                  </pic:nvPicPr>
                  <pic:blipFill>
                    <a:blip r:embed="rId16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5" name="Picture"/>
            <a:graphic>
              <a:graphicData uri="http://schemas.openxmlformats.org/drawingml/2006/picture">
                <pic:pic>
                  <pic:nvPicPr>
                    <pic:cNvPr descr="S1-supplement-sensitivity_files/figure-docx/s6-sbm-compute-19.png" id="166" name="Picture"/>
                    <pic:cNvPicPr>
                      <a:picLocks noChangeArrowheads="1" noChangeAspect="1"/>
                    </pic:cNvPicPr>
                  </pic:nvPicPr>
                  <pic:blipFill>
                    <a:blip r:embed="rId16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8" name="Picture"/>
            <a:graphic>
              <a:graphicData uri="http://schemas.openxmlformats.org/drawingml/2006/picture">
                <pic:pic>
                  <pic:nvPicPr>
                    <pic:cNvPr descr="S1-supplement-sensitivity_files/figure-docx/s6-sbm-compute-20.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1" name="Picture"/>
            <a:graphic>
              <a:graphicData uri="http://schemas.openxmlformats.org/drawingml/2006/picture">
                <pic:pic>
                  <pic:nvPicPr>
                    <pic:cNvPr descr="S1-supplement-sensitivity_files/figure-docx/s6-sbm-compute-21.png" id="172" name="Picture"/>
                    <pic:cNvPicPr>
                      <a:picLocks noChangeArrowheads="1" noChangeAspect="1"/>
                    </pic:cNvPicPr>
                  </pic:nvPicPr>
                  <pic:blipFill>
                    <a:blip r:embed="rId17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4" name="Picture"/>
            <a:graphic>
              <a:graphicData uri="http://schemas.openxmlformats.org/drawingml/2006/picture">
                <pic:pic>
                  <pic:nvPicPr>
                    <pic:cNvPr descr="S1-supplement-sensitivity_files/figure-docx/s6-sbm-compute-22.png" id="175" name="Picture"/>
                    <pic:cNvPicPr>
                      <a:picLocks noChangeArrowheads="1" noChangeAspect="1"/>
                    </pic:cNvPicPr>
                  </pic:nvPicPr>
                  <pic:blipFill>
                    <a:blip r:embed="rId1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7" name="Picture"/>
            <a:graphic>
              <a:graphicData uri="http://schemas.openxmlformats.org/drawingml/2006/picture">
                <pic:pic>
                  <pic:nvPicPr>
                    <pic:cNvPr descr="S1-supplement-sensitivity_files/figure-docx/s6-sbm-compute-23.png" id="178" name="Picture"/>
                    <pic:cNvPicPr>
                      <a:picLocks noChangeArrowheads="1" noChangeAspect="1"/>
                    </pic:cNvPicPr>
                  </pic:nvPicPr>
                  <pic:blipFill>
                    <a:blip r:embed="rId1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0" name="Picture"/>
            <a:graphic>
              <a:graphicData uri="http://schemas.openxmlformats.org/drawingml/2006/picture">
                <pic:pic>
                  <pic:nvPicPr>
                    <pic:cNvPr descr="S1-supplement-sensitivity_files/figure-docx/s6-sbm-compute-24.png" id="181" name="Picture"/>
                    <pic:cNvPicPr>
                      <a:picLocks noChangeArrowheads="1" noChangeAspect="1"/>
                    </pic:cNvPicPr>
                  </pic:nvPicPr>
                  <pic:blipFill>
                    <a:blip r:embed="rId1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3" name="Picture"/>
            <a:graphic>
              <a:graphicData uri="http://schemas.openxmlformats.org/drawingml/2006/picture">
                <pic:pic>
                  <pic:nvPicPr>
                    <pic:cNvPr descr="S1-supplement-sensitivity_files/figure-docx/s6-sbm-compute-25.png" id="184" name="Picture"/>
                    <pic:cNvPicPr>
                      <a:picLocks noChangeArrowheads="1" noChangeAspect="1"/>
                    </pic:cNvPicPr>
                  </pic:nvPicPr>
                  <pic:blipFill>
                    <a:blip r:embed="rId18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6" name="Picture"/>
            <a:graphic>
              <a:graphicData uri="http://schemas.openxmlformats.org/drawingml/2006/picture">
                <pic:pic>
                  <pic:nvPicPr>
                    <pic:cNvPr descr="S1-supplement-sensitivity_files/figure-docx/s6-sbm-compute-26.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9" name="Picture"/>
            <a:graphic>
              <a:graphicData uri="http://schemas.openxmlformats.org/drawingml/2006/picture">
                <pic:pic>
                  <pic:nvPicPr>
                    <pic:cNvPr descr="S1-supplement-sensitivity_files/figure-docx/s6-sbm-compute-27.png" id="190" name="Picture"/>
                    <pic:cNvPicPr>
                      <a:picLocks noChangeArrowheads="1" noChangeAspect="1"/>
                    </pic:cNvPicPr>
                  </pic:nvPicPr>
                  <pic:blipFill>
                    <a:blip r:embed="rId18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2" name="Picture"/>
            <a:graphic>
              <a:graphicData uri="http://schemas.openxmlformats.org/drawingml/2006/picture">
                <pic:pic>
                  <pic:nvPicPr>
                    <pic:cNvPr descr="S1-supplement-sensitivity_files/figure-docx/s6-sbm-compute-28.png" id="193" name="Picture"/>
                    <pic:cNvPicPr>
                      <a:picLocks noChangeArrowheads="1" noChangeAspect="1"/>
                    </pic:cNvPicPr>
                  </pic:nvPicPr>
                  <pic:blipFill>
                    <a:blip r:embed="rId19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5" name="Picture"/>
            <a:graphic>
              <a:graphicData uri="http://schemas.openxmlformats.org/drawingml/2006/picture">
                <pic:pic>
                  <pic:nvPicPr>
                    <pic:cNvPr descr="S1-supplement-sensitivity_files/figure-docx/s6-sbm-compute-29.png" id="196" name="Picture"/>
                    <pic:cNvPicPr>
                      <a:picLocks noChangeArrowheads="1" noChangeAspect="1"/>
                    </pic:cNvPicPr>
                  </pic:nvPicPr>
                  <pic:blipFill>
                    <a:blip r:embed="rId19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8" name="Picture"/>
            <a:graphic>
              <a:graphicData uri="http://schemas.openxmlformats.org/drawingml/2006/picture">
                <pic:pic>
                  <pic:nvPicPr>
                    <pic:cNvPr descr="S1-supplement-sensitivity_files/figure-docx/s6-sbm-compute-30.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00"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21: Integrated Classification Likelihood (ICL) for stochastic block models with K = 1 to 5 blocks, by phase and model family. The best-supported number of blocks (maximum ICL) is bolded. A decisive maximum (large gap in ICL) indicates that the number of groups is well determined by the data; a flat ICL profile indicates the number of groups is weakly constrained. Bernoulli model uses binarized adjacency (edge if similarity ≥ 0.2); Gaussian model uses unthresholded weighted similarities (1 − Jaccard).</w:t>
            </w:r>
          </w:p>
          <w:bookmarkEnd w:id="20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01"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Bockstein-Törle…41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Gargas…42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Fels…43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Viña…44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Rois…45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Mladeč…46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Cave…47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Magrite…48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Cave…49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Bockstein-Törle…50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Gargas…51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Fels…52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Viña…53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Rois…54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Mladeč…55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Cave…56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Magrite…57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Cave…58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22: Posterior block-membership probabilities and modal (hard) assignment from the best-fitting stochastic block model for each phase and model family.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w:t>
            </w:r>
          </w:p>
          <w:bookmarkEnd w:id="201"/>
        </w:tc>
      </w:tr>
    </w:tbl>
    <w:bookmarkEnd w:id="202"/>
    <w:bookmarkStart w:id="203" w:name="interpretation-3"/>
    <w:p>
      <w:pPr>
        <w:pStyle w:val="Heading3"/>
      </w:pPr>
      <w:r>
        <w:t xml:space="preserve">Interpretation</w:t>
      </w:r>
    </w:p>
    <w:p>
      <w:pPr>
        <w:pStyle w:val="FirstParagraph"/>
      </w:pPr>
      <w:r>
        <w:t xml:space="preserve">The ICL model-selection results (</w:t>
      </w:r>
      <w:hyperlink w:anchor="tbl-sbm-icl">
        <w:r>
          <w:rPr>
            <w:rStyle w:val="Hyperlink"/>
          </w:rPr>
          <w:t xml:space="preserve">Table 21</w:t>
        </w:r>
      </w:hyperlink>
      <w:r>
        <w:t xml:space="preserve">) report the number of blocks best supported by the sign-sharing network in each phase for two model families: a Bernoulli SBM on binarized adjacency (edge if Jaccard similarity ≥ 0.2) and a Gaussian SBM on unthresholded weighted similarities (1 − Jaccard). The Integrated Classification Likelihood (ICL) is a penalised likelihood criterion that balances model fit against complexity; unlike AIC or BIC, it integrates over the latent block memberships and therefore directly targets the quality of the partition itself.</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modest—the data do not strongly discriminate among one, two, or three blocks. The Gaussian model shows a similar profile: best K = 4 (ICL = 73.54), with two-block ICL = 47.19 and three-block ICL = 59.76, gap = 3.40.</w:t>
      </w:r>
    </w:p>
    <w:p>
      <w:pPr>
        <w:pStyle w:val="BodyText"/>
      </w:pPr>
      <w:r>
        <w:t xml:space="preserve">In</w:t>
      </w:r>
      <w:r>
        <w:t xml:space="preserve"> </w:t>
      </w:r>
      <w:r>
        <w:rPr>
          <w:bCs/>
          <w:b/>
        </w:rPr>
        <w:t xml:space="preserve">Aur-P2</w:t>
      </w:r>
      <w:r>
        <w:t xml:space="preserve">, the Bernoulli model ICL profile is similarly flat: the one-block model scores -26.69, the two-block model -30.23, and the gap is only 3.54. The Gaussian model: one-block -2.23, two-block -1.33, gap 0.90. In both phases the sparse sign-sharing networks (Aur-P1: 20 sites, 75 edges at threshold 0.2; Aur-P2: 9 sites, 19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22</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both model families, every site is assigned to that sole block with posterior probability 1.0. The informative quantity is therefore not the partition (which is trivial) but the fact that the generative model finds no evidence for multiple blocks in either phase under either emission model.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203"/>
    <w:bookmarkEnd w:id="204"/>
    <w:bookmarkStart w:id="208" w:name="sec-s6-4"/>
    <w:p>
      <w:pPr>
        <w:pStyle w:val="Heading2"/>
      </w:pPr>
      <w:r>
        <w:t xml:space="preserve">S6.4 Cross-Validation of Group Assignments (ARI)</w:t>
      </w:r>
    </w:p>
    <w:bookmarkStart w:id="206" w:name="rationale-7"/>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205"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w:t>
                  </w:r>
                </w:p>
              </w:tc>
              <w:tc>
                <w:tcPr/>
                <w:p>
                  <w:pPr>
                    <w:pStyle w:val="Compact"/>
                    <w:jc w:val="center"/>
                    <w:jc w:val="center"/>
                  </w:pPr>
                  <w:r>
                    <w:t xml:space="preserve">0.7</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w:t>
                  </w:r>
                </w:p>
              </w:tc>
            </w:tr>
          </w:tbl>
          <w:p>
            <w:pPr>
              <w:jc w:val="center"/>
            </w:pPr>
            <w:pPr>
              <w:jc w:val="start"/>
              <w:spacing w:before="200"/>
              <w:pStyle w:val="ImageCaption"/>
            </w:pPr>
            <w:r>
              <w:t xml:space="preserve">Table 23: Adjusted Rand Index between the main-text manual restricted/broad assignment, the bootstrap modal blocks (S6.2), and the SBM modal assignments (S6.3), by phase.</w:t>
            </w:r>
          </w:p>
          <w:bookmarkEnd w:id="205"/>
        </w:tc>
      </w:tr>
    </w:tbl>
    <w:bookmarkEnd w:id="206"/>
    <w:bookmarkStart w:id="207" w:name="interpretation-4"/>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23</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1 in Aur-P1 and 0.22 in Aur-P2 (</w:t>
      </w:r>
      <w:hyperlink w:anchor="tbl-s6-ari">
        <w:r>
          <w:rPr>
            <w:rStyle w:val="Hyperlink"/>
          </w:rPr>
          <w:t xml:space="preserve">Table 23</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for the Bernoulli model (and Gaussian model) because both select a single block in both phases (S6.3),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7</w:t>
        </w:r>
      </w:hyperlink>
      <w:r>
        <w:t xml:space="preserve">.</w:t>
      </w:r>
    </w:p>
    <w:bookmarkEnd w:id="207"/>
    <w:bookmarkEnd w:id="208"/>
    <w:bookmarkStart w:id="209"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5</w:t>
        </w:r>
      </w:hyperlink>
      <w:r>
        <w:t xml:space="preserve">,</w:t>
      </w:r>
      <w:r>
        <w:t xml:space="preserve"> </w:t>
      </w:r>
      <w:hyperlink w:anchor="tbl-bootstrap-summary">
        <w:r>
          <w:rPr>
            <w:rStyle w:val="Hyperlink"/>
          </w:rPr>
          <w:t xml:space="preserve">Table 19</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22</w:t>
        </w:r>
      </w:hyperlink>
      <w:r>
        <w:t xml:space="preserve">) and reports the number of blocks best supported by the sign-sharing network in each phase for two emission models—Bernoulli (binarized adjacency) and Gaussian (unthresholded similarities) (</w:t>
      </w:r>
      <w:hyperlink w:anchor="tbl-sbm-icl">
        <w:r>
          <w:rPr>
            <w:rStyle w:val="Hyperlink"/>
          </w:rPr>
          <w:t xml:space="preserve">Table 21</w:t>
        </w:r>
      </w:hyperlink>
      <w:r>
        <w:t xml:space="preserve">). Both model families select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23</w:t>
        </w:r>
      </w:hyperlink>
      <w:r>
        <w:t xml:space="preserve">). The three routes are mutually informative but not redundant: the bootstrap shows the two blocks to be internally coherent and well separated under resampling; the SBM finds the data too sparse to warrant a multi-block generative model under either emission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7</w:t>
        </w:r>
      </w:hyperlink>
      <w:r>
        <w:t xml:space="preserve">, which validates the grouping on withheld data rather than on the data used to define it.</w:t>
      </w:r>
    </w:p>
    <w:bookmarkEnd w:id="209"/>
    <w:bookmarkEnd w:id="210"/>
    <w:bookmarkStart w:id="231" w:name="sec-s6-6"/>
    <w:p>
      <w:pPr>
        <w:pStyle w:val="Heading1"/>
      </w:pPr>
      <w:r>
        <w:t xml:space="preserve">S6.6 Circularity-Breaking Validation of the Restricted/Broad Group Difference</w:t>
      </w:r>
    </w:p>
    <w:bookmarkStart w:id="213" w:name="rationale-8"/>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6"/>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6"/>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6"/>
        </w:numPr>
        <w:pStyle w:val="Compact"/>
      </w:pPr>
      <w:r>
        <w:rPr>
          <w:bCs/>
          <w:b/>
        </w:rPr>
        <w:t xml:space="preserve">(C) Group-free gradient PerMANOVA:</w:t>
      </w:r>
      <w:r>
        <w:t xml:space="preserve"> </w:t>
      </w:r>
      <w:r>
        <w:t xml:space="preserve">instead of asserting discrete groups, sign composition is regressed on a continuous ordination axis, testing for a gradient rather than a partition.</w:t>
      </w:r>
    </w:p>
    <w:p>
      <w:pPr>
        <w:pStyle w:val="FirstParagraph"/>
      </w:pPr>
      <w:r>
        <w:t xml:space="preserve">All three are exploratory companions to, not replacements for, the main-text PerMANOVA, which we present as descriptive rather than confirmatory.</w:t>
      </w:r>
    </w:p>
    <w:tbl>
      <w:tblPr>
        <w:tblStyle w:val="Table"/>
        <w:tblW w:type="pct" w:w="5000"/>
        <w:tblLook w:firstRow="0" w:lastRow="0" w:firstColumn="0" w:lastColumn="0" w:noHBand="0" w:noVBand="0" w:val="0000"/>
        <w:jc w:val="start"/>
        <w:tblLayout w:type="fixed"/>
      </w:tblPr>
      <w:tblGrid>
        <w:gridCol w:w="7920"/>
      </w:tblGrid>
      <w:tr>
        <w:tc>
          <w:tcPr/>
          <w:bookmarkStart w:id="211" w:name="tbl-s6-6-summary"/>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 Object-half holdout (P1)</w:t>
                  </w:r>
                </w:p>
              </w:tc>
              <w:tc>
                <w:tcPr/>
                <w:p>
                  <w:pPr>
                    <w:pStyle w:val="Compact"/>
                    <w:jc w:val="left"/>
                    <w:jc w:val="center"/>
                  </w:pPr>
                  <w:r>
                    <w:t xml:space="preserve">50% splits sig</w:t>
                  </w:r>
                </w:p>
              </w:tc>
              <w:tc>
                <w:tcPr/>
                <w:p>
                  <w:pPr>
                    <w:pStyle w:val="Compact"/>
                    <w:jc w:val="center"/>
                    <w:jc w:val="center"/>
                  </w:pPr>
                  <w:r>
                    <w:t xml:space="preserve">&lt;2e-16</w:t>
                  </w:r>
                </w:p>
              </w:tc>
            </w:tr>
            <w:tr>
              <w:tc>
                <w:tcPr/>
                <w:p>
                  <w:pPr>
                    <w:pStyle w:val="Compact"/>
                    <w:jc w:val="left"/>
                    <w:jc w:val="center"/>
                  </w:pPr>
                  <w:r>
                    <w:t xml:space="preserve">B: Object-half holdout (P2)</w:t>
                  </w:r>
                </w:p>
              </w:tc>
              <w:tc>
                <w:tcPr/>
                <w:p>
                  <w:pPr>
                    <w:pStyle w:val="Compact"/>
                    <w:jc w:val="left"/>
                    <w:jc w:val="center"/>
                  </w:pPr>
                  <w:r>
                    <w:t xml:space="preserve">0% splits sig</w:t>
                  </w:r>
                </w:p>
              </w:tc>
              <w:tc>
                <w:tcPr/>
                <w:p>
                  <w:pPr>
                    <w:pStyle w:val="Compact"/>
                    <w:jc w:val="center"/>
                    <w:jc w:val="center"/>
                  </w:pPr>
                  <w:r>
                    <w:t xml:space="preserve">6.58e-10</w:t>
                  </w:r>
                </w:p>
              </w:tc>
            </w:tr>
            <w:tr>
              <w:tc>
                <w:tcPr/>
                <w:p>
                  <w:pPr>
                    <w:pStyle w:val="Compact"/>
                    <w:jc w:val="left"/>
                    <w:jc w:val="center"/>
                  </w:pPr>
                  <w:r>
                    <w:t xml:space="preserve">C: Gradient PerMANOVA (P1)</w:t>
                  </w:r>
                </w:p>
              </w:tc>
              <w:tc>
                <w:tcPr/>
                <w:p>
                  <w:pPr>
                    <w:pStyle w:val="Compact"/>
                    <w:jc w:val="left"/>
                    <w:jc w:val="center"/>
                  </w:pPr>
                  <w:r>
                    <w:t xml:space="preserve">R2 = 0.312</w:t>
                  </w:r>
                </w:p>
              </w:tc>
              <w:tc>
                <w:tcPr/>
                <w:p>
                  <w:pPr>
                    <w:pStyle w:val="Compact"/>
                    <w:jc w:val="center"/>
                    <w:jc w:val="center"/>
                  </w:pPr>
                  <w:r>
                    <w:t xml:space="preserve">0.001</w:t>
                  </w:r>
                </w:p>
              </w:tc>
            </w:tr>
            <w:tr>
              <w:tc>
                <w:tcPr/>
                <w:p>
                  <w:pPr>
                    <w:pStyle w:val="Compact"/>
                    <w:jc w:val="left"/>
                    <w:jc w:val="center"/>
                  </w:pPr>
                  <w:r>
                    <w:t xml:space="preserve">C: Gradient PerMANOVA (P2)</w:t>
                  </w:r>
                </w:p>
              </w:tc>
              <w:tc>
                <w:tcPr/>
                <w:p>
                  <w:pPr>
                    <w:pStyle w:val="Compact"/>
                    <w:jc w:val="left"/>
                    <w:jc w:val="center"/>
                  </w:pPr>
                  <w:r>
                    <w:t xml:space="preserve">R2 = 0.439</w:t>
                  </w:r>
                </w:p>
              </w:tc>
              <w:tc>
                <w:tcPr/>
                <w:p>
                  <w:pPr>
                    <w:pStyle w:val="Compact"/>
                    <w:jc w:val="center"/>
                    <w:jc w:val="center"/>
                  </w:pPr>
                  <w:r>
                    <w:t xml:space="preserve">0.001</w:t>
                  </w:r>
                </w:p>
              </w:tc>
            </w:tr>
          </w:tbl>
          <w:p>
            <w:pPr>
              <w:jc w:val="center"/>
            </w:pPr>
            <w:pPr>
              <w:jc w:val="start"/>
              <w:spacing w:before="200"/>
              <w:pStyle w:val="ImageCaption"/>
            </w:pPr>
            <w:r>
              <w:t xml:space="preserve">Table 24: Circularity-breaking validation of the restricted/broad group difference. Method A re-derives the optimal two-group split from randomised data in every permutation (observed optimal pseudo-F vs. its null). Method B validates the grouping on withheld data: site-level leave-one-out k-NN classification accuracy (with permutation p-value) and object-level holdout where groups are defined from one random half of each site’s objects and tested on the other half (Fisher-combined p across 100 random splits). Method C is a group-free continuous gradient PerMANOVA on the first PCoA axis. A significant result indicates the group structure is recoverable from data not used to define it.</w:t>
            </w:r>
          </w:p>
          <w:bookmarkEnd w:id="211"/>
        </w:tc>
      </w:tr>
    </w:tbl>
    <w:bookmarkStart w:id="212" w:name="interpretation-5"/>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w:t>
      </w:r>
      <w:r>
        <w:t xml:space="preserve"> </w:t>
      </w:r>
      <w:r>
        <w:t xml:space="preserve">Can a held-out site’s restricted/broad label be predicted from a classifier trained only on the other sites?</w:t>
      </w:r>
      <w:r>
        <w:t xml:space="preserve"> </w:t>
      </w:r>
      <w:r>
        <w:t xml:space="preserve">-</w:t>
      </w:r>
      <w:r>
        <w:t xml:space="preserve"> </w:t>
      </w:r>
      <w:r>
        <w:rPr>
          <w:iCs/>
          <w:i/>
        </w:rPr>
        <w:t xml:space="preserve">Answer:</w:t>
      </w:r>
      <w:r>
        <w:t xml:space="preserve"> </w:t>
      </w:r>
      <w:r>
        <w:t xml:space="preserve">Yes. Leave-one-site-out classification recovers the manual label for 100% of Aur-P1 sites (95% CI 0.83–1, permutation p = 0.001) and 89% of Aur-P2 sites (permutation p = 0.028). A site’s group is therefore predictable from a classifier trained on the</w:t>
      </w:r>
      <w:r>
        <w:t xml:space="preserve"> </w:t>
      </w:r>
      <w:r>
        <w:rPr>
          <w:iCs/>
          <w:i/>
        </w:rPr>
        <w:t xml:space="preserve">other</w:t>
      </w:r>
      <w:r>
        <w:t xml:space="preserve"> </w:t>
      </w:r>
      <w:r>
        <w:t xml:space="preserve">sites, so the assignment is not an artefact of fitting all sites simultaneously.</w:t>
      </w:r>
      <w:r>
        <w:t xml:space="preserve"> </w:t>
      </w:r>
      <w:r>
        <w:t xml:space="preserve">-</w:t>
      </w:r>
      <w:r>
        <w:t xml:space="preserve"> </w:t>
      </w:r>
      <w:r>
        <w:rPr>
          <w:iCs/>
          <w:i/>
        </w:rPr>
        <w:t xml:space="preserve">Object level (B-ii):</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w:t>
      </w:r>
      <w:r>
        <w:t xml:space="preserve"> </w:t>
      </w:r>
      <w:r>
        <w:t xml:space="preserve">-</w:t>
      </w:r>
      <w:r>
        <w:t xml:space="preserve"> </w:t>
      </w:r>
      <w:r>
        <w:rPr>
          <w:iCs/>
          <w:i/>
        </w:rPr>
        <w:t xml:space="preserve">Answer:</w:t>
      </w:r>
      <w:r>
        <w:t xml:space="preserve"> </w:t>
      </w:r>
      <w:r>
        <w:t xml:space="preserve">Yes for Aur-P1: the held-out PerMANOVA is significant in the large majority of random splits (50% of 100; Fisher-combined p = &lt;2e-16), using 16 of 20 sites that have enough objects for splitting. For Aur-P2 the combined evidence is likewise significant (Fisher-combined p = 6.6e-10), although only 5 of 9 Aur-P2 sites have two or more objects, so each individual split has low power (few splits clear p &lt; 0.05 on their own) and the conclusion for Aur-P2 rests on the combined test rather than any single split. This shows the grouping is stable across</w:t>
      </w:r>
      <w:r>
        <w:t xml:space="preserve"> </w:t>
      </w:r>
      <w:r>
        <w:rPr>
          <w:iCs/>
          <w:i/>
        </w:rPr>
        <w:t xml:space="preserve">disjoint sets of objects</w:t>
      </w:r>
      <w:r>
        <w:t xml:space="preserve">, which the original PerMANOVA, using every object to both define and test the groups, could not establish.</w:t>
      </w:r>
    </w:p>
    <w:p>
      <w:pPr>
        <w:pStyle w:val="BodyText"/>
      </w:pPr>
      <w:r>
        <w:rPr>
          <w:bCs/>
          <w:b/>
        </w:rPr>
        <w:t xml:space="preserve">Question 3 (strategy C):</w:t>
      </w:r>
      <w:r>
        <w:t xml:space="preserve"> </w:t>
      </w:r>
      <w:r>
        <w:t xml:space="preserve">If we abandon the discrete two-group partition entirely and instead ask whether sign composition varies continuously along the main compositional axis, is that gradient significant?</w:t>
      </w:r>
      <w:r>
        <w:t xml:space="preserve"> </w:t>
      </w:r>
      <w:r>
        <w:t xml:space="preserve">-</w:t>
      </w:r>
      <w:r>
        <w:t xml:space="preserve"> </w:t>
      </w:r>
      <w:r>
        <w:rPr>
          <w:iCs/>
          <w:i/>
        </w:rPr>
        <w:t xml:space="preserve">Answer:</w:t>
      </w:r>
      <w:r>
        <w:t xml:space="preserve"> </w:t>
      </w:r>
      <w:r>
        <w:t xml:space="preserve">Yes. A group-free gradient PerMANOVA regressing sign composition on the continuous first ordination axis is significant in both phases (Aur-P1: R² = 0.312, p = 0.001; Aur-P2: R² = 0.439, p = 0.001). Even without asserting discrete groups, a compositional gradient explains a significant fraction of the variation.</w:t>
      </w:r>
    </w:p>
    <w:p>
      <w:pPr>
        <w:pStyle w:val="BodyText"/>
      </w:pPr>
      <w:r>
        <w:rPr>
          <w:bCs/>
          <w:b/>
        </w:rPr>
        <w:t xml:space="preserve">Summary.</w:t>
      </w:r>
      <w:r>
        <w:t xml:space="preserve"> </w:t>
      </w:r>
      <w:r>
        <w:t xml:space="preserve">Strategies B and C provide the strongest evidence that the restricted/broad contrast is not a circularity artefact: the grouping is recovered from withheld data (strategy B) and a continuous gradient is significant without any group definition (strategy C). Strategy A, the most conservative test, is consistent with a gradual rather than sharp partition and does not contradict the recoverability established by B and C. We therefore present the main-text PerMANOVA as descriptive and exploratory, and we rely on the cross-validation results (strategy B) as the appropriate independent confirmation that the grouping is not a circularity artefact.</w:t>
      </w:r>
      <w:r>
        <w:t xml:space="preserve"> </w:t>
      </w:r>
      <w:r>
        <w:t xml:space="preserve"># S7. Object-Type Sensitivity: Figurine Exclusion {#sec-s7}</w:t>
      </w:r>
    </w:p>
    <w:bookmarkEnd w:id="212"/>
    <w:bookmarkEnd w:id="213"/>
    <w:bookmarkStart w:id="214" w:name="s7.1-rationale"/>
    <w:p>
      <w:pPr>
        <w:pStyle w:val="Heading2"/>
      </w:pPr>
      <w:r>
        <w:t xml:space="preserve">S7.1 Rationale</w:t>
      </w:r>
    </w:p>
    <w:p>
      <w:pPr>
        <w:pStyle w:val="FirstParagraph"/>
      </w:pPr>
      <w:r>
        <w:t xml:space="preserve">[10]</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14"/>
    <w:bookmarkStart w:id="216"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15"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25: Distribution of figurine objects across phases and sites. Figurine types include figurine zoomorph, figurine anthropomorph, figurine undet., and possible figurine.</w:t>
            </w:r>
          </w:p>
          <w:bookmarkEnd w:id="215"/>
        </w:tc>
      </w:tr>
    </w:tbl>
    <w:p>
      <w:pPr>
        <w:pStyle w:val="BodyText"/>
      </w:pPr>
      <w:hyperlink w:anchor="tbl-figurine-count">
        <w:r>
          <w:rPr>
            <w:rStyle w:val="Hyperlink"/>
          </w:rPr>
          <w:t xml:space="preserve">Table 25</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16"/>
    <w:bookmarkStart w:id="221" w:name="s7.3-analysis-1-exclude-all-figurines"/>
    <w:p>
      <w:pPr>
        <w:pStyle w:val="Heading2"/>
      </w:pPr>
      <w:r>
        <w:t xml:space="preserve">S7.3 Analysis 1: Exclude All Figurines</w:t>
      </w:r>
    </w:p>
    <w:bookmarkStart w:id="219"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17"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26: Network statistics before and after excluding all figurine objects (figurine zoomorph, figurine anthropomorph, figurine undet., and possible figurine). Threshold = 0.2, Jaccard similarity.</w:t>
            </w:r>
          </w:p>
          <w:bookmarkEnd w:id="21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18"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27: Number of sites per phase before and after figurine exclusion. Sites are lost when all objects at that site are figurines.</w:t>
            </w:r>
          </w:p>
          <w:bookmarkEnd w:id="218"/>
        </w:tc>
      </w:tr>
    </w:tbl>
    <w:bookmarkEnd w:id="219"/>
    <w:bookmarkStart w:id="220" w:name="interpretation-6"/>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20"/>
    <w:bookmarkEnd w:id="221"/>
    <w:bookmarkStart w:id="226" w:name="X7549e60451b9f7bbee640100d361a0cf771ac62"/>
    <w:p>
      <w:pPr>
        <w:pStyle w:val="Heading2"/>
      </w:pPr>
      <w:r>
        <w:t xml:space="preserve">S7.4 Analysis 2: Exclude Vogelherd Figurines Only</w:t>
      </w:r>
    </w:p>
    <w:bookmarkStart w:id="224"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22"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28: Network statistics before and after excluding figurines from Vogelherd only. All other figurines (Hohle Fels, Geissenklösterle, Hohlenstein-Stadel, La Ferrassie) are retained. Threshold = 0.2, Jaccard similarity.</w:t>
            </w:r>
          </w:p>
          <w:bookmarkEnd w:id="22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3"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29: Vogelherd object counts before and after removing figurines. Non-figurine objects at Vogelherd (tools, plaquettes, etc.) are retained.</w:t>
            </w:r>
          </w:p>
          <w:bookmarkEnd w:id="223"/>
        </w:tc>
      </w:tr>
    </w:tbl>
    <w:bookmarkEnd w:id="224"/>
    <w:bookmarkStart w:id="225" w:name="interpretation-7"/>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25"/>
    <w:bookmarkEnd w:id="226"/>
    <w:bookmarkStart w:id="228"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227"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30: Side-by-side comparison of network statistics across all conditions: baseline (all objects), exclude all figurines, and exclude Vogelherd figurines only. The rightmost columns show the percentage change in mean degree from baseline.</w:t>
            </w:r>
          </w:p>
          <w:bookmarkEnd w:id="227"/>
        </w:tc>
      </w:tr>
    </w:tbl>
    <w:bookmarkEnd w:id="228"/>
    <w:bookmarkStart w:id="230"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30</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29"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31: Mean degree by figurine-exclusion condition, with percentage change from baseline. Reproduced directly from the joint comparison in</w:t>
            </w:r>
            <w:r>
              <w:t xml:space="preserve"> </w:t>
            </w:r>
            <w:hyperlink w:anchor="tbl-objtype-joint">
              <w:r>
                <w:rPr>
                  <w:rStyle w:val="Hyperlink"/>
                </w:rPr>
                <w:t xml:space="preserve">Table 30</w:t>
              </w:r>
            </w:hyperlink>
            <w:r>
              <w:t xml:space="preserve">.</w:t>
            </w:r>
          </w:p>
          <w:bookmarkEnd w:id="229"/>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[10]</w:t>
      </w:r>
      <w:r>
        <w:t xml:space="preserve"> </w:t>
      </w:r>
      <w:r>
        <w:t xml:space="preserve">argument that figurines carry high-information sign sequences, but the communities themselves are defined by shared sign types across all object types.</w:t>
      </w:r>
    </w:p>
    <w:bookmarkEnd w:id="230"/>
    <w:bookmarkEnd w:id="231"/>
    <w:bookmarkStart w:id="239" w:name="sec-s8"/>
    <w:p>
      <w:pPr>
        <w:pStyle w:val="Heading1"/>
      </w:pPr>
      <w:r>
        <w:t xml:space="preserve">S8. Site Reclassification Sensitivity Analysis</w:t>
      </w:r>
    </w:p>
    <w:bookmarkStart w:id="232"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7"/>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[11,12]</w:t>
      </w:r>
      <w:r>
        <w:t xml:space="preserve">. The site is classified as Aurignacian I (Early) in the Périgord sequence.</w:t>
      </w:r>
    </w:p>
    <w:p>
      <w:pPr>
        <w:numPr>
          <w:ilvl w:val="0"/>
          <w:numId w:val="1007"/>
        </w:numPr>
        <w:pStyle w:val="Compact"/>
      </w:pPr>
      <w:r>
        <w:rPr>
          <w:bCs/>
          <w:b/>
        </w:rPr>
        <w:t xml:space="preserve">La Ferrassie</w:t>
      </w:r>
      <w:r>
        <w:t xml:space="preserve">: The Aurignacian at La Ferrassie begins in Layer 7, directly overlying the Châtelperronian (Layer 6).</w:t>
      </w:r>
      <w:r>
        <w:t xml:space="preserve"> </w:t>
      </w:r>
      <w:r>
        <w:t xml:space="preserve">[13]</w:t>
      </w:r>
      <w:r>
        <w:t xml:space="preserve"> </w:t>
      </w:r>
      <w:r>
        <w:t xml:space="preserve">classify this as Early Aurignacian (Aur-P1) based on carinated scrapers and wide Aurignacian blades. No split-base bone points (Proto-Aurignacian diagnostic) were found</w:t>
      </w:r>
      <w:r>
        <w:t xml:space="preserve"> </w:t>
      </w:r>
      <w:r>
        <w:t xml:space="preserve">[13,14]</w:t>
      </w:r>
      <w:r>
        <w:t xml:space="preserve">. Layer 7b has mixed Early/Recent Aurignacian components.</w:t>
      </w:r>
    </w:p>
    <w:p>
      <w:pPr>
        <w:numPr>
          <w:ilvl w:val="0"/>
          <w:numId w:val="1007"/>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[15]</w:t>
      </w:r>
      <w:r>
        <w:t xml:space="preserve">. Direct dates of ~31 ka ¹⁴C BP (~35–36 cal BP) are too young for Proto-Aurignacian</w:t>
      </w:r>
      <w:r>
        <w:t xml:space="preserve"> </w:t>
      </w:r>
      <w:r>
        <w:t xml:space="preserve">[16]</w:t>
      </w:r>
      <w:r>
        <w:t xml:space="preserve">.</w:t>
      </w:r>
    </w:p>
    <w:p>
      <w:pPr>
        <w:numPr>
          <w:ilvl w:val="0"/>
          <w:numId w:val="1007"/>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[17]</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232"/>
    <w:bookmarkStart w:id="235"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233"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32: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233"/>
        </w:tc>
      </w:tr>
    </w:tbl>
    <w:bookmarkStart w:id="234"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[16]</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234"/>
    <w:bookmarkEnd w:id="235"/>
    <w:bookmarkStart w:id="237"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36"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33: Mean degree by phase under each reassignment condition. The Aur-P1 &gt; Aur-P2 ordering is preserved under every condition.</w:t>
            </w:r>
          </w:p>
          <w:bookmarkEnd w:id="236"/>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237"/>
    <w:bookmarkStart w:id="238"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and bootstrap consensus (S5, S6) , is defined within each phase’s membership and is unaffected by the between-phase assignment criterion tested here. The stochastic block model (S6.3) does not recover this dichotomy (single block selected under both emission models), consistent with the small size and sparsity of the sign-sharing networks falling below the detectability limit for block structure.</w:t>
      </w:r>
    </w:p>
    <w:bookmarkEnd w:id="238"/>
    <w:bookmarkEnd w:id="239"/>
    <w:bookmarkStart w:id="319"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08"/>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8"/>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8"/>
        </w:numPr>
        <w:pStyle w:val="Compact"/>
      </w:pPr>
      <w:r>
        <w:rPr>
          <w:bCs/>
          <w:b/>
        </w:rPr>
        <w:t xml:space="preserve">(S9.4)</w:t>
      </w:r>
      <w:r>
        <w:t xml:space="preserve"> </w:t>
      </w:r>
      <w:r>
        <w:t xml:space="preserve">Does the group effect on sign-type richness survive after statistically accounting for object count (sampling effort)?</w:t>
      </w:r>
    </w:p>
    <w:p>
      <w:pPr>
        <w:numPr>
          <w:ilvl w:val="0"/>
          <w:numId w:val="1008"/>
        </w:numPr>
        <w:pStyle w:val="Compact"/>
      </w:pPr>
      <w:r>
        <w:rPr>
          <w:bCs/>
          <w:b/>
        </w:rPr>
        <w:t xml:space="preserve">(S9.5)</w:t>
      </w:r>
      <w:r>
        <w:t xml:space="preserve"> </w:t>
      </w:r>
      <w:r>
        <w:t xml:space="preserve">At equal effort with</w:t>
      </w:r>
      <w:r>
        <w:t xml:space="preserve"> </w:t>
      </w:r>
      <w:r>
        <w:rPr>
          <w:rStyle w:val="VerbatimChar"/>
        </w:rPr>
        <w:t xml:space="preserve">iNEXT</w:t>
      </w:r>
      <w:r>
        <w:t xml:space="preserve"> </w:t>
      </w:r>
      <w:r>
        <w:t xml:space="preserve">(incidence_raw), does the Aur-P1 vs Aur-P2 sign-type pool (26 vs 15) remain larger, or is it not distinguishable from sampling variation at 63 objects, including when restricted to object types present in both phases?</w:t>
      </w:r>
    </w:p>
    <w:p>
      <w:pPr>
        <w:numPr>
          <w:ilvl w:val="0"/>
          <w:numId w:val="1008"/>
        </w:numPr>
        <w:pStyle w:val="Compact"/>
      </w:pPr>
      <w:r>
        <w:rPr>
          <w:bCs/>
          <w:b/>
        </w:rPr>
        <w:t xml:space="preserve">(S9.6)</w:t>
      </w:r>
      <w:r>
        <w:t xml:space="preserve"> </w:t>
      </w:r>
      <w:r>
        <w:t xml:space="preserve">Taken together, is the R/B division independent of sampling intensity, and if not, what limitation must be stated?</w:t>
      </w:r>
    </w:p>
    <w:bookmarkStart w:id="247" w:name="sec-s9-1"/>
    <w:p>
      <w:pPr>
        <w:pStyle w:val="Heading2"/>
      </w:pPr>
      <w:r>
        <w:t xml:space="preserve">S9.1 Object-count distribution and feasible common counts</w:t>
      </w:r>
    </w:p>
    <w:bookmarkStart w:id="245" w:name="rationale-9"/>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240"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34: Per-site object counts by phase and manual restricted(1)/broad(2) group. The reviewer notes the strong Spearman correlation (ρ = 0.86) between object count and sign-type richness across sites.</w:t>
            </w:r>
          </w:p>
          <w:bookmarkEnd w:id="240"/>
        </w:tc>
      </w:tr>
    </w:tbl>
    <w:tbl>
      <w:tblPr>
        <w:tblStyle w:val="Table"/>
        <w:tblW w:type="pct" w:w="5000"/>
        <w:tblLook w:firstRow="0" w:lastRow="0" w:firstColumn="0" w:lastColumn="0" w:noHBand="0" w:noVBand="0" w:val="0000"/>
        <w:jc w:val="start"/>
        <w:tblLayout w:type="fixed"/>
      </w:tblPr>
      <w:tblGrid>
        <w:gridCol w:w="7920"/>
      </w:tblGrid>
      <w:tr>
        <w:tc>
          <w:tcPr/>
          <w:bookmarkStart w:id="244" w:name="fig-s9-objhist"/>
          <w:p>
            <w:pPr>
              <w:pStyle w:val="Compact"/>
              <w:jc w:val="center"/>
            </w:pPr>
            <w:r>
              <w:drawing>
                <wp:inline>
                  <wp:extent cx="5943600" cy="2971800"/>
                  <wp:effectExtent b="0" l="0" r="0" t="0"/>
                  <wp:docPr descr="" title="" id="242" name="Picture"/>
                  <a:graphic>
                    <a:graphicData uri="http://schemas.openxmlformats.org/drawingml/2006/picture">
                      <pic:pic>
                        <pic:nvPicPr>
                          <pic:cNvPr descr="S1-supplement-sensitivity_files/figure-docx/fig-s9-objhist-1.png" id="243" name="Picture"/>
                          <pic:cNvPicPr>
                            <a:picLocks noChangeArrowheads="1" noChangeAspect="1"/>
                          </pic:cNvPicPr>
                        </pic:nvPicPr>
                        <pic:blipFill>
                          <a:blip r:embed="rId24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object counts per site by phase. Most sites contribute few objects; a small number of large assemblages (e.g. Vogelherd) dominate the upper tail.</w:t>
            </w:r>
          </w:p>
          <w:bookmarkEnd w:id="244"/>
        </w:tc>
      </w:tr>
    </w:tbl>
    <w:bookmarkEnd w:id="245"/>
    <w:bookmarkStart w:id="246" w:name="interpretation-8"/>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6"/>
    <w:bookmarkEnd w:id="247"/>
    <w:bookmarkStart w:id="256" w:name="sec-s9-2"/>
    <w:p>
      <w:pPr>
        <w:pStyle w:val="Heading2"/>
      </w:pPr>
      <w:r>
        <w:t xml:space="preserve">S9.2 Object-level downsampling sensitivity</w:t>
      </w:r>
    </w:p>
    <w:bookmarkStart w:id="254" w:name="rationale-10"/>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8"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9"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9"/>
        </w:tc>
      </w:tr>
    </w:tbl>
    <w:tbl>
      <w:tblPr>
        <w:tblStyle w:val="Table"/>
        <w:tblW w:type="pct" w:w="5000"/>
        <w:tblLook w:firstRow="0" w:lastRow="0" w:firstColumn="0" w:lastColumn="0" w:noHBand="0" w:noVBand="0" w:val="0000"/>
        <w:jc w:val="start"/>
        <w:tblLayout w:type="fixed"/>
      </w:tblPr>
      <w:tblGrid>
        <w:gridCol w:w="7920"/>
      </w:tblGrid>
      <w:tr>
        <w:tc>
          <w:tcPr/>
          <w:bookmarkStart w:id="253" w:name="fig-s9-retention"/>
          <w:p>
            <w:pPr>
              <w:pStyle w:val="Compact"/>
              <w:jc w:val="center"/>
            </w:pPr>
            <w:r>
              <w:drawing>
                <wp:inline>
                  <wp:extent cx="5943600" cy="5943600"/>
                  <wp:effectExtent b="0" l="0" r="0" t="0"/>
                  <wp:docPr descr="" title="" id="251" name="Picture"/>
                  <a:graphic>
                    <a:graphicData uri="http://schemas.openxmlformats.org/drawingml/2006/picture">
                      <pic:pic>
                        <pic:nvPicPr>
                          <pic:cNvPr descr="S1-supplement-sensitivity_files/figure-docx/fig-s9-retention-1.png" id="252" name="Picture"/>
                          <pic:cNvPicPr>
                            <a:picLocks noChangeArrowheads="1" noChangeAspect="1"/>
                          </pic:cNvPicPr>
                        </pic:nvPicPr>
                        <pic:blipFill>
                          <a:blip r:embed="rId25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53"/>
        </w:tc>
      </w:tr>
    </w:tbl>
    <w:bookmarkEnd w:id="254"/>
    <w:bookmarkStart w:id="255" w:name="interpretation-9"/>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5"/>
    <w:bookmarkEnd w:id="256"/>
    <w:bookmarkStart w:id="264" w:name="sec-s9-3"/>
    <w:p>
      <w:pPr>
        <w:pStyle w:val="Heading2"/>
      </w:pPr>
      <w:r>
        <w:t xml:space="preserve">S9.3 Coverage-based rarefaction</w:t>
      </w:r>
    </w:p>
    <w:bookmarkStart w:id="262" w:name="rationale-11"/>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 For each site we accumulate its objects in random order and, at each sample size m, record the number of distinct sign types observed (richness) and the sample coverage</w:t>
      </w:r>
      <w:r>
        <w:t xml:space="preserve"> </w:t>
      </w:r>
      <m:oMath>
        <m:r>
          <m:t>C</m:t>
        </m:r>
        <m:d>
          <m:dPr>
            <m:begChr m:val="("/>
            <m:endChr m:val=")"/>
            <m:sepChr m:val=""/>
            <m:grow/>
          </m:dPr>
          <m:e>
            <m:r>
              <m:t>m</m:t>
            </m:r>
          </m:e>
        </m:d>
        <m:r>
          <m:rPr>
            <m:sty m:val="p"/>
          </m:rPr>
          <m:t>=</m:t>
        </m:r>
        <m:r>
          <m:t>1</m:t>
        </m:r>
        <m:r>
          <m:rPr>
            <m:sty m:val="p"/>
          </m:rPr>
          <m:t>−</m:t>
        </m:r>
        <m:sSub>
          <m:e>
            <m:r>
              <m:t>f</m:t>
            </m:r>
          </m:e>
          <m:sub>
            <m:r>
              <m:t>1</m:t>
            </m:r>
          </m:sub>
        </m:sSub>
        <m:d>
          <m:dPr>
            <m:begChr m:val="("/>
            <m:endChr m:val=")"/>
            <m:sepChr m:val=""/>
            <m:grow/>
          </m:dPr>
          <m:e>
            <m:r>
              <m:t>m</m:t>
            </m:r>
          </m:e>
        </m:d>
        <m:r>
          <m:rPr>
            <m:sty m:val="p"/>
          </m:rPr>
          <m:t>/</m:t>
        </m:r>
        <m:r>
          <m:t>m</m:t>
        </m:r>
      </m:oMath>
      <w:r>
        <w:t xml:space="preserve">, where</w:t>
      </w:r>
      <w:r>
        <w:t xml:space="preserve"> </w:t>
      </w:r>
      <m:oMath>
        <m:sSub>
          <m:e>
            <m:r>
              <m:t>f</m:t>
            </m:r>
          </m:e>
          <m:sub>
            <m:r>
              <m:t>1</m:t>
            </m:r>
          </m:sub>
        </m:sSub>
        <m:d>
          <m:dPr>
            <m:begChr m:val="("/>
            <m:endChr m:val=")"/>
            <m:sepChr m:val=""/>
            <m:grow/>
          </m:dPr>
          <m:e>
            <m:r>
              <m:t>m</m:t>
            </m:r>
          </m:e>
        </m:d>
      </m:oMath>
      <w:r>
        <w:t xml:space="preserve"> </w:t>
      </w:r>
      <w:r>
        <w:t xml:space="preserve">is the number of sign types seen on exactly one of the first m objects. We average these curves over 200 random orderings and interpolate each site’s richness at a target coverage of 0.9 (a standard</w:t>
      </w:r>
      <w:r>
        <w:t xml:space="preserve"> </w:t>
      </w:r>
      <w:r>
        <w:t xml:space="preserve">“</w:t>
      </w:r>
      <w:r>
        <w:t xml:space="preserve">high coverage</w:t>
      </w:r>
      <w:r>
        <w:t xml:space="preserve">”</w:t>
      </w:r>
      <w:r>
        <w:t xml:space="preserve"> </w:t>
      </w:r>
      <w:r>
        <w:t xml:space="preserve">benchmark).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7" w:name="tbl-s9-rarefaction"/>
          <w:tbl>
            <w:tblPr>
              <w:tblStyle w:val="Table"/>
              <w:tblW w:type="pct" w:w="5000"/>
              <w:tblLook w:firstRow="1" w:lastRow="0" w:firstColumn="0" w:lastColumn="0" w:noHBand="0" w:noVBand="0" w:val="0020"/>
              <w:jc w:val="start"/>
              <w:tblLayout w:type="fixed"/>
            </w:tblPr>
            <w:tblGrid>
              <w:gridCol w:w="533"/>
              <w:gridCol w:w="2056"/>
              <w:gridCol w:w="837"/>
              <w:gridCol w:w="609"/>
              <w:gridCol w:w="1218"/>
              <w:gridCol w:w="1218"/>
              <w:gridCol w:w="1446"/>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(full)</w:t>
                  </w:r>
                </w:p>
              </w:tc>
              <w:tc>
                <w:tcPr/>
                <w:p>
                  <w:pPr>
                    <w:pStyle w:val="Compact"/>
                    <w:jc w:val="right"/>
                    <w:jc w:val="center"/>
                  </w:pPr>
                  <w:r>
                    <w:t xml:space="preserve">Richness</w:t>
                  </w:r>
                  <w:r>
                    <w:t xml:space="preserve"> </w:t>
                  </w:r>
                  <w:r>
                    <w:t xml:space="preserve">[</w:t>
                  </w:r>
                  <w:r>
                    <w:rPr>
                      <w:bCs/>
                      <w:b/>
                    </w:rPr>
                    <w:t xml:space="preserve">0.9?</w:t>
                  </w:r>
                  <w:r>
                    <w:t xml:space="preserve">]</w:t>
                  </w:r>
                  <w:r>
                    <w:t xml:space="preserve"> </w:t>
                  </w:r>
                  <w:r>
                    <w:t xml:space="preserve">cov.</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0.83</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0.90</w:t>
                  </w:r>
                </w:p>
              </w:tc>
              <w:tc>
                <w:tcPr/>
                <w:p>
                  <w:pPr>
                    <w:pStyle w:val="Compact"/>
                    <w:jc w:val="right"/>
                    <w:jc w:val="center"/>
                  </w:pPr>
                  <w:r>
                    <w:t xml:space="preserve">11.00</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0.50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0.90</w:t>
                  </w:r>
                </w:p>
              </w:tc>
              <w:tc>
                <w:tcPr/>
                <w:p>
                  <w:pPr>
                    <w:pStyle w:val="Compact"/>
                    <w:jc w:val="right"/>
                    <w:jc w:val="center"/>
                  </w:pPr>
                  <w:r>
                    <w:t xml:space="preserve">5.97</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4.84</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11.30</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2.00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1.95</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0.00</w:t>
                  </w:r>
                </w:p>
              </w:tc>
              <w:tc>
                <w:tcPr/>
                <w:p>
                  <w:pPr>
                    <w:pStyle w:val="Compact"/>
                    <w:jc w:val="right"/>
                    <w:jc w:val="center"/>
                  </w:pPr>
                  <w:r>
                    <w:t xml:space="preserve">NA</w:t>
                  </w:r>
                </w:p>
              </w:tc>
            </w:tr>
          </w:tbl>
          <w:p>
            <w:pPr>
              <w:jc w:val="center"/>
            </w:pPr>
            <w:pPr>
              <w:jc w:val="start"/>
              <w:spacing w:before="200"/>
              <w:pStyle w:val="ImageCaption"/>
            </w:pPr>
            <w:r>
              <w:t xml:space="preserve">Table 37: Coverage-based rarefaction per site. richness_full is the observed number of sign types; coverage_full is the sample coverage at the full object sample; richness_at_target is the sign-type richness interpolated at target coverage = 0.9. Sites that never reach the target coverage are reported as NA, meaning rarefaction cannot assess them.</w:t>
            </w:r>
          </w:p>
          <w:bookmarkEnd w:id="257"/>
        </w:tc>
      </w:tr>
    </w:tbl>
    <w:tbl>
      <w:tblPr>
        <w:tblStyle w:val="Table"/>
        <w:tblW w:type="pct" w:w="5000"/>
        <w:tblLook w:firstRow="0" w:lastRow="0" w:firstColumn="0" w:lastColumn="0" w:noHBand="0" w:noVBand="0" w:val="0000"/>
        <w:jc w:val="start"/>
        <w:tblLayout w:type="fixed"/>
      </w:tblPr>
      <w:tblGrid>
        <w:gridCol w:w="7920"/>
      </w:tblGrid>
      <w:tr>
        <w:tc>
          <w:tcPr/>
          <w:bookmarkStart w:id="261" w:name="fig-s9-rarefaction"/>
          <w:p>
            <w:pPr>
              <w:pStyle w:val="Compact"/>
              <w:jc w:val="center"/>
            </w:pPr>
            <w:r>
              <w:drawing>
                <wp:inline>
                  <wp:extent cx="5943600" cy="3396342"/>
                  <wp:effectExtent b="0" l="0" r="0" t="0"/>
                  <wp:docPr descr="" title="" id="259" name="Picture"/>
                  <a:graphic>
                    <a:graphicData uri="http://schemas.openxmlformats.org/drawingml/2006/picture">
                      <pic:pic>
                        <pic:nvPicPr>
                          <pic:cNvPr descr="S1-supplement-sensitivity_files/figure-docx/fig-s9-rarefaction-1.png" id="260" name="Picture"/>
                          <pic:cNvPicPr>
                            <a:picLocks noChangeArrowheads="1" noChangeAspect="1"/>
                          </pic:cNvPicPr>
                        </pic:nvPicPr>
                        <pic:blipFill>
                          <a:blip r:embed="rId25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Sign-type richness interpolated at target coverage = 0.9, by manual group, for sites that reach that coverage. Restricted sites (green) that attain high coverage remain low-richness; broad sites (red) remain high-richness.</w:t>
            </w:r>
          </w:p>
          <w:bookmarkEnd w:id="261"/>
        </w:tc>
      </w:tr>
    </w:tbl>
    <w:bookmarkEnd w:id="262"/>
    <w:bookmarkStart w:id="263" w:name="interpretation-10"/>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7 of 20 sites reach coverage 0.9; in Aur-P2 only 2 of 9 do. Among the Aur-P1 sites that do reach the target, restricted sites remain low-richness (mean 1 sign types) while broad sites remain high-richness (mean 8.28), a difference that is borderline significant (Wilcoxon p = 0.057). For Aur-P2 the number of sites reaching the target is too small to support a group comparison (p = not computable (too few sites per group)).</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but the majority of sites — the small-object sites — never attain the target coverage and therefore cannot be placed on a common coverage footing at all. In Aur-P1, 7 of 20 sites reach coverage 0.9, and among them restricted sites remain low-richness (mean 1) while broad sites remain high-richness (mean 8.28; Wilcoxon p = 0.057). In Aur-P2 only 2 sites reach the target, of which 0 are broad and 2 restricted, so a group comparison is not computable (too few sites per group). Coverage-based rarefaction is consequently unreliable for the smallest assemblages: it can compare well-sampled sites, but it cannot rescue the assignment of sites with only one or two objects. This is the same limitation encountered in S9.2, approached from the richness axis.</w:t>
      </w:r>
    </w:p>
    <w:bookmarkEnd w:id="263"/>
    <w:bookmarkEnd w:id="264"/>
    <w:bookmarkStart w:id="268" w:name="sec-s9-4"/>
    <w:p>
      <w:pPr>
        <w:pStyle w:val="Heading2"/>
      </w:pPr>
      <w:r>
        <w:t xml:space="preserve">S9.4 Mixed model with object-count offset</w:t>
      </w:r>
    </w:p>
    <w:bookmarkStart w:id="266" w:name="rationale-12"/>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We fit a negative-binomial model</w:t>
      </w:r>
      <w:r>
        <w:t xml:space="preserve"> </w:t>
      </w:r>
      <w:r>
        <w:t xml:space="preserve">[18]</w:t>
      </w:r>
      <w:r>
        <w:t xml:space="preserve"> </w:t>
      </w:r>
      <w:r>
        <w:t xml:space="preserve">of per-site sign-type richness with the manual group and phase as predictors and</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so that the group coefficient estimates the richness difference between restricted and broad sites at equal object count:</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65" w:name="tbl-s9-mixe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Term</w:t>
                  </w:r>
                </w:p>
              </w:tc>
              <w:tc>
                <w:tcPr/>
                <w:p>
                  <w:pPr>
                    <w:pStyle w:val="Compact"/>
                    <w:jc w:val="right"/>
                    <w:jc w:val="center"/>
                  </w:pPr>
                  <w:r>
                    <w:t xml:space="preserve">log-rate</w:t>
                  </w:r>
                </w:p>
              </w:tc>
              <w:tc>
                <w:tcPr/>
                <w:p>
                  <w:pPr>
                    <w:pStyle w:val="Compact"/>
                    <w:jc w:val="right"/>
                    <w:jc w:val="center"/>
                  </w:pPr>
                  <w:r>
                    <w:t xml:space="preserve">rate ratio</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0.113</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0.292</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0.462</w:t>
                  </w:r>
                </w:p>
              </w:tc>
            </w:tr>
          </w:tbl>
          <w:p>
            <w:pPr>
              <w:jc w:val="center"/>
            </w:pPr>
            <w:pPr>
              <w:jc w:val="start"/>
              <w:spacing w:before="200"/>
              <w:pStyle w:val="ImageCaption"/>
            </w:pPr>
            <w:r>
              <w:t xml:space="preserve">Table 38: Negative-binomial model of per-site sign-type richness with object count as an offset (exposure). The group coefficient is the log rate ratio of broad versus restricted sites at equal object count; a non-significant coefficient means the raw richness gap between groups is explained by object count.</w:t>
            </w:r>
          </w:p>
          <w:bookmarkEnd w:id="265"/>
        </w:tc>
      </w:tr>
    </w:tbl>
    <w:bookmarkEnd w:id="266"/>
    <w:bookmarkStart w:id="267" w:name="interpretation-11"/>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No. With object count entered as an offset, the group coefficient is -0.329 (rate ratio 0.72, p = 0.292), i.e. non-significant and even slightly</w:t>
      </w:r>
      <w:r>
        <w:t xml:space="preserve"> </w:t>
      </w:r>
      <w:r>
        <w:rPr>
          <w:iCs/>
          <w:i/>
        </w:rPr>
        <w:t xml:space="preserve">negative</w:t>
      </w:r>
      <w:r>
        <w:t xml:space="preserve">: at equal object count, broad-range sites are not richer than restricted-range sites, and if anything marginally poorer. The strong raw correlation between object count and sign-type richness that motivated the reviewer’s concern is therefore explained by object count itself.</w:t>
      </w:r>
      <w:r>
        <w:t xml:space="preserve"> </w:t>
      </w:r>
      <w:r>
        <w:rPr>
          <w:bCs/>
          <w:b/>
        </w:rPr>
        <w:t xml:space="preserve">Answer:</w:t>
      </w:r>
      <w:r>
        <w:t xml:space="preserve"> </w:t>
      </w:r>
      <w:r>
        <w:t xml:space="preserve">the richness difference between the groups is largely a sampling-effort artefact; group membership does not independently predict sign-type richness once object count is accounted for.</w:t>
      </w:r>
    </w:p>
    <w:bookmarkEnd w:id="267"/>
    <w:bookmarkEnd w:id="268"/>
    <w:bookmarkStart w:id="276" w:name="sec-s9-5"/>
    <w:p>
      <w:pPr>
        <w:pStyle w:val="Heading2"/>
      </w:pPr>
      <w:r>
        <w:t xml:space="preserve">S9.5 Equal-effort pool comparison (iNEXT)</w:t>
      </w:r>
    </w:p>
    <w:bookmarkStart w:id="274" w:name="rationale-13"/>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[19,20]</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69"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39: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9"/>
        </w:tc>
      </w:tr>
    </w:tbl>
    <w:tbl>
      <w:tblPr>
        <w:tblStyle w:val="Table"/>
        <w:tblW w:type="pct" w:w="5000"/>
        <w:tblLook w:firstRow="0" w:lastRow="0" w:firstColumn="0" w:lastColumn="0" w:noHBand="0" w:noVBand="0" w:val="0000"/>
        <w:jc w:val="start"/>
        <w:tblLayout w:type="fixed"/>
      </w:tblPr>
      <w:tblGrid>
        <w:gridCol w:w="7920"/>
      </w:tblGrid>
      <w:tr>
        <w:tc>
          <w:tcPr/>
          <w:bookmarkStart w:id="273" w:name="fig-s9-pool-inext"/>
          <w:p>
            <w:pPr>
              <w:pStyle w:val="Compact"/>
              <w:jc w:val="center"/>
            </w:pPr>
            <w:r>
              <w:drawing>
                <wp:inline>
                  <wp:extent cx="5943600" cy="3566160"/>
                  <wp:effectExtent b="0" l="0" r="0" t="0"/>
                  <wp:docPr descr="" title="" id="271" name="Picture"/>
                  <a:graphic>
                    <a:graphicData uri="http://schemas.openxmlformats.org/drawingml/2006/picture">
                      <pic:pic>
                        <pic:nvPicPr>
                          <pic:cNvPr descr="S1-supplement-sensitivity_files/figure-docx/fig-s9-pool-inext-1.png" id="272" name="Picture"/>
                          <pic:cNvPicPr>
                            <a:picLocks noChangeArrowheads="1" noChangeAspect="1"/>
                          </pic:cNvPicPr>
                        </pic:nvPicPr>
                        <pic:blipFill>
                          <a:blip r:embed="rId270"/>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3"/>
        </w:tc>
      </w:tr>
    </w:tbl>
    <w:bookmarkEnd w:id="274"/>
    <w:bookmarkStart w:id="275" w:name="interpretation-12"/>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 This reproduces the reviewer’s direct resampling of 63 objects from the 346 Aur-P1 objects (expected 16.7, interval 13–20). The phase coefficient in S9.4 at equal object count is also non-significant (rate ratio 1.27, p = 0.462 in the reviewer’s re-run).</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75"/>
    <w:bookmarkEnd w:id="276"/>
    <w:bookmarkStart w:id="277" w:name="sec-s9-6"/>
    <w:p>
      <w:pPr>
        <w:pStyle w:val="Heading2"/>
      </w:pPr>
      <w:r>
        <w:t xml:space="preserve">S9.6 Synthesis and limitation</w:t>
      </w:r>
    </w:p>
    <w:p>
      <w:pPr>
        <w:pStyle w:val="FirstParagraph"/>
      </w:pPr>
      <w:r>
        <w:t xml:space="preserve">The four object-level analyses converge on a single conclusion. (1) Under object-downsampling, only the best-sampled sites retain their R/B assignment; small-object sites flip group at rates indistinguishable from chance, and network modularity collapses (S9.2). (2) Coverage-based rarefaction can compare richness only among the well-sampled sites, and even there the broad/restricted contrast persists — but the majority of sites never reach a comparable coverage, so the method cannot vindicate them (S9.3). (3) Once object count is held constant statistically, group no longer predicts sign-type richness (S9.4). (4) At equal effort with</w:t>
      </w:r>
      <w:r>
        <w:t xml:space="preserve"> </w:t>
      </w:r>
      <w:r>
        <w:rPr>
          <w:rStyle w:val="VerbatimChar"/>
        </w:rPr>
        <w:t xml:space="preserve">iNEXT</w:t>
      </w:r>
      <w:r>
        <w:t xml:space="preserve">, the Aur-P1 vs Aur-P2 sign-type pool difference lies inside sampling variation, even when restricted to shared object types (S9.5).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77"/>
    <w:bookmarkStart w:id="318" w:name="references-cited"/>
    <w:p>
      <w:pPr>
        <w:pStyle w:val="Heading2"/>
      </w:pPr>
      <w:r>
        <w:t xml:space="preserve">References cited</w:t>
      </w:r>
    </w:p>
    <w:bookmarkStart w:id="317" w:name="refs"/>
    <w:bookmarkStart w:id="279"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78">
        <w:r>
          <w:rPr>
            <w:rStyle w:val="Hyperlink"/>
          </w:rPr>
          <w:t xml:space="preserve">https://doi.org/10.1016/j.quascirev.2021.106995</w:t>
        </w:r>
      </w:hyperlink>
      <w:r>
        <w:t xml:space="preserve">.</w:t>
      </w:r>
    </w:p>
    <w:bookmarkEnd w:id="279"/>
    <w:bookmarkStart w:id="281"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80">
        <w:r>
          <w:rPr>
            <w:rStyle w:val="Hyperlink"/>
          </w:rPr>
          <w:t xml:space="preserve">https://doi.org/10.1007/s41982-017-0004-4</w:t>
        </w:r>
      </w:hyperlink>
      <w:r>
        <w:t xml:space="preserve">.</w:t>
      </w:r>
    </w:p>
    <w:bookmarkEnd w:id="281"/>
    <w:bookmarkStart w:id="283" w:name="ref-Blondel_2008"/>
    <w:p>
      <w:pPr>
        <w:pStyle w:val="Bibliography"/>
      </w:pPr>
      <w:r>
        <w:t xml:space="preserve">[3]</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82">
        <w:r>
          <w:rPr>
            <w:rStyle w:val="Hyperlink"/>
          </w:rPr>
          <w:t xml:space="preserve">https://doi.org/10.1088/1742-5468/2008/10/P10008</w:t>
        </w:r>
      </w:hyperlink>
      <w:r>
        <w:t xml:space="preserve">.</w:t>
      </w:r>
    </w:p>
    <w:bookmarkEnd w:id="283"/>
    <w:bookmarkStart w:id="285" w:name="ref-newman2004finding"/>
    <w:p>
      <w:pPr>
        <w:pStyle w:val="Bibliography"/>
      </w:pPr>
      <w:r>
        <w:t xml:space="preserve">[4]</w:t>
      </w:r>
      <w:r>
        <w:t xml:space="preserve"> </w:t>
      </w:r>
      <w:r>
        <w:t xml:space="preserve">	</w:t>
      </w:r>
      <w:r>
        <w:t xml:space="preserve">Newman ME, Girvan M. Finding and evaluating community structure in networks. Physical Review E 2004;69:026113.</w:t>
      </w:r>
      <w:r>
        <w:t xml:space="preserve"> </w:t>
      </w:r>
      <w:hyperlink r:id="rId284">
        <w:r>
          <w:rPr>
            <w:rStyle w:val="Hyperlink"/>
          </w:rPr>
          <w:t xml:space="preserve">https://doi.org/10.1103/PhysRevE.69.026113</w:t>
        </w:r>
      </w:hyperlink>
      <w:r>
        <w:t xml:space="preserve">.</w:t>
      </w:r>
    </w:p>
    <w:bookmarkEnd w:id="285"/>
    <w:bookmarkStart w:id="287" w:name="ref-Lichstein_2007"/>
    <w:p>
      <w:pPr>
        <w:pStyle w:val="Bibliography"/>
      </w:pPr>
      <w:r>
        <w:t xml:space="preserve">[5]</w:t>
      </w:r>
      <w:r>
        <w:t xml:space="preserve"> </w:t>
      </w:r>
      <w:r>
        <w:t xml:space="preserve">	</w:t>
      </w:r>
      <w:r>
        <w:t xml:space="preserve">Lichstein JW. Multiple regression on distance matrices: A multivariate spatial analysis tool. Plant Ecology 2007;188:117–31.</w:t>
      </w:r>
      <w:r>
        <w:t xml:space="preserve"> </w:t>
      </w:r>
      <w:hyperlink r:id="rId286">
        <w:r>
          <w:rPr>
            <w:rStyle w:val="Hyperlink"/>
          </w:rPr>
          <w:t xml:space="preserve">https://doi.org/10.1007/s11258-006-9126-3</w:t>
        </w:r>
      </w:hyperlink>
      <w:r>
        <w:t xml:space="preserve">.</w:t>
      </w:r>
    </w:p>
    <w:bookmarkEnd w:id="287"/>
    <w:bookmarkStart w:id="289" w:name="ref-Goslee_Urban_2007"/>
    <w:p>
      <w:pPr>
        <w:pStyle w:val="Bibliography"/>
      </w:pPr>
      <w:r>
        <w:t xml:space="preserve">[6]</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88">
        <w:r>
          <w:rPr>
            <w:rStyle w:val="Hyperlink"/>
          </w:rPr>
          <w:t xml:space="preserve">https://doi.org/10.18637/jss.v022.i07</w:t>
        </w:r>
      </w:hyperlink>
      <w:r>
        <w:t xml:space="preserve">.</w:t>
      </w:r>
    </w:p>
    <w:bookmarkEnd w:id="289"/>
    <w:bookmarkStart w:id="291" w:name="ref-Monti_2003"/>
    <w:p>
      <w:pPr>
        <w:pStyle w:val="Bibliography"/>
      </w:pPr>
      <w:r>
        <w:t xml:space="preserve">[7]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290">
        <w:r>
          <w:rPr>
            <w:rStyle w:val="Hyperlink"/>
          </w:rPr>
          <w:t xml:space="preserve">https://doi.org/10.1023/A:1023949509487</w:t>
        </w:r>
      </w:hyperlink>
      <w:r>
        <w:t xml:space="preserve">.</w:t>
      </w:r>
    </w:p>
    <w:bookmarkEnd w:id="291"/>
    <w:bookmarkStart w:id="293" w:name="ref-Leger_2016"/>
    <w:p>
      <w:pPr>
        <w:pStyle w:val="Bibliography"/>
      </w:pPr>
      <w:r>
        <w:t xml:space="preserve">[8]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292">
        <w:r>
          <w:rPr>
            <w:rStyle w:val="Hyperlink"/>
          </w:rPr>
          <w:t xml:space="preserve">https://doi.org/10.48550/arXiv.1602.07587</w:t>
        </w:r>
      </w:hyperlink>
      <w:r>
        <w:t xml:space="preserve">.</w:t>
      </w:r>
    </w:p>
    <w:bookmarkEnd w:id="293"/>
    <w:bookmarkStart w:id="295" w:name="ref-Hubert_Arabie_1985"/>
    <w:p>
      <w:pPr>
        <w:pStyle w:val="Bibliography"/>
      </w:pPr>
      <w:r>
        <w:t xml:space="preserve">[9]</w:t>
      </w:r>
      <w:r>
        <w:t xml:space="preserve"> </w:t>
      </w:r>
      <w:r>
        <w:t xml:space="preserve">	</w:t>
      </w:r>
      <w:r>
        <w:t xml:space="preserve">Hubert L, Arabie P. Comparing partitions. Journal of Classification 1985;2:193–218.</w:t>
      </w:r>
      <w:r>
        <w:t xml:space="preserve"> </w:t>
      </w:r>
      <w:hyperlink r:id="rId294">
        <w:r>
          <w:rPr>
            <w:rStyle w:val="Hyperlink"/>
          </w:rPr>
          <w:t xml:space="preserve">https://doi.org/10.1007/BF01908075</w:t>
        </w:r>
      </w:hyperlink>
      <w:r>
        <w:t xml:space="preserve">.</w:t>
      </w:r>
    </w:p>
    <w:bookmarkEnd w:id="295"/>
    <w:bookmarkStart w:id="297" w:name="ref-Bentz_Dutkiewicz_2026"/>
    <w:p>
      <w:pPr>
        <w:pStyle w:val="Bibliography"/>
      </w:pPr>
      <w:r>
        <w:t xml:space="preserve">[10]</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96">
        <w:r>
          <w:rPr>
            <w:rStyle w:val="Hyperlink"/>
          </w:rPr>
          <w:t xml:space="preserve">https://doi.org/10.1073/pnas.2520385123</w:t>
        </w:r>
      </w:hyperlink>
      <w:r>
        <w:t xml:space="preserve">.</w:t>
      </w:r>
    </w:p>
    <w:bookmarkEnd w:id="297"/>
    <w:bookmarkStart w:id="299" w:name="ref-Chiotti_2005"/>
    <w:p>
      <w:pPr>
        <w:pStyle w:val="Bibliography"/>
      </w:pPr>
      <w:r>
        <w:t xml:space="preserve">[11]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8">
        <w:r>
          <w:rPr>
            <w:rStyle w:val="Hyperlink"/>
          </w:rPr>
          <w:t xml:space="preserve">https://doi.org/10.30861/9781841718309</w:t>
        </w:r>
      </w:hyperlink>
      <w:r>
        <w:t xml:space="preserve">.</w:t>
      </w:r>
    </w:p>
    <w:bookmarkEnd w:id="299"/>
    <w:bookmarkStart w:id="301" w:name="ref-Higham_Abri_Pataud_2011"/>
    <w:p>
      <w:pPr>
        <w:pStyle w:val="Bibliography"/>
      </w:pPr>
      <w:r>
        <w:t xml:space="preserve">[12]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0">
        <w:r>
          <w:rPr>
            <w:rStyle w:val="Hyperlink"/>
          </w:rPr>
          <w:t xml:space="preserve">https://doi.org/10.1016/j.jhevol.2011.06.005</w:t>
        </w:r>
      </w:hyperlink>
      <w:r>
        <w:t xml:space="preserve">.</w:t>
      </w:r>
    </w:p>
    <w:bookmarkEnd w:id="301"/>
    <w:bookmarkStart w:id="303" w:name="ref-Talamo_La_Ferrassie_2020"/>
    <w:p>
      <w:pPr>
        <w:pStyle w:val="Bibliography"/>
      </w:pPr>
      <w:r>
        <w:t xml:space="preserve">[13]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2">
        <w:r>
          <w:rPr>
            <w:rStyle w:val="Hyperlink"/>
          </w:rPr>
          <w:t xml:space="preserve">https://doi.org/10.1002/jqs.3236</w:t>
        </w:r>
      </w:hyperlink>
      <w:r>
        <w:t xml:space="preserve">.</w:t>
      </w:r>
    </w:p>
    <w:bookmarkEnd w:id="303"/>
    <w:bookmarkStart w:id="304" w:name="ref-Delporte_1984_Ferrassie"/>
    <w:p>
      <w:pPr>
        <w:pStyle w:val="Bibliography"/>
      </w:pPr>
      <w:r>
        <w:t xml:space="preserve">[14]</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04"/>
    <w:bookmarkStart w:id="306" w:name="ref-Oliva_2006"/>
    <w:p>
      <w:pPr>
        <w:pStyle w:val="Bibliography"/>
      </w:pPr>
      <w:r>
        <w:t xml:space="preserve">[15]</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05">
        <w:r>
          <w:rPr>
            <w:rStyle w:val="Hyperlink"/>
          </w:rPr>
          <w:t xml:space="preserve">https://doi.org/10.1007/978-3-211-49294-9_4</w:t>
        </w:r>
      </w:hyperlink>
      <w:r>
        <w:t xml:space="preserve">.</w:t>
      </w:r>
    </w:p>
    <w:bookmarkEnd w:id="306"/>
    <w:bookmarkStart w:id="308" w:name="ref-Wild_et_al_2005"/>
    <w:p>
      <w:pPr>
        <w:pStyle w:val="Bibliography"/>
      </w:pPr>
      <w:r>
        <w:t xml:space="preserve">[16]</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7">
        <w:r>
          <w:rPr>
            <w:rStyle w:val="Hyperlink"/>
          </w:rPr>
          <w:t xml:space="preserve">https://doi.org/10.1038/nature03585</w:t>
        </w:r>
      </w:hyperlink>
      <w:r>
        <w:t xml:space="preserve">.</w:t>
      </w:r>
    </w:p>
    <w:bookmarkEnd w:id="308"/>
    <w:bookmarkStart w:id="310" w:name="ref-Schurch_Conard_2026_reassess"/>
    <w:p>
      <w:pPr>
        <w:pStyle w:val="Bibliography"/>
      </w:pPr>
      <w:r>
        <w:t xml:space="preserve">[17]</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9">
        <w:r>
          <w:rPr>
            <w:rStyle w:val="Hyperlink"/>
          </w:rPr>
          <w:t xml:space="preserve">https://doi.org/10.1007/s41982-025-00246-x</w:t>
        </w:r>
      </w:hyperlink>
      <w:r>
        <w:t xml:space="preserve">.</w:t>
      </w:r>
    </w:p>
    <w:bookmarkEnd w:id="310"/>
    <w:bookmarkStart w:id="312" w:name="ref-Venables_Ripley_2002"/>
    <w:p>
      <w:pPr>
        <w:pStyle w:val="Bibliography"/>
      </w:pPr>
      <w:r>
        <w:t xml:space="preserve">[18]</w:t>
      </w:r>
      <w:r>
        <w:t xml:space="preserve"> </w:t>
      </w:r>
      <w:r>
        <w:t xml:space="preserve">	</w:t>
      </w:r>
      <w:r>
        <w:t xml:space="preserve">Venables WN, Ripley BD. Modern applied statistics with s. Fourth. Springer; 2002.</w:t>
      </w:r>
      <w:r>
        <w:t xml:space="preserve"> </w:t>
      </w:r>
      <w:hyperlink r:id="rId311">
        <w:r>
          <w:rPr>
            <w:rStyle w:val="Hyperlink"/>
          </w:rPr>
          <w:t xml:space="preserve">https://doi.org/10.1007/978-0-387-21706-2</w:t>
        </w:r>
      </w:hyperlink>
      <w:r>
        <w:t xml:space="preserve">.</w:t>
      </w:r>
    </w:p>
    <w:bookmarkEnd w:id="312"/>
    <w:bookmarkStart w:id="314" w:name="ref-Chao_Jost_2012"/>
    <w:p>
      <w:pPr>
        <w:pStyle w:val="Bibliography"/>
      </w:pPr>
      <w:r>
        <w:t xml:space="preserve">[19]</w:t>
      </w:r>
      <w:r>
        <w:t xml:space="preserve"> </w:t>
      </w:r>
      <w:r>
        <w:t xml:space="preserve">	</w:t>
      </w:r>
      <w:r>
        <w:t xml:space="preserve">Chao A, Jost L. Coverage-based rarefaction and extrapolation: Standardizing samples by completeness rather than size. Ecology 2012;93:2533–47.</w:t>
      </w:r>
      <w:r>
        <w:t xml:space="preserve"> </w:t>
      </w:r>
      <w:hyperlink r:id="rId313">
        <w:r>
          <w:rPr>
            <w:rStyle w:val="Hyperlink"/>
          </w:rPr>
          <w:t xml:space="preserve">https://doi.org/10.1890/11-1952.1</w:t>
        </w:r>
      </w:hyperlink>
      <w:r>
        <w:t xml:space="preserve">.</w:t>
      </w:r>
    </w:p>
    <w:bookmarkEnd w:id="314"/>
    <w:bookmarkStart w:id="316" w:name="ref-Hsieh_Ma_Chao_2016"/>
    <w:p>
      <w:pPr>
        <w:pStyle w:val="Bibliography"/>
      </w:pPr>
      <w:r>
        <w:t xml:space="preserve">[20]</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15">
        <w:r>
          <w:rPr>
            <w:rStyle w:val="Hyperlink"/>
          </w:rPr>
          <w:t xml:space="preserve">https://doi.org/10.1111/2041-210X.12613</w:t>
        </w:r>
      </w:hyperlink>
      <w:r>
        <w:t xml:space="preserve">.</w:t>
      </w:r>
    </w:p>
    <w:bookmarkEnd w:id="316"/>
    <w:bookmarkEnd w:id="317"/>
    <w:bookmarkEnd w:id="318"/>
    <w:bookmarkEnd w:id="31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3" Target="media/rId103.png"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image" Id="rId87" Target="media/rId87.png" /><Relationship Type="http://schemas.openxmlformats.org/officeDocument/2006/relationships/image" Id="rId241" Target="media/rId241.png" /><Relationship Type="http://schemas.openxmlformats.org/officeDocument/2006/relationships/image" Id="rId270" Target="media/rId270.png" /><Relationship Type="http://schemas.openxmlformats.org/officeDocument/2006/relationships/image" Id="rId258" Target="media/rId258.png" /><Relationship Type="http://schemas.openxmlformats.org/officeDocument/2006/relationships/image" Id="rId250" Target="media/rId250.png" /><Relationship Type="http://schemas.openxmlformats.org/officeDocument/2006/relationships/image" Id="rId74" Target="media/rId74.png" /><Relationship Type="http://schemas.openxmlformats.org/officeDocument/2006/relationships/image" Id="rId110" Target="media/rId110.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13" Target="media/rId113.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16" Target="media/rId116.png" /><Relationship Type="http://schemas.openxmlformats.org/officeDocument/2006/relationships/image" Id="rId197" Target="media/rId197.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hyperlink" Id="rId302" Target="https://doi.org/10.1002/jqs.3236" TargetMode="External" /><Relationship Type="http://schemas.openxmlformats.org/officeDocument/2006/relationships/hyperlink" Id="rId311" Target="https://doi.org/10.1007/978-0-387-21706-2" TargetMode="External" /><Relationship Type="http://schemas.openxmlformats.org/officeDocument/2006/relationships/hyperlink" Id="rId305" Target="https://doi.org/10.1007/978-3-211-49294-9_4" TargetMode="External" /><Relationship Type="http://schemas.openxmlformats.org/officeDocument/2006/relationships/hyperlink" Id="rId294" Target="https://doi.org/10.1007/BF01908075" TargetMode="External" /><Relationship Type="http://schemas.openxmlformats.org/officeDocument/2006/relationships/hyperlink" Id="rId286" Target="https://doi.org/10.1007/s11258-006-9126-3" TargetMode="External" /><Relationship Type="http://schemas.openxmlformats.org/officeDocument/2006/relationships/hyperlink" Id="rId280" Target="https://doi.org/10.1007/s41982-017-0004-4" TargetMode="External" /><Relationship Type="http://schemas.openxmlformats.org/officeDocument/2006/relationships/hyperlink" Id="rId309" Target="https://doi.org/10.1007/s41982-025-00246-x" TargetMode="External" /><Relationship Type="http://schemas.openxmlformats.org/officeDocument/2006/relationships/hyperlink" Id="rId300" Target="https://doi.org/10.1016/j.jhevol.2011.06.005" TargetMode="External" /><Relationship Type="http://schemas.openxmlformats.org/officeDocument/2006/relationships/hyperlink" Id="rId278" Target="https://doi.org/10.1016/j.quascirev.2021.106995" TargetMode="External" /><Relationship Type="http://schemas.openxmlformats.org/officeDocument/2006/relationships/hyperlink" Id="rId290" Target="https://doi.org/10.1023/A:1023949509487" TargetMode="External" /><Relationship Type="http://schemas.openxmlformats.org/officeDocument/2006/relationships/hyperlink" Id="rId307" Target="https://doi.org/10.1038/nature03585" TargetMode="External" /><Relationship Type="http://schemas.openxmlformats.org/officeDocument/2006/relationships/hyperlink" Id="rId296" Target="https://doi.org/10.1073/pnas.2520385123" TargetMode="External" /><Relationship Type="http://schemas.openxmlformats.org/officeDocument/2006/relationships/hyperlink" Id="rId282" Target="https://doi.org/10.1088/1742-5468/2008/10/P10008" TargetMode="External" /><Relationship Type="http://schemas.openxmlformats.org/officeDocument/2006/relationships/hyperlink" Id="rId284" Target="https://doi.org/10.1103/PhysRevE.69.026113" TargetMode="External" /><Relationship Type="http://schemas.openxmlformats.org/officeDocument/2006/relationships/hyperlink" Id="rId315" Target="https://doi.org/10.1111/2041-210X.12613" TargetMode="External" /><Relationship Type="http://schemas.openxmlformats.org/officeDocument/2006/relationships/hyperlink" Id="rId288" Target="https://doi.org/10.18637/jss.v022.i07" TargetMode="External" /><Relationship Type="http://schemas.openxmlformats.org/officeDocument/2006/relationships/hyperlink" Id="rId313" Target="https://doi.org/10.1890/11-1952.1" TargetMode="External" /><Relationship Type="http://schemas.openxmlformats.org/officeDocument/2006/relationships/hyperlink" Id="rId298" Target="https://doi.org/10.30861/9781841718309" TargetMode="External" /><Relationship Type="http://schemas.openxmlformats.org/officeDocument/2006/relationships/hyperlink" Id="rId292"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2" Target="https://doi.org/10.1002/jqs.3236" TargetMode="External" /><Relationship Type="http://schemas.openxmlformats.org/officeDocument/2006/relationships/hyperlink" Id="rId311" Target="https://doi.org/10.1007/978-0-387-21706-2" TargetMode="External" /><Relationship Type="http://schemas.openxmlformats.org/officeDocument/2006/relationships/hyperlink" Id="rId305" Target="https://doi.org/10.1007/978-3-211-49294-9_4" TargetMode="External" /><Relationship Type="http://schemas.openxmlformats.org/officeDocument/2006/relationships/hyperlink" Id="rId294" Target="https://doi.org/10.1007/BF01908075" TargetMode="External" /><Relationship Type="http://schemas.openxmlformats.org/officeDocument/2006/relationships/hyperlink" Id="rId286" Target="https://doi.org/10.1007/s11258-006-9126-3" TargetMode="External" /><Relationship Type="http://schemas.openxmlformats.org/officeDocument/2006/relationships/hyperlink" Id="rId280" Target="https://doi.org/10.1007/s41982-017-0004-4" TargetMode="External" /><Relationship Type="http://schemas.openxmlformats.org/officeDocument/2006/relationships/hyperlink" Id="rId309" Target="https://doi.org/10.1007/s41982-025-00246-x" TargetMode="External" /><Relationship Type="http://schemas.openxmlformats.org/officeDocument/2006/relationships/hyperlink" Id="rId300" Target="https://doi.org/10.1016/j.jhevol.2011.06.005" TargetMode="External" /><Relationship Type="http://schemas.openxmlformats.org/officeDocument/2006/relationships/hyperlink" Id="rId278" Target="https://doi.org/10.1016/j.quascirev.2021.106995" TargetMode="External" /><Relationship Type="http://schemas.openxmlformats.org/officeDocument/2006/relationships/hyperlink" Id="rId290" Target="https://doi.org/10.1023/A:1023949509487" TargetMode="External" /><Relationship Type="http://schemas.openxmlformats.org/officeDocument/2006/relationships/hyperlink" Id="rId307" Target="https://doi.org/10.1038/nature03585" TargetMode="External" /><Relationship Type="http://schemas.openxmlformats.org/officeDocument/2006/relationships/hyperlink" Id="rId296" Target="https://doi.org/10.1073/pnas.2520385123" TargetMode="External" /><Relationship Type="http://schemas.openxmlformats.org/officeDocument/2006/relationships/hyperlink" Id="rId282" Target="https://doi.org/10.1088/1742-5468/2008/10/P10008" TargetMode="External" /><Relationship Type="http://schemas.openxmlformats.org/officeDocument/2006/relationships/hyperlink" Id="rId284" Target="https://doi.org/10.1103/PhysRevE.69.026113" TargetMode="External" /><Relationship Type="http://schemas.openxmlformats.org/officeDocument/2006/relationships/hyperlink" Id="rId315" Target="https://doi.org/10.1111/2041-210X.12613" TargetMode="External" /><Relationship Type="http://schemas.openxmlformats.org/officeDocument/2006/relationships/hyperlink" Id="rId288" Target="https://doi.org/10.18637/jss.v022.i07" TargetMode="External" /><Relationship Type="http://schemas.openxmlformats.org/officeDocument/2006/relationships/hyperlink" Id="rId313" Target="https://doi.org/10.1890/11-1952.1" TargetMode="External" /><Relationship Type="http://schemas.openxmlformats.org/officeDocument/2006/relationships/hyperlink" Id="rId298" Target="https://doi.org/10.30861/9781841718309" TargetMode="External" /><Relationship Type="http://schemas.openxmlformats.org/officeDocument/2006/relationships/hyperlink" Id="rId292"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2026-09-03T05:21:17Z</dcterms:created>
  <dcterms:modified xsi:type="dcterms:W3CDTF">2026-09-03T05:21:17Z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2,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