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although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date-parsing attrition counts are in S1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S2).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correlation at the nominal 0.05 threshold (R = 0.062, p = 0.004). The very small effect size (R ≈ 0.06) indicates that temporal distance explains only a small fraction of the variation in sign-type distribution. This weak association shows only that time has little explanatory power for sign composition. We tested this inference more directly with a time-lag analysis (S1 §</w:t>
      </w:r>
      <w:r>
        <w:t xml:space="preserve">S1.8.3</w:t>
      </w:r>
      <w:r>
        <w:t xml:space="preserve">):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0.071). This result concerns pairwise composition only. It does not remove the separate correlation between object count and sign-type richness per site. We test that richness confound directly at the object level (S1 §</w:t>
      </w:r>
      <w:r>
        <w:t xml:space="preserve">S1.12.3</w:t>
      </w:r>
      <w:r>
        <w:t xml:space="preserve">, §</w:t>
      </w:r>
      <w:r>
        <w:t xml:space="preserve">S1.12.4</w:t>
      </w:r>
      <w:r>
        <w:t xml:space="preserve"> </w:t>
      </w:r>
      <w:r>
        <w:t xml:space="preserve">and §</w:t>
      </w:r>
      <w:r>
        <w:t xml:space="preserve">S1.12.5</w:t>
      </w:r>
      <w:r>
        <w:t xml:space="preserv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This null result provides lack of evidence for isolation by distance in this sample. It does not show that isolation by distance fails to account for the patterns. It should be interpreted cautiously given the small sample sizes (S1 §</w:t>
      </w:r>
      <w:r>
        <w:t xml:space="preserve">S1.4.3</w:t>
      </w:r>
      <w:r>
        <w:t xml:space="preserve">). To test whether the non-significant Mantel result reflects a particular alternative process, we additionally fit a multiple regression on distance matrices with sign dissimilarity as the response and geographic, temporal, and object-count distances as predictors (S1 §</w:t>
      </w:r>
      <w:r>
        <w:t xml:space="preserve">S1.8.2</w:t>
      </w:r>
      <w:r>
        <w:t xml:space="preserve">). This reveals no candidate is significant, so the null Mantel does not identify any specific alternative process. A Mantel correlogram likewise did not detect spatial structure, except for one nominally significant long-range lag in Aur-P2, and bootstrap confidence intervals on the Mantel R indicate the test is underpowered at these sample sizes, so the result is best read as a lack of evidence rather than evidence of absence (S1 §</w:t>
      </w:r>
      <w:r>
        <w:t xml:space="preserve">S1.4.3</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w:t>
      </w:r>
      <w:r>
        <w:t xml:space="preserve">S1.4.4</w:t>
      </w:r>
      <w:r>
        <w:t xml:space="preserve">). It detects a weak linear geographic trend in Aur-P1 (R² = 0.156, adjusted R² = 0.057, p = 0.038) but no signal in Aur-P2 (R² = 0.191, adjusted R² = -0.078, p = 0.85). The Aur-P1 trend explains only about six percent of the adjusted variation. We interpret this, at most, a faint geographic gradient,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w:t>
      </w:r>
      <w:r>
        <w:t xml:space="preserve">S1.10</w:t>
      </w:r>
      <w:r>
        <w:t xml:space="preserve"> </w:t>
      </w:r>
      <w:r>
        <w:t xml:space="preserve">and §</w:t>
      </w:r>
      <w:r>
        <w:t xml:space="preserve">S1.10.3</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 (S1 §</w:t>
      </w:r>
      <w:r>
        <w:t xml:space="preserve">S1.13</w:t>
      </w:r>
      <w:r>
        <w:t xml:space="preserve">).</w:t>
      </w:r>
    </w:p>
    <w:p>
      <w:pPr>
        <w:pStyle w:val="BodyText"/>
      </w:pPr>
      <w:r>
        <w:t xml:space="preserve">To quantitatively evaluate the two-group hypothesis inferred from the seriation analysis, we used bootstrap resampling and stochastic block models, which we describe in detail in S1 §</w:t>
      </w:r>
      <w:r>
        <w:t xml:space="preserve">S1.9.2</w:t>
      </w:r>
      <w:r>
        <w:t xml:space="preserve"> </w:t>
      </w:r>
      <w:r>
        <w:t xml:space="preserve">and §</w:t>
      </w:r>
      <w:r>
        <w:t xml:space="preserve">S1.9.3</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under object-within-site resampling.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assemblage-permutation modularity test (S1 §</w:t>
      </w:r>
      <w:r>
        <w:t xml:space="preserve">S1.7.2</w:t>
      </w:r>
      <w:r>
        <w:t xml:space="preserve">), which permutes site-level sign vectors among phases while preserving phase sizes, shows that Aur-P1’s observed modularity (0.336 at threshold 0.2) significantly exceeds that null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w:t>
      </w:r>
      <w:r>
        <w:t xml:space="preserve">S1.7.4</w:t>
      </w:r>
      <w:r>
        <w:t xml:space="preserve">),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w:t>
      </w:r>
      <w:r>
        <w:t xml:space="preserve">S1.5.5</w:t>
      </w:r>
      <w:r>
        <w:t xml:space="preserve"> </w:t>
      </w:r>
      <w:r>
        <w:t xml:space="preserve">and §</w:t>
      </w:r>
      <w:r>
        <w:t xml:space="preserve">S1.12.7</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 §</w:t>
      </w:r>
      <w:r>
        <w:t xml:space="preserve">S1.7.6</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likely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appear more widely dispersed in the map. This appearance reflects the much smaller sample of this phase. It does not support a demographic expansion claim from these data. Partitions Around Medoids on geodesic distances between sites finds two groups as a parsimonious grouping for Aur-P1 only (S1 §</w:t>
      </w:r>
      <w:r>
        <w:t xml:space="preserve">S1.8.4</w:t>
      </w:r>
      <w:r>
        <w:t xml:space="preserve">). These two groups are roughly West versus Central Europe, separating the Dordogne bloc tradition from the Swabian ivory tradition, and likely reflective research effort history rather than past cultural groups with distinctive sign repertoires.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w:t>
      </w:r>
      <w:r>
        <w:t xml:space="preserve">S1.5.5</w:t>
      </w:r>
      <w:r>
        <w:t xml:space="preserve"> </w:t>
      </w:r>
      <w:r>
        <w:t xml:space="preserve">and §</w:t>
      </w:r>
      <w:r>
        <w:t xml:space="preserve">S1.12.7</w:t>
      </w:r>
      <w:r>
        <w:t xml:space="preserve">).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w:t>
      </w:r>
      <w:r>
        <w:t xml:space="preserve">S1.6.6</w:t>
      </w:r>
      <w:r>
        <w:t xml:space="preserve"> </w:t>
      </w:r>
      <w:r>
        <w:t xml:space="preserve">and §</w:t>
      </w:r>
      <w:r>
        <w:t xml:space="preserve">S1.6.7</w:t>
      </w:r>
      <w:r>
        <w:t xml:space="preserve">). Communities differ mainly in the frequency of the most widespread sign types, with no type exclusive to one community, which favours graded repertoires over discrete provinces (S1 §</w:t>
      </w:r>
      <w:r>
        <w:t xml:space="preserve">S1.11.3</w:t>
      </w:r>
      <w:r>
        <w:t xml:space="preserve">).</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cannot distinguish a difference in network scale from a difference in connectedness or community structure at these sample sizes (S1 §</w:t>
      </w:r>
      <w:r>
        <w:t xml:space="preserve">S1.13</w:t>
      </w:r>
      <w:r>
        <w:t xml:space="preserv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(S1 §</w:t>
      </w:r>
      <w:r>
        <w:t xml:space="preserve">S1.13</w:t>
      </w:r>
      <w:r>
        <w:t xml:space="preserve"> </w:t>
      </w:r>
      <w:r>
        <w:t xml:space="preserve">and §</w:t>
      </w:r>
      <w:r>
        <w:t xml:space="preserve">S1.4.3</w:t>
      </w:r>
      <w:r>
        <w:t xml:space="preserve">), and bootstrap confidence intervals on the Mantel R show that a moderate geographic correlation could not be excluded at these sample sizes (S1 §</w:t>
      </w:r>
      <w:r>
        <w:t xml:space="preserve">S1.4.3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Testing this hypothesis, sites whose diversity lies above the simulated mean showed a weak non-significant association with network degree after Benjamini-Hochberg correction (ρ = -0.35, p = 0.095). Because this association is not significant, it provides no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tracks position on the broad-to-restricted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 Site names are shown for sites with a sample size of three or more to avoid label overlap. Per-site values for every site are given in S1 §</w:t>
            </w:r>
            <w:r>
              <w:t xml:space="preserve">S1.12.2</w:t>
            </w:r>
            <w:r>
              <w:t xml:space="preserv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 §</w:t>
      </w:r>
      <w:r>
        <w:t xml:space="preserve">S1.4.3</w:t>
      </w:r>
      <w:r>
        <w:t xml:space="preserve"> </w:t>
      </w:r>
      <w:r>
        <w:t xml:space="preserve">and §</w:t>
      </w:r>
      <w:r>
        <w:t xml:space="preserve">S1.13</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which detected no significant size-adjusted network differences and no significant geographic signal.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w:t>
      </w:r>
      <w:r>
        <w:t xml:space="preserve">S1.12.6</w:t>
      </w:r>
      <w:r>
        <w:t xml:space="preserve">).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We therefore did not detect sign sharing driven primarily by expansion into new, spatially structured niches in this sample.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S1.4.3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However the low power of our analysis (S1 §</w:t>
      </w:r>
      <w:r>
        <w:t xml:space="preserve">S1.13</w:t>
      </w:r>
      <w:r>
        <w:t xml:space="preserve">) means this remains a hypothesis.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stochastic block models recover it as the two largest blocks in Aur-P1. The split does not exceed fixed-fixed Curveball expectations in either phase, and the Jaccard separation disappears under Simpson turnover which removes the nestedness component (S1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However, bootstrap confidence intervals (S1 §</w:t>
      </w:r>
      <w:r>
        <w:t xml:space="preserve">S1.4.3</w:t>
      </w:r>
      <w:r>
        <w:t xml:space="preserve">)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w:t>
      </w:r>
      <w:r>
        <w:t xml:space="preserve">S1.1</w:t>
      </w:r>
      <w:r>
        <w:t xml:space="preserve">). Alternative calibrations move a few boundary sites between phases without changing the phase ordering (S1 §</w:t>
      </w:r>
      <w:r>
        <w:t xml:space="preserve">S1.5.4</w:t>
      </w:r>
      <w:r>
        <w:t xml:space="preserve">).</w:t>
      </w:r>
    </w:p>
    <w:bookmarkEnd w:id="61"/>
    <w:bookmarkStart w:id="309" w:name="references"/>
    <w:p>
      <w:pPr>
        <w:pStyle w:val="Heading1"/>
      </w:pPr>
      <w:r>
        <w:t xml:space="preserve">References</w:t>
      </w:r>
    </w:p>
    <w:bookmarkStart w:id="308"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 Rnaturalearth: World map data from</w:t>
      </w:r>
      <w:r>
        <w:t xml:space="preserve"> </w:t>
      </w:r>
      <w:r>
        <w:t xml:space="preserve">Natural Earth</w:t>
      </w:r>
      <w:r>
        <w:t xml:space="preserve">. 2026.</w:t>
      </w:r>
      <w:r>
        <w:t xml:space="preserve"> </w:t>
      </w:r>
      <w:hyperlink r:id="rId112">
        <w:r>
          <w:rPr>
            <w:rStyle w:val="Hyperlink"/>
          </w:rPr>
          <w:t xml:space="preserve">https://doi.org/10.32614/CRAN.package.rnaturalearth</w:t>
        </w:r>
      </w:hyperlink>
      <w:r>
        <w:t xml:space="preserve">.</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2022.</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https://doi.org/10.1890/0012-9615(1999)069[0001:DBRATM]2.0.CO;2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 Statnet: Software tools for the statistical analysis of network data 2019.</w:t>
      </w:r>
      <w:r>
        <w:t xml:space="preserve"> </w:t>
      </w:r>
      <w:hyperlink r:id="rId134">
        <w:r>
          <w:rPr>
            <w:rStyle w:val="Hyperlink"/>
          </w:rPr>
          <w:t xml:space="preserve">https://doi.org/10.32614/CRAN.package.statnet</w:t>
        </w:r>
      </w:hyperlink>
      <w:r>
        <w:t xml:space="preserve">.</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9"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r>
        <w:t xml:space="preserve"> </w:t>
      </w:r>
      <w:hyperlink r:id="rId188">
        <w:r>
          <w:rPr>
            <w:rStyle w:val="Hyperlink"/>
          </w:rPr>
          <w:t xml:space="preserve">https://doi.org/10.2307/j.ctvdmwwz4.8</w:t>
        </w:r>
      </w:hyperlink>
      <w:r>
        <w:t xml:space="preserve">.</w:t>
      </w:r>
    </w:p>
    <w:bookmarkEnd w:id="189"/>
    <w:bookmarkStart w:id="191"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0">
        <w:r>
          <w:rPr>
            <w:rStyle w:val="Hyperlink"/>
          </w:rPr>
          <w:t xml:space="preserve">https://doi.org/10.2307/j.ctvdmwwz4.7</w:t>
        </w:r>
      </w:hyperlink>
      <w:r>
        <w:t xml:space="preserve">.</w:t>
      </w:r>
    </w:p>
    <w:bookmarkEnd w:id="191"/>
    <w:bookmarkStart w:id="193"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2">
        <w:r>
          <w:rPr>
            <w:rStyle w:val="Hyperlink"/>
          </w:rPr>
          <w:t xml:space="preserve">https://doi.org/10.2307/j.ctvdmwwz4.10</w:t>
        </w:r>
      </w:hyperlink>
      <w:r>
        <w:t xml:space="preserve">.</w:t>
      </w:r>
    </w:p>
    <w:bookmarkEnd w:id="193"/>
    <w:bookmarkStart w:id="195"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4">
        <w:r>
          <w:rPr>
            <w:rStyle w:val="Hyperlink"/>
          </w:rPr>
          <w:t xml:space="preserve">https://doi.org/10.1098/rstb.2020.0318</w:t>
        </w:r>
      </w:hyperlink>
      <w:r>
        <w:t xml:space="preserve">.</w:t>
      </w:r>
    </w:p>
    <w:bookmarkEnd w:id="195"/>
    <w:bookmarkStart w:id="197"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6">
        <w:r>
          <w:rPr>
            <w:rStyle w:val="Hyperlink"/>
          </w:rPr>
          <w:t xml:space="preserve">https://doi.org/10.1111/tops.12762</w:t>
        </w:r>
      </w:hyperlink>
      <w:r>
        <w:t xml:space="preserve">.</w:t>
      </w:r>
    </w:p>
    <w:bookmarkEnd w:id="197"/>
    <w:bookmarkStart w:id="199"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8">
        <w:r>
          <w:rPr>
            <w:rStyle w:val="Hyperlink"/>
          </w:rPr>
          <w:t xml:space="preserve">https://doi.org/10.3213/2191-5784-10243</w:t>
        </w:r>
      </w:hyperlink>
      <w:r>
        <w:t xml:space="preserve">.</w:t>
      </w:r>
    </w:p>
    <w:bookmarkEnd w:id="199"/>
    <w:bookmarkStart w:id="201" w:name="ref-Newlander_2012"/>
    <w:p>
      <w:pPr>
        <w:pStyle w:val="Bibliography"/>
      </w:pPr>
      <w:r>
        <w:t xml:space="preserve">[73]</w:t>
      </w:r>
      <w:r>
        <w:t xml:space="preserve"> </w:t>
      </w:r>
      <w:r>
        <w:t xml:space="preserve">	</w:t>
      </w:r>
      <w:r>
        <w:t xml:space="preserve">Newlander KS.</w:t>
      </w:r>
      <w:r>
        <w:t xml:space="preserve"> </w:t>
      </w:r>
      <w:hyperlink r:id="rId20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1"/>
    <w:bookmarkStart w:id="203"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2">
        <w:r>
          <w:rPr>
            <w:rStyle w:val="Hyperlink"/>
          </w:rPr>
          <w:t xml:space="preserve">https://doi.org/10.1371/journal.pone.0265329</w:t>
        </w:r>
      </w:hyperlink>
      <w:r>
        <w:t xml:space="preserve">.</w:t>
      </w:r>
    </w:p>
    <w:bookmarkEnd w:id="203"/>
    <w:bookmarkStart w:id="205"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4">
        <w:r>
          <w:rPr>
            <w:rStyle w:val="Hyperlink"/>
          </w:rPr>
          <w:t xml:space="preserve">https://doi.org/10.1086/202540</w:t>
        </w:r>
      </w:hyperlink>
      <w:r>
        <w:t xml:space="preserve">.</w:t>
      </w:r>
    </w:p>
    <w:bookmarkEnd w:id="205"/>
    <w:bookmarkStart w:id="207"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6">
        <w:r>
          <w:rPr>
            <w:rStyle w:val="Hyperlink"/>
          </w:rPr>
          <w:t xml:space="preserve">https://doi.org/10.1086/701523</w:t>
        </w:r>
      </w:hyperlink>
      <w:r>
        <w:t xml:space="preserve">.</w:t>
      </w:r>
    </w:p>
    <w:bookmarkEnd w:id="207"/>
    <w:bookmarkStart w:id="209"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8">
        <w:r>
          <w:rPr>
            <w:rStyle w:val="Hyperlink"/>
          </w:rPr>
          <w:t xml:space="preserve">https://doi.org/10.1111/j.1468-0092.1982.tb00313.x</w:t>
        </w:r>
      </w:hyperlink>
      <w:r>
        <w:t xml:space="preserve">.</w:t>
      </w:r>
    </w:p>
    <w:bookmarkEnd w:id="209"/>
    <w:bookmarkStart w:id="211"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0">
        <w:r>
          <w:rPr>
            <w:rStyle w:val="Hyperlink"/>
          </w:rPr>
          <w:t xml:space="preserve">https://doi.org/10.1016/j.jaa.2013.05.005</w:t>
        </w:r>
      </w:hyperlink>
      <w:r>
        <w:t xml:space="preserve">.</w:t>
      </w:r>
    </w:p>
    <w:bookmarkEnd w:id="211"/>
    <w:bookmarkStart w:id="213"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2">
        <w:r>
          <w:rPr>
            <w:rStyle w:val="Hyperlink"/>
          </w:rPr>
          <w:t xml:space="preserve">https://doi.org/10.4000/palethnologie.4945</w:t>
        </w:r>
      </w:hyperlink>
      <w:r>
        <w:t xml:space="preserve">.</w:t>
      </w:r>
    </w:p>
    <w:bookmarkEnd w:id="213"/>
    <w:bookmarkStart w:id="215"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4">
        <w:r>
          <w:rPr>
            <w:rStyle w:val="Hyperlink"/>
          </w:rPr>
          <w:t xml:space="preserve">https://doi.org/10.1086/202802</w:t>
        </w:r>
      </w:hyperlink>
      <w:r>
        <w:t xml:space="preserve">.</w:t>
      </w:r>
    </w:p>
    <w:bookmarkEnd w:id="215"/>
    <w:bookmarkStart w:id="216"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6"/>
    <w:bookmarkStart w:id="218"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7">
        <w:r>
          <w:rPr>
            <w:rStyle w:val="Hyperlink"/>
          </w:rPr>
          <w:t xml:space="preserve">https://doi.org/10.1146/annurev.an.23.100194.002411</w:t>
        </w:r>
      </w:hyperlink>
      <w:r>
        <w:t xml:space="preserve">.</w:t>
      </w:r>
    </w:p>
    <w:bookmarkEnd w:id="218"/>
    <w:bookmarkStart w:id="220"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9">
        <w:r>
          <w:rPr>
            <w:rStyle w:val="Hyperlink"/>
          </w:rPr>
          <w:t xml:space="preserve">https://doi.org/10.5281/zenodo.15397990</w:t>
        </w:r>
      </w:hyperlink>
      <w:r>
        <w:t xml:space="preserve">.</w:t>
      </w:r>
    </w:p>
    <w:bookmarkEnd w:id="220"/>
    <w:bookmarkStart w:id="222"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1">
        <w:r>
          <w:rPr>
            <w:rStyle w:val="Hyperlink"/>
          </w:rPr>
          <w:t xml:space="preserve">https://doi.org/10.2307/280511</w:t>
        </w:r>
      </w:hyperlink>
      <w:r>
        <w:t xml:space="preserve">.</w:t>
      </w:r>
    </w:p>
    <w:bookmarkEnd w:id="222"/>
    <w:bookmarkStart w:id="224"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3">
        <w:r>
          <w:rPr>
            <w:rStyle w:val="Hyperlink"/>
          </w:rPr>
          <w:t xml:space="preserve">https://doi.org/10.1038/s41467-024-51349-y</w:t>
        </w:r>
      </w:hyperlink>
      <w:r>
        <w:t xml:space="preserve">.</w:t>
      </w:r>
    </w:p>
    <w:bookmarkEnd w:id="224"/>
    <w:bookmarkStart w:id="226"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1992;34:51.</w:t>
      </w:r>
      <w:r>
        <w:t xml:space="preserve"> </w:t>
      </w:r>
      <w:hyperlink r:id="rId225">
        <w:r>
          <w:rPr>
            <w:rStyle w:val="Hyperlink"/>
          </w:rPr>
          <w:t xml:space="preserve">https://doi.org/10.1080/03122417.1992.11681454</w:t>
        </w:r>
      </w:hyperlink>
      <w:r>
        <w:t xml:space="preserve">.</w:t>
      </w:r>
    </w:p>
    <w:bookmarkEnd w:id="226"/>
    <w:bookmarkStart w:id="228"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r>
        <w:t xml:space="preserve"> </w:t>
      </w:r>
      <w:hyperlink r:id="rId227">
        <w:r>
          <w:rPr>
            <w:rStyle w:val="Hyperlink"/>
          </w:rPr>
          <w:t xml:space="preserve">https://doi.org/10.1017/cbo9780511720277.008</w:t>
        </w:r>
      </w:hyperlink>
      <w:r>
        <w:t xml:space="preserve">.</w:t>
      </w:r>
    </w:p>
    <w:bookmarkEnd w:id="228"/>
    <w:bookmarkStart w:id="230"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9">
        <w:r>
          <w:rPr>
            <w:rStyle w:val="Hyperlink"/>
          </w:rPr>
          <w:t xml:space="preserve">https://doi.org/10.1002/9780470773475.ch5</w:t>
        </w:r>
      </w:hyperlink>
      <w:r>
        <w:t xml:space="preserve">.</w:t>
      </w:r>
    </w:p>
    <w:bookmarkEnd w:id="230"/>
    <w:bookmarkStart w:id="232"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1">
        <w:r>
          <w:rPr>
            <w:rStyle w:val="Hyperlink"/>
          </w:rPr>
          <w:t xml:space="preserve">https://doi.org/10.1016/B978-0-12-564750-2.50020-2</w:t>
        </w:r>
      </w:hyperlink>
      <w:r>
        <w:t xml:space="preserve">.</w:t>
      </w:r>
    </w:p>
    <w:bookmarkEnd w:id="232"/>
    <w:bookmarkStart w:id="234"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3">
        <w:r>
          <w:rPr>
            <w:rStyle w:val="Hyperlink"/>
          </w:rPr>
          <w:t xml:space="preserve">https://doi.org/10.1080/00438243.1994.9980272</w:t>
        </w:r>
      </w:hyperlink>
      <w:r>
        <w:t xml:space="preserve">.</w:t>
      </w:r>
    </w:p>
    <w:bookmarkEnd w:id="234"/>
    <w:bookmarkStart w:id="236"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5">
        <w:r>
          <w:rPr>
            <w:rStyle w:val="Hyperlink"/>
          </w:rPr>
          <w:t xml:space="preserve">https://doi.org/10.1002/9781118253892.ch6</w:t>
        </w:r>
      </w:hyperlink>
      <w:r>
        <w:t xml:space="preserve">.</w:t>
      </w:r>
    </w:p>
    <w:bookmarkEnd w:id="236"/>
    <w:bookmarkStart w:id="238"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7">
        <w:r>
          <w:rPr>
            <w:rStyle w:val="Hyperlink"/>
          </w:rPr>
          <w:t xml:space="preserve">https://doi.org/10.2307/40035267</w:t>
        </w:r>
      </w:hyperlink>
      <w:r>
        <w:t xml:space="preserve">.</w:t>
      </w:r>
    </w:p>
    <w:bookmarkEnd w:id="238"/>
    <w:bookmarkStart w:id="240"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9">
        <w:r>
          <w:rPr>
            <w:rStyle w:val="Hyperlink"/>
          </w:rPr>
          <w:t xml:space="preserve">https://doi.org/10.1016/0278-4165(84)90002-3</w:t>
        </w:r>
      </w:hyperlink>
      <w:r>
        <w:t xml:space="preserve">.</w:t>
      </w:r>
    </w:p>
    <w:bookmarkEnd w:id="240"/>
    <w:bookmarkStart w:id="242"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1">
        <w:r>
          <w:rPr>
            <w:rStyle w:val="Hyperlink"/>
          </w:rPr>
          <w:t xml:space="preserve">https://doi.org/10.1080/03122417.1992.11681450</w:t>
        </w:r>
      </w:hyperlink>
      <w:r>
        <w:t xml:space="preserve">.</w:t>
      </w:r>
    </w:p>
    <w:bookmarkEnd w:id="242"/>
    <w:bookmarkStart w:id="244"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3">
        <w:r>
          <w:rPr>
            <w:rStyle w:val="Hyperlink"/>
          </w:rPr>
          <w:t xml:space="preserve">https://doi.org/10.1007/978-4-431-55363-2_8</w:t>
        </w:r>
      </w:hyperlink>
      <w:r>
        <w:t xml:space="preserve">.</w:t>
      </w:r>
    </w:p>
    <w:bookmarkEnd w:id="244"/>
    <w:bookmarkStart w:id="245"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5"/>
    <w:bookmarkStart w:id="246"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6"/>
    <w:bookmarkStart w:id="247"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7"/>
    <w:bookmarkStart w:id="249"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8">
        <w:r>
          <w:rPr>
            <w:rStyle w:val="Hyperlink"/>
          </w:rPr>
          <w:t xml:space="preserve">https://doi.org/10.2307/4128416</w:t>
        </w:r>
      </w:hyperlink>
      <w:r>
        <w:t xml:space="preserve">.</w:t>
      </w:r>
    </w:p>
    <w:bookmarkEnd w:id="249"/>
    <w:bookmarkStart w:id="251"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0">
        <w:r>
          <w:rPr>
            <w:rStyle w:val="Hyperlink"/>
          </w:rPr>
          <w:t xml:space="preserve">https://doi.org/10.1126/sciadv.aax5913</w:t>
        </w:r>
      </w:hyperlink>
      <w:r>
        <w:t xml:space="preserve">.</w:t>
      </w:r>
    </w:p>
    <w:bookmarkEnd w:id="251"/>
    <w:bookmarkStart w:id="253"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2">
        <w:r>
          <w:rPr>
            <w:rStyle w:val="Hyperlink"/>
          </w:rPr>
          <w:t xml:space="preserve">https://doi.org/10.1111/brv.12599</w:t>
        </w:r>
      </w:hyperlink>
      <w:r>
        <w:t xml:space="preserve">.</w:t>
      </w:r>
    </w:p>
    <w:bookmarkEnd w:id="253"/>
    <w:bookmarkStart w:id="255"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4">
        <w:r>
          <w:rPr>
            <w:rStyle w:val="Hyperlink"/>
          </w:rPr>
          <w:t xml:space="preserve">https://doi.org/10.1093/oxfordhb/9780198854265.013.34</w:t>
        </w:r>
      </w:hyperlink>
      <w:r>
        <w:t xml:space="preserve">.</w:t>
      </w:r>
    </w:p>
    <w:bookmarkEnd w:id="255"/>
    <w:bookmarkStart w:id="257"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2022;14:174.</w:t>
      </w:r>
      <w:r>
        <w:t xml:space="preserve"> </w:t>
      </w:r>
      <w:hyperlink r:id="rId256">
        <w:r>
          <w:rPr>
            <w:rStyle w:val="Hyperlink"/>
          </w:rPr>
          <w:t xml:space="preserve">https://doi.org/10.1007/s12520-022-01641-z</w:t>
        </w:r>
      </w:hyperlink>
      <w:r>
        <w:t xml:space="preserve">.</w:t>
      </w:r>
    </w:p>
    <w:bookmarkEnd w:id="257"/>
    <w:bookmarkStart w:id="259"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8">
        <w:r>
          <w:rPr>
            <w:rStyle w:val="Hyperlink"/>
          </w:rPr>
          <w:t xml:space="preserve">https://doi.org/10.1016/j.jaa.2005.08.001</w:t>
        </w:r>
      </w:hyperlink>
      <w:r>
        <w:t xml:space="preserve">.</w:t>
      </w:r>
    </w:p>
    <w:bookmarkEnd w:id="259"/>
    <w:bookmarkStart w:id="261"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60">
        <w:r>
          <w:rPr>
            <w:rStyle w:val="Hyperlink"/>
          </w:rPr>
          <w:t xml:space="preserve">https://doi.org/10.1007/s10816-026-09796-y</w:t>
        </w:r>
      </w:hyperlink>
      <w:r>
        <w:t xml:space="preserve">.</w:t>
      </w:r>
    </w:p>
    <w:bookmarkEnd w:id="261"/>
    <w:bookmarkStart w:id="263"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2">
        <w:r>
          <w:rPr>
            <w:rStyle w:val="Hyperlink"/>
          </w:rPr>
          <w:t xml:space="preserve">https://doi.org/10.1073/pnas.2520385123</w:t>
        </w:r>
      </w:hyperlink>
      <w:r>
        <w:t xml:space="preserve">.</w:t>
      </w:r>
    </w:p>
    <w:bookmarkEnd w:id="263"/>
    <w:bookmarkStart w:id="265"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4">
        <w:r>
          <w:rPr>
            <w:rStyle w:val="Hyperlink"/>
          </w:rPr>
          <w:t xml:space="preserve">https://doi.org/10.1017/S0959774322000415</w:t>
        </w:r>
      </w:hyperlink>
      <w:r>
        <w:t xml:space="preserve">.</w:t>
      </w:r>
    </w:p>
    <w:bookmarkEnd w:id="265"/>
    <w:bookmarkStart w:id="267"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6">
        <w:r>
          <w:rPr>
            <w:rStyle w:val="Hyperlink"/>
          </w:rPr>
          <w:t xml:space="preserve">https://doi.org/10.2139/ssrn.7053279</w:t>
        </w:r>
      </w:hyperlink>
      <w:r>
        <w:t xml:space="preserve">.</w:t>
      </w:r>
    </w:p>
    <w:bookmarkEnd w:id="267"/>
    <w:bookmarkStart w:id="269"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8">
        <w:r>
          <w:rPr>
            <w:rStyle w:val="Hyperlink"/>
          </w:rPr>
          <w:t xml:space="preserve">https://doi.org/10.1007/s41982-023-00158-8</w:t>
        </w:r>
      </w:hyperlink>
      <w:r>
        <w:t xml:space="preserve">.</w:t>
      </w:r>
    </w:p>
    <w:bookmarkEnd w:id="269"/>
    <w:bookmarkStart w:id="271"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0">
        <w:r>
          <w:rPr>
            <w:rStyle w:val="Hyperlink"/>
          </w:rPr>
          <w:t xml:space="preserve">https://doi.org/10.1080/1751696X.2024.2441115</w:t>
        </w:r>
      </w:hyperlink>
      <w:r>
        <w:t xml:space="preserve">.</w:t>
      </w:r>
    </w:p>
    <w:bookmarkEnd w:id="271"/>
    <w:bookmarkStart w:id="273"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2">
        <w:r>
          <w:rPr>
            <w:rStyle w:val="Hyperlink"/>
          </w:rPr>
          <w:t xml:space="preserve">https://doi.org/10.1017/S0959774324000155</w:t>
        </w:r>
      </w:hyperlink>
      <w:r>
        <w:t xml:space="preserve">.</w:t>
      </w:r>
    </w:p>
    <w:bookmarkEnd w:id="273"/>
    <w:bookmarkStart w:id="275"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4">
        <w:r>
          <w:rPr>
            <w:rStyle w:val="Hyperlink"/>
          </w:rPr>
          <w:t xml:space="preserve">https://doi.org/10.1007/978-981-13-8980-1_12</w:t>
        </w:r>
      </w:hyperlink>
      <w:r>
        <w:t xml:space="preserve">.</w:t>
      </w:r>
    </w:p>
    <w:bookmarkEnd w:id="275"/>
    <w:bookmarkStart w:id="276"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6"/>
    <w:bookmarkStart w:id="278"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7">
        <w:r>
          <w:rPr>
            <w:rStyle w:val="Hyperlink"/>
          </w:rPr>
          <w:t xml:space="preserve">https://doi.org/10.1016/j.jasrep.2021.103118</w:t>
        </w:r>
      </w:hyperlink>
      <w:r>
        <w:t xml:space="preserve">.</w:t>
      </w:r>
    </w:p>
    <w:bookmarkEnd w:id="278"/>
    <w:bookmarkStart w:id="280"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9">
        <w:r>
          <w:rPr>
            <w:rStyle w:val="Hyperlink"/>
          </w:rPr>
          <w:t xml:space="preserve">https://doi.org/10.2307/2802103</w:t>
        </w:r>
      </w:hyperlink>
      <w:r>
        <w:t xml:space="preserve">.</w:t>
      </w:r>
    </w:p>
    <w:bookmarkEnd w:id="280"/>
    <w:bookmarkStart w:id="282"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1">
        <w:r>
          <w:rPr>
            <w:rStyle w:val="Hyperlink"/>
          </w:rPr>
          <w:t xml:space="preserve">https://doi.org/10.1016/j.quascirev.2018.12.011</w:t>
        </w:r>
      </w:hyperlink>
      <w:r>
        <w:t xml:space="preserve">.</w:t>
      </w:r>
    </w:p>
    <w:bookmarkEnd w:id="282"/>
    <w:bookmarkStart w:id="284"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3">
        <w:r>
          <w:rPr>
            <w:rStyle w:val="Hyperlink"/>
          </w:rPr>
          <w:t xml:space="preserve">https://doi.org/10.1098/rsif.2017.0171</w:t>
        </w:r>
      </w:hyperlink>
      <w:r>
        <w:t xml:space="preserve">.</w:t>
      </w:r>
    </w:p>
    <w:bookmarkEnd w:id="284"/>
    <w:bookmarkStart w:id="286"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5">
        <w:r>
          <w:rPr>
            <w:rStyle w:val="Hyperlink"/>
          </w:rPr>
          <w:t xml:space="preserve">https://doi.org/10.1007/978-1-4757-9945-3_4</w:t>
        </w:r>
      </w:hyperlink>
      <w:r>
        <w:t xml:space="preserve">.</w:t>
      </w:r>
    </w:p>
    <w:bookmarkEnd w:id="286"/>
    <w:bookmarkStart w:id="288"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7">
        <w:r>
          <w:rPr>
            <w:rStyle w:val="Hyperlink"/>
          </w:rPr>
          <w:t xml:space="preserve">https://doi.org/10.1371/journal.pone.0102806</w:t>
        </w:r>
      </w:hyperlink>
      <w:r>
        <w:t xml:space="preserve">.</w:t>
      </w:r>
    </w:p>
    <w:bookmarkEnd w:id="288"/>
    <w:bookmarkStart w:id="290"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9">
        <w:r>
          <w:rPr>
            <w:rStyle w:val="Hyperlink"/>
          </w:rPr>
          <w:t xml:space="preserve">https://doi.org/10.1073/pnas.1518798113</w:t>
        </w:r>
      </w:hyperlink>
      <w:r>
        <w:t xml:space="preserve">.</w:t>
      </w:r>
    </w:p>
    <w:bookmarkEnd w:id="290"/>
    <w:bookmarkStart w:id="291"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1"/>
    <w:bookmarkStart w:id="293"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2">
        <w:r>
          <w:rPr>
            <w:rStyle w:val="Hyperlink"/>
          </w:rPr>
          <w:t xml:space="preserve">https://doi.org/10.3828/hgr.2023.12</w:t>
        </w:r>
      </w:hyperlink>
      <w:r>
        <w:t xml:space="preserve">.</w:t>
      </w:r>
    </w:p>
    <w:bookmarkEnd w:id="293"/>
    <w:bookmarkStart w:id="295"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4">
        <w:r>
          <w:rPr>
            <w:rStyle w:val="Hyperlink"/>
          </w:rPr>
          <w:t xml:space="preserve">https://doi.org/10.1093/oxfordhb/9780198854265.013.31</w:t>
        </w:r>
      </w:hyperlink>
      <w:r>
        <w:t xml:space="preserve">.</w:t>
      </w:r>
    </w:p>
    <w:bookmarkEnd w:id="295"/>
    <w:bookmarkStart w:id="297"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6">
        <w:r>
          <w:rPr>
            <w:rStyle w:val="Hyperlink"/>
          </w:rPr>
          <w:t xml:space="preserve">https://doi.org/10.1007/s10816-023-09608-7</w:t>
        </w:r>
      </w:hyperlink>
      <w:r>
        <w:t xml:space="preserve">.</w:t>
      </w:r>
    </w:p>
    <w:bookmarkEnd w:id="297"/>
    <w:bookmarkStart w:id="299"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8">
        <w:r>
          <w:rPr>
            <w:rStyle w:val="Hyperlink"/>
          </w:rPr>
          <w:t xml:space="preserve">https://doi.org/10.30861/9781841718309</w:t>
        </w:r>
      </w:hyperlink>
      <w:r>
        <w:t xml:space="preserve">.</w:t>
      </w:r>
    </w:p>
    <w:bookmarkEnd w:id="299"/>
    <w:bookmarkStart w:id="301"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0">
        <w:r>
          <w:rPr>
            <w:rStyle w:val="Hyperlink"/>
          </w:rPr>
          <w:t xml:space="preserve">https://doi.org/10.1016/j.jhevol.2011.06.005</w:t>
        </w:r>
      </w:hyperlink>
      <w:r>
        <w:t xml:space="preserve">.</w:t>
      </w:r>
    </w:p>
    <w:bookmarkEnd w:id="301"/>
    <w:bookmarkStart w:id="303"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2">
        <w:r>
          <w:rPr>
            <w:rStyle w:val="Hyperlink"/>
          </w:rPr>
          <w:t xml:space="preserve">https://doi.org/10.1002/jqs.3236</w:t>
        </w:r>
      </w:hyperlink>
      <w:r>
        <w:t xml:space="preserve">.</w:t>
      </w:r>
    </w:p>
    <w:bookmarkEnd w:id="303"/>
    <w:bookmarkStart w:id="305"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4">
        <w:r>
          <w:rPr>
            <w:rStyle w:val="Hyperlink"/>
          </w:rPr>
          <w:t xml:space="preserve">https://doi.org/10.1038/nature03585</w:t>
        </w:r>
      </w:hyperlink>
      <w:r>
        <w:t xml:space="preserve">.</w:t>
      </w:r>
    </w:p>
    <w:bookmarkEnd w:id="305"/>
    <w:bookmarkStart w:id="307"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6">
        <w:r>
          <w:rPr>
            <w:rStyle w:val="Hyperlink"/>
          </w:rPr>
          <w:t xml:space="preserve">https://doi.org/10.1007/s41982-025-00246-x</w:t>
        </w:r>
      </w:hyperlink>
      <w:r>
        <w:t xml:space="preserve">.</w:t>
      </w:r>
    </w:p>
    <w:bookmarkEnd w:id="307"/>
    <w:bookmarkEnd w:id="308"/>
    <w:bookmarkEnd w:id="30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2"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260"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8" Target="https://doi.org/10.1007/s41982-023-00158-8" TargetMode="External" /><Relationship Type="http://schemas.openxmlformats.org/officeDocument/2006/relationships/hyperlink" Id="rId306"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30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4"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70"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6"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8"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2"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2"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260"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8" Target="https://doi.org/10.1007/s41982-023-00158-8" TargetMode="External" /><Relationship Type="http://schemas.openxmlformats.org/officeDocument/2006/relationships/hyperlink" Id="rId306"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30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4"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70"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6"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8"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2"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2026-10-04T02:35:17Z</dcterms:created>
  <dcterms:modified xsi:type="dcterms:W3CDTF">2026-10-04T02:35:17Z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October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