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7.png" ContentType="image/png"/>
  <Override PartName="/word/media/rId39.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Patterns</w:t>
      </w:r>
      <w:r>
        <w:t xml:space="preserve"> </w:t>
      </w:r>
      <w:r>
        <w:t xml:space="preserve">of</w:t>
      </w:r>
      <w:r>
        <w:t xml:space="preserve"> </w:t>
      </w:r>
      <w:r>
        <w:t xml:space="preserve">Geometric</w:t>
      </w:r>
      <w:r>
        <w:t xml:space="preserve"> </w:t>
      </w:r>
      <w:r>
        <w:t xml:space="preserve">Sign</w:t>
      </w:r>
      <w:r>
        <w:t xml:space="preserve"> </w:t>
      </w:r>
      <w:r>
        <w:t xml:space="preserve">Groupings</w:t>
      </w:r>
      <w:r>
        <w:t xml:space="preserve"> </w:t>
      </w:r>
      <w:r>
        <w:t xml:space="preserve">as</w:t>
      </w:r>
      <w:r>
        <w:t xml:space="preserve"> </w:t>
      </w:r>
      <w:r>
        <w:t xml:space="preserve">a</w:t>
      </w:r>
      <w:r>
        <w:t xml:space="preserve"> </w:t>
      </w:r>
      <w:r>
        <w:t xml:space="preserve">Model</w:t>
      </w:r>
      <w:r>
        <w:t xml:space="preserve"> </w:t>
      </w:r>
      <w:r>
        <w:t xml:space="preserve">of</w:t>
      </w:r>
      <w:r>
        <w:t xml:space="preserve"> </w:t>
      </w:r>
      <w:r>
        <w:t xml:space="preserve">Social</w:t>
      </w:r>
      <w:r>
        <w:t xml:space="preserve"> </w:t>
      </w:r>
      <w:r>
        <w:t xml:space="preserve">Dynamics</w:t>
      </w:r>
      <w:r>
        <w:t xml:space="preserve"> </w:t>
      </w:r>
      <w:r>
        <w:t xml:space="preserve">Across</w:t>
      </w:r>
      <w:r>
        <w:t xml:space="preserve"> </w:t>
      </w:r>
      <w:r>
        <w:t xml:space="preserve">Aurignacian</w:t>
      </w:r>
      <w:r>
        <w:t xml:space="preserve"> </w:t>
      </w:r>
      <w:r>
        <w:t xml:space="preserve">Phases</w:t>
      </w:r>
    </w:p>
    <w:p>
      <w:pPr>
        <w:pStyle w:val="Author"/>
      </w:pPr>
      <w:r>
        <w:t xml:space="preserve">Sophie</w:t>
      </w:r>
      <w:r>
        <w:t xml:space="preserve"> </w:t>
      </w:r>
      <w:r>
        <w:t xml:space="preserve">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w:t>
      </w:r>
      <w:hyperlink w:anchor="ref-Fuentes_Lucas_Robert_2019">
        <w:r>
          <w:rPr>
            <w:rStyle w:val="Hyperlink"/>
          </w:rPr>
          <w:t xml:space="preserve">Fuentes, Lucas, and Robert 2019</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ook w:firstRow="0" w:lastRow="0" w:firstColumn="0" w:lastColumn="0" w:noHBand="0" w:noVBand="0" w:val="0000"/>
        <w:jc w:val="start"/>
        <w:tblLayout w:type="fixed"/>
      </w:tblPr>
      <w:tblGrid>
        <w:gridCol w:w="7920"/>
      </w:tblGrid>
      <w:tr>
        <w:tc>
          <w:tcPr/>
          <w:bookmarkStart w:id="20" w:name="tbl-aur-table"/>
          <w:tbl>
            <w:tblPr>
              <w:tblStyle w:val="Table"/>
              <w:tblW w:type="pct" w:w="5000"/>
              <w:tblLook w:firstRow="1" w:lastRow="0" w:firstColumn="0" w:lastColumn="0" w:noHBand="0" w:noVBand="0" w:val="0020"/>
              <w:jc w:val="start"/>
              <w:tblLayout w:type="fixed"/>
            </w:tblPr>
            <w:tblGrid>
              <w:gridCol w:w="1000"/>
              <w:gridCol w:w="680"/>
              <w:gridCol w:w="4200"/>
              <w:gridCol w:w="2040"/>
            </w:tblGrid>
            <w:tr>
              <w:trPr>
                <w:tblHeader w:val="true"/>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distribution? Lastly, what do the patterns tell us about dynamics of social organization throughout the Aurignacian? We answer these questions by first identifying clusters within each phase using seriation and network analyses. We then test the strength of the clusters using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w:t>
      </w:r>
      <w:r>
        <w:t xml:space="preserve">other</w:t>
      </w:r>
      <w:r>
        <w:t xml:space="preserve">”</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figures/map-and-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explained by geographic distance, then we would see similarity in sign type distribution decreasing as geographic distance increases</w:t>
      </w:r>
      <w:r>
        <w:t xml:space="preserve"> </w:t>
      </w:r>
      <w:r>
        <w:t xml:space="preserve">(</w:t>
      </w:r>
      <w:hyperlink w:anchor="ref-Herskind2023">
        <w:r>
          <w:rPr>
            <w:rStyle w:val="Hyperlink"/>
          </w:rPr>
          <w:t xml:space="preserve">Platz 2023</w:t>
        </w:r>
      </w:hyperlink>
      <w:r>
        <w:t xml:space="preserve">;</w:t>
      </w:r>
      <w:r>
        <w:t xml:space="preserve"> </w:t>
      </w:r>
      <w:hyperlink w:anchor="ref-Rigaud_dErrico_Vanhaeren_2015">
        <w:r>
          <w:rPr>
            <w:rStyle w:val="Hyperlink"/>
          </w:rPr>
          <w:t xml:space="preserve">Rigaud, d’Errico, and Vanhaeren 2015</w:t>
        </w:r>
      </w:hyperlink>
      <w:r>
        <w:t xml:space="preserve">)</w:t>
      </w:r>
      <w:r>
        <w:t xml:space="preserve">.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ook w:firstRow="0" w:lastRow="0" w:firstColumn="0" w:lastColumn="0" w:noHBand="0" w:noVBand="0" w:val="0000"/>
        <w:jc w:val="start"/>
        <w:tblLayout w:type="fixed"/>
      </w:tblPr>
      <w:tblGrid>
        <w:gridCol w:w="7920"/>
      </w:tblGrid>
      <w:tr>
        <w:tc>
          <w:tcPr/>
          <w:bookmarkStart w:id="26" w:name="tbl-mantel-table"/>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algorithm. To avoid cluttering the graph, all edges below the value of 0.2 were removed.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da1c626f4bbd9fdc06551ef7388072be9db3264"/>
    <w:p>
      <w:pPr>
        <w:pStyle w:val="Heading2"/>
      </w:pPr>
      <w:r>
        <w:t xml:space="preserve">PerMANOVA for Cultural Connection Strength</w:t>
      </w:r>
    </w:p>
    <w:p>
      <w:pPr>
        <w:pStyle w:val="FirstParagraph"/>
      </w:pPr>
      <w:r>
        <w:t xml:space="preserve">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w:t>
      </w:r>
      <w:hyperlink w:anchor="ref-Shennan_Crema_Kerig_2015">
        <w:r>
          <w:rPr>
            <w:rStyle w:val="Hyperlink"/>
          </w:rPr>
          <w:t xml:space="preserve">Shennan, Crema, and Kerig 2015</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perMANOVA was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6" w:name="results"/>
    <w:p>
      <w:pPr>
        <w:pStyle w:val="Heading1"/>
      </w:pPr>
      <w:r>
        <w:t xml:space="preserve">Results</w:t>
      </w:r>
    </w:p>
    <w:bookmarkStart w:id="43" w:name="cultural-group-detection"/>
    <w:p>
      <w:pPr>
        <w:pStyle w:val="Heading2"/>
      </w:pPr>
      <w:r>
        <w:t xml:space="preserve">Cultural Group Detection</w:t>
      </w:r>
    </w:p>
    <w:tbl>
      <w:tblPr>
        <w:tblStyle w:val="Table"/>
        <w:tblW w:type="pct" w:w="5000"/>
        <w:tblLook w:firstRow="0" w:lastRow="0" w:firstColumn="0" w:lastColumn="0" w:noHBand="0" w:noVBand="0" w:val="0000"/>
        <w:jc w:val="start"/>
        <w:tblLayout w:type="fixed"/>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ook w:firstRow="0" w:lastRow="0" w:firstColumn="0" w:lastColumn="0" w:noHBand="0" w:noVBand="0" w:val="0000"/>
        <w:jc w:val="start"/>
        <w:tblLayout w:type="fixed"/>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one distinct and one disconnected group. The restricted group consists of Geissenklösterle, Fumane, and Pod Hradem, and the broad group consists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group-map">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group-map"/>
          <w:p>
            <w:pPr>
              <w:pStyle w:val="Compact"/>
              <w:jc w:val="center"/>
            </w:pPr>
            <w:r>
              <w:drawing>
                <wp:inline>
                  <wp:extent cx="5334000" cy="3733800"/>
                  <wp:effectExtent b="0" l="0" r="0" t="0"/>
                  <wp:docPr descr="" title="" id="40" name="Picture"/>
                  <a:graphic>
                    <a:graphicData uri="http://schemas.openxmlformats.org/drawingml/2006/picture">
                      <pic:pic>
                        <pic:nvPicPr>
                          <pic:cNvPr descr="paper_files/figure-docx/fig-group-map-1.png" id="41" name="Picture"/>
                          <pic:cNvPicPr>
                            <a:picLocks noChangeArrowheads="1" noChangeAspect="1"/>
                          </pic:cNvPicPr>
                        </pic:nvPicPr>
                        <pic:blipFill>
                          <a:blip r:embed="rId3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2"/>
        </w:tc>
      </w:tr>
    </w:tbl>
    <w:p>
      <w:pPr>
        <w:pStyle w:val="BodyText"/>
      </w:pPr>
      <w:r>
        <w:t xml:space="preserve">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bookmarkEnd w:id="43"/>
    <w:bookmarkStart w:id="45" w:name="cultural-connection-strength"/>
    <w:p>
      <w:pPr>
        <w:pStyle w:val="Heading2"/>
      </w:pPr>
      <w:r>
        <w:t xml:space="preserve">Cultural Connection Strength</w:t>
      </w:r>
    </w:p>
    <w:tbl>
      <w:tblPr>
        <w:tblStyle w:val="Table"/>
        <w:tblW w:type="pct" w:w="5000"/>
        <w:tblLook w:firstRow="0" w:lastRow="0" w:firstColumn="0" w:lastColumn="0" w:noHBand="0" w:noVBand="0" w:val="0000"/>
        <w:jc w:val="start"/>
        <w:tblLayout w:type="fixed"/>
      </w:tblPr>
      <w:tblGrid>
        <w:gridCol w:w="7920"/>
      </w:tblGrid>
      <w:tr>
        <w:tc>
          <w:tcPr/>
          <w:bookmarkStart w:id="44" w:name="tbl-strength-table"/>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Aurignacian phase</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perMANOVA</w:t>
            </w:r>
          </w:p>
          <w:bookmarkEnd w:id="44"/>
        </w:tc>
      </w:tr>
    </w:tbl>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5"/>
    <w:bookmarkEnd w:id="46"/>
    <w:bookmarkStart w:id="53" w:name="discussion"/>
    <w:p>
      <w:pPr>
        <w:pStyle w:val="Heading1"/>
      </w:pPr>
      <w:r>
        <w:t xml:space="preserve">Discussion</w:t>
      </w:r>
    </w:p>
    <w:bookmarkStart w:id="51"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distribution.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perMANOVA tests show that the changes between the the Proto, Early, and Evolved Aurignacian phases are statistically significant, that the Transitional period experiences the highest level of difference between groups, while the Early Aurignacian has the least.</w:t>
      </w:r>
    </w:p>
    <w:p>
      <w:pPr>
        <w:pStyle w:val="BodyText"/>
      </w:pPr>
      <w:r>
        <w:t xml:space="preserve">One interpretation of the connectivity seen in</w:t>
      </w:r>
      <w:r>
        <w:t xml:space="preserve"> </w:t>
      </w:r>
      <w:hyperlink w:anchor="fig-neighbor-net">
        <w:r>
          <w:rPr>
            <w:rStyle w:val="Hyperlink"/>
          </w:rPr>
          <w:t xml:space="preserve">Figure 3</w:t>
        </w:r>
      </w:hyperlink>
      <w:r>
        <w:t xml:space="preserve"> </w:t>
      </w:r>
      <w:r>
        <w:t xml:space="preserve">is as a representation of non-utilitarian mobility. Non-utilitarian mobility establishes regional social networks which facilitate the spread of information and the survival of hunter-gatherers in uncertain environments</w:t>
      </w:r>
      <w:r>
        <w:t xml:space="preserve"> </w:t>
      </w:r>
      <w:r>
        <w:t xml:space="preserve">(</w:t>
      </w:r>
      <w:hyperlink w:anchor="ref-Whallon_2006">
        <w:r>
          <w:rPr>
            <w:rStyle w:val="Hyperlink"/>
          </w:rPr>
          <w:t xml:space="preserve">Whallon 2006</w:t>
        </w:r>
      </w:hyperlink>
      <w:r>
        <w:t xml:space="preserve">;</w:t>
      </w:r>
      <w:r>
        <w:t xml:space="preserve"> </w:t>
      </w:r>
      <w:hyperlink w:anchor="ref-Fitzhugh_Phillips_Gjesfeld_2011">
        <w:r>
          <w:rPr>
            <w:rStyle w:val="Hyperlink"/>
          </w:rPr>
          <w:t xml:space="preserve">Fitzhugh, Phillips, and Gjesfeld 2011</w:t>
        </w:r>
      </w:hyperlink>
      <w:r>
        <w:t xml:space="preserve">;</w:t>
      </w:r>
      <w:r>
        <w:t xml:space="preserve"> </w:t>
      </w:r>
      <w:hyperlink w:anchor="ref-Lovis_Donahue_2011">
        <w:r>
          <w:rPr>
            <w:rStyle w:val="Hyperlink"/>
          </w:rPr>
          <w:t xml:space="preserve">Lovis and Donahue 2011</w:t>
        </w:r>
      </w:hyperlink>
      <w:r>
        <w:t xml:space="preserve">;</w:t>
      </w:r>
      <w:r>
        <w:t xml:space="preserve"> </w:t>
      </w:r>
      <w:hyperlink w:anchor="ref-Hitchcock_Ebert_2011">
        <w:r>
          <w:rPr>
            <w:rStyle w:val="Hyperlink"/>
          </w:rPr>
          <w:t xml:space="preserve">Hitchcock and Ebert 2011</w:t>
        </w:r>
      </w:hyperlink>
      <w:r>
        <w:t xml:space="preserve">;</w:t>
      </w:r>
      <w:r>
        <w:t xml:space="preserve"> </w:t>
      </w:r>
      <w:hyperlink w:anchor="ref-Romano_Lozano_Fern2002">
        <w:r>
          <w:rPr>
            <w:rStyle w:val="Hyperlink"/>
            <w:bCs/>
            <w:b/>
          </w:rPr>
          <w:t xml:space="preserve">Romano_Lozano_Fern2002?</w:t>
        </w:r>
      </w:hyperlink>
      <w:r>
        <w:t xml:space="preserve">)</w:t>
      </w:r>
      <w:r>
        <w:t xml:space="preserve">. The exchange and production of decorative items is associated with non-utilitarian mobility and has been recognized as a sign of social contact in other regions and eras</w:t>
      </w:r>
      <w:r>
        <w:t xml:space="preserve"> </w:t>
      </w:r>
      <w:r>
        <w:t xml:space="preserve">(</w:t>
      </w:r>
      <w:hyperlink w:anchor="ref-Whallon_2006">
        <w:r>
          <w:rPr>
            <w:rStyle w:val="Hyperlink"/>
          </w:rPr>
          <w:t xml:space="preserve">Whallon 2006</w:t>
        </w:r>
      </w:hyperlink>
      <w:r>
        <w:t xml:space="preserve">;</w:t>
      </w:r>
      <w:r>
        <w:t xml:space="preserve"> </w:t>
      </w:r>
      <w:hyperlink w:anchor="ref-Kelly_2024">
        <w:r>
          <w:rPr>
            <w:rStyle w:val="Hyperlink"/>
          </w:rPr>
          <w:t xml:space="preserve">P. Kelly 2024</w:t>
        </w:r>
      </w:hyperlink>
      <w:r>
        <w:t xml:space="preserve">;</w:t>
      </w:r>
      <w:r>
        <w:t xml:space="preserve"> </w:t>
      </w:r>
      <w:hyperlink w:anchor="ref-Kinahan_2013">
        <w:r>
          <w:rPr>
            <w:rStyle w:val="Hyperlink"/>
          </w:rPr>
          <w:t xml:space="preserve">Kinahan 2013</w:t>
        </w:r>
      </w:hyperlink>
      <w:r>
        <w:t xml:space="preserve">;</w:t>
      </w:r>
      <w:r>
        <w:t xml:space="preserve"> </w:t>
      </w:r>
      <w:hyperlink w:anchor="ref-Newlander_2012">
        <w:r>
          <w:rPr>
            <w:rStyle w:val="Hyperlink"/>
          </w:rPr>
          <w:t xml:space="preserve">Newlander 2012</w:t>
        </w:r>
      </w:hyperlink>
      <w:r>
        <w:t xml:space="preserve">;</w:t>
      </w:r>
      <w:r>
        <w:t xml:space="preserve"> </w:t>
      </w:r>
      <w:hyperlink w:anchor="ref-Iizuka_Ferguson_Izuho_2022">
        <w:r>
          <w:rPr>
            <w:rStyle w:val="Hyperlink"/>
          </w:rPr>
          <w:t xml:space="preserve">Iizuka, Ferguson, and Izuho 2022</w:t>
        </w:r>
      </w:hyperlink>
      <w:r>
        <w:t xml:space="preserve">)</w:t>
      </w:r>
      <w:r>
        <w:t xml:space="preserve">. Previous studies have shown a range of variation in mobility among hunter-gatherer groups</w:t>
      </w:r>
      <w:r>
        <w:t xml:space="preserve"> </w:t>
      </w:r>
      <w:r>
        <w:t xml:space="preserve">(</w:t>
      </w:r>
      <w:hyperlink w:anchor="ref-Binford_1990">
        <w:r>
          <w:rPr>
            <w:rStyle w:val="Hyperlink"/>
          </w:rPr>
          <w:t xml:space="preserve">Binford 1990</w:t>
        </w:r>
      </w:hyperlink>
      <w:r>
        <w:t xml:space="preserve">;</w:t>
      </w:r>
      <w:r>
        <w:t xml:space="preserve"> </w:t>
      </w:r>
      <w:hyperlink w:anchor="ref-Kelly_1983">
        <w:r>
          <w:rPr>
            <w:rStyle w:val="Hyperlink"/>
          </w:rPr>
          <w:t xml:space="preserve">R. L. Kelly 1983</w:t>
        </w:r>
      </w:hyperlink>
      <w:r>
        <w:t xml:space="preserve">;</w:t>
      </w:r>
      <w:r>
        <w:t xml:space="preserve"> </w:t>
      </w:r>
      <w:hyperlink w:anchor="ref-Johnson_2014">
        <w:r>
          <w:rPr>
            <w:rStyle w:val="Hyperlink"/>
          </w:rPr>
          <w:t xml:space="preserve">Johnson 2014</w:t>
        </w:r>
      </w:hyperlink>
      <w:r>
        <w:t xml:space="preserve">;</w:t>
      </w:r>
      <w:r>
        <w:t xml:space="preserve"> </w:t>
      </w:r>
      <w:hyperlink w:anchor="ref-Padilla-Iglesias_Bischoff_2024">
        <w:r>
          <w:rPr>
            <w:rStyle w:val="Hyperlink"/>
          </w:rPr>
          <w:t xml:space="preserve">Padilla-Iglesias and Bischoff 2024</w:t>
        </w:r>
      </w:hyperlink>
      <w:r>
        <w:t xml:space="preserve">;</w:t>
      </w:r>
      <w:r>
        <w:t xml:space="preserve"> </w:t>
      </w:r>
      <w:hyperlink w:anchor="ref-Singh_Glowacki_2022">
        <w:r>
          <w:rPr>
            <w:rStyle w:val="Hyperlink"/>
          </w:rPr>
          <w:t xml:space="preserve">Singh and Glowacki 2022</w:t>
        </w:r>
      </w:hyperlink>
      <w:r>
        <w:t xml:space="preserve">)</w:t>
      </w:r>
      <w:r>
        <w:t xml:space="preserve">; some of the connections in</w:t>
      </w:r>
      <w:r>
        <w:t xml:space="preserve"> </w:t>
      </w:r>
      <w:hyperlink w:anchor="fig-neighbor-net">
        <w:r>
          <w:rPr>
            <w:rStyle w:val="Hyperlink"/>
          </w:rPr>
          <w:t xml:space="preserve">Figure 3</w:t>
        </w:r>
      </w:hyperlink>
      <w:r>
        <w:t xml:space="preserve"> </w:t>
      </w:r>
      <w:r>
        <w:t xml:space="preserve">may represent shorter-term information exchange, while others may indicate longer-term residential movement.</w:t>
      </w:r>
    </w:p>
    <w:p>
      <w:pPr>
        <w:pStyle w:val="BodyText"/>
      </w:pPr>
      <w:r>
        <w:t xml:space="preserve">One form of longer-term residential movement is the aggregation/dispersion pattern, which is defined by</w:t>
      </w:r>
      <w:r>
        <w:t xml:space="preserve"> </w:t>
      </w:r>
      <w:r>
        <w:t xml:space="preserve">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more diverse artifact assemblage</w:t>
      </w:r>
      <w:r>
        <w:t xml:space="preserve"> </w:t>
      </w:r>
      <w:r>
        <w:t xml:space="preserve">(</w:t>
      </w:r>
      <w:hyperlink w:anchor="ref-conkley_agg">
        <w:r>
          <w:rPr>
            <w:rStyle w:val="Hyperlink"/>
          </w:rPr>
          <w:t xml:space="preserve">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 The possibility that some sites functioned as aggregation sites may have influenced the geographic structure of sites (</w:t>
      </w:r>
      <w:hyperlink w:anchor="fig-group-map">
        <w:r>
          <w:rPr>
            <w:rStyle w:val="Hyperlink"/>
          </w:rPr>
          <w:t xml:space="preserve">Figure 4</w:t>
        </w:r>
      </w:hyperlink>
      <w:r>
        <w:t xml:space="preserve">), which change from phase to phase.</w:t>
      </w:r>
    </w:p>
    <w:p>
      <w:pPr>
        <w:pStyle w:val="BodyText"/>
      </w:pPr>
      <w:r>
        <w:t xml:space="preserve">A potential identifier of aggregation sites comes from</w:t>
      </w:r>
      <w:r>
        <w:t xml:space="preserve"> </w:t>
      </w:r>
      <w:hyperlink w:anchor="fig-div-plot">
        <w:r>
          <w:rPr>
            <w:rStyle w:val="Hyperlink"/>
          </w:rPr>
          <w:t xml:space="preserve">Figure 5</w:t>
        </w:r>
      </w:hyperlink>
      <w:r>
        <w:t xml:space="preserve">, which uses the tabula package</w:t>
      </w:r>
      <w:r>
        <w:t xml:space="preserve"> </w:t>
      </w:r>
      <w:r>
        <w:t xml:space="preserve">(</w:t>
      </w:r>
      <w:hyperlink w:anchor="ref-Frerebeau_2025">
        <w:r>
          <w:rPr>
            <w:rStyle w:val="Hyperlink"/>
          </w:rPr>
          <w:t xml:space="preserve">Frerebeau 2025</w:t>
        </w:r>
      </w:hyperlink>
      <w:r>
        <w:t xml:space="preserve">)</w:t>
      </w:r>
      <w:r>
        <w:t xml:space="preserve"> </w:t>
      </w:r>
      <w:r>
        <w:t xml:space="preserve">to generate the Shannon-Weaver diversity index of sign types per site, and plot the expected diversity index for a given sample size against the actual diversity index per site</w:t>
      </w:r>
      <w:r>
        <w:t xml:space="preserve"> </w:t>
      </w:r>
      <w:r>
        <w:t xml:space="preserve">(</w:t>
      </w:r>
      <w:hyperlink w:anchor="ref-Kintigh_1984">
        <w:r>
          <w:rPr>
            <w:rStyle w:val="Hyperlink"/>
          </w:rPr>
          <w:t xml:space="preserve">Kintigh 1984</w:t>
        </w:r>
      </w:hyperlink>
      <w:r>
        <w:t xml:space="preserve">)</w:t>
      </w:r>
      <w:r>
        <w:t xml:space="preserve">. The plot identifies multiple sites that diverge from the diversity index predicted by sample size, including those with a higher index than expected, such as Hohle Fels in the Transitional phase, Spy, La Ferrassie, and Les Cottés in the Proto-Aurignacian, Solutré, Hohle Fels, and Grottes de Fonds-de-Forêt in the Early Aurignacian, and Vogelherd, Bockstein-Törle, and Vindija Cave in the Evolved Aurignacian. It is possible that those sites with a greater than expected diversity index acted as aggregation sites for their groups or served a similar purpose. La Ferrassie in the Proto-Aurignacian is also shown by</w:t>
      </w:r>
      <w:r>
        <w:t xml:space="preserve"> </w:t>
      </w:r>
      <w:hyperlink w:anchor="fig-neighbor-net">
        <w:r>
          <w:rPr>
            <w:rStyle w:val="Hyperlink"/>
          </w:rPr>
          <w:t xml:space="preserve">Figure 3</w:t>
        </w:r>
      </w:hyperlink>
      <w:r>
        <w:t xml:space="preserve"> </w:t>
      </w:r>
      <w:r>
        <w:t xml:space="preserve">to have multiple connections to sites in both groups, in addition to the diversity index shown in</w:t>
      </w:r>
      <w:r>
        <w:t xml:space="preserve"> </w:t>
      </w:r>
      <w:hyperlink w:anchor="fig-div-plot">
        <w:r>
          <w:rPr>
            <w:rStyle w:val="Hyperlink"/>
          </w:rPr>
          <w:t xml:space="preserve">Figure 5</w:t>
        </w:r>
      </w:hyperlink>
      <w:r>
        <w:t xml:space="preserve">, perhaps suggesting that it functioned as a specifically inter-group aggregation site.</w:t>
      </w:r>
    </w:p>
    <w:tbl>
      <w:tblPr>
        <w:tblStyle w:val="Table"/>
        <w:tblW w:type="pct" w:w="5000"/>
        <w:tblLook w:firstRow="0" w:lastRow="0" w:firstColumn="0" w:lastColumn="0" w:noHBand="0" w:noVBand="0" w:val="0000"/>
        <w:jc w:val="start"/>
        <w:tblLayout w:type="fixed"/>
      </w:tblPr>
      <w:tblGrid>
        <w:gridCol w:w="7920"/>
      </w:tblGrid>
      <w:tr>
        <w:tc>
          <w:tcPr/>
          <w:bookmarkStart w:id="50" w:name="fig-div-plot"/>
          <w:p>
            <w:pPr>
              <w:pStyle w:val="Compact"/>
              <w:jc w:val="center"/>
            </w:pPr>
            <w:r>
              <w:drawing>
                <wp:inline>
                  <wp:extent cx="5334000" cy="4267200"/>
                  <wp:effectExtent b="0" l="0" r="0" t="0"/>
                  <wp:docPr descr="" title="" id="48" name="Picture"/>
                  <a:graphic>
                    <a:graphicData uri="http://schemas.openxmlformats.org/drawingml/2006/picture">
                      <pic:pic>
                        <pic:nvPicPr>
                          <pic:cNvPr descr="paper_files/figure-docx/fig-div-plot-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Plots of expected versus actual diversity of signs for each site by time period. The blue line is the expected Heterogeneity value under the null model (simple increase in sample size means simple increase in diversity of sign types. The upper red line is the upper 95% confidence interval, if a site is near or above that line, it has a much higher diversity of signs than expected under the null model.The lower red line is the lower 95% confidence interval, if a site is near or below that line, it has a much lower diversity of signs than expected under the null model.</w:t>
            </w:r>
          </w:p>
          <w:bookmarkEnd w:id="50"/>
        </w:tc>
      </w:tr>
    </w:tbl>
    <w:p>
      <w:pPr>
        <w:pStyle w:val="BodyText"/>
      </w:pPr>
      <w:hyperlink w:anchor="fig-div-plot">
        <w:r>
          <w:rPr>
            <w:rStyle w:val="Hyperlink"/>
          </w:rPr>
          <w:t xml:space="preserve">Figure 5</w:t>
        </w:r>
      </w:hyperlink>
      <w:r>
        <w:t xml:space="preserve"> </w:t>
      </w:r>
      <w:r>
        <w:t xml:space="preserve">shows divergence from the expected diversity index for the sample size. Another potential explanation for the observed variation in diversity is that it may indicate variation in social structure. Despite the tendency to conceive of hunter-gatherers as homogenous, previous studies have established variation in hunter-gatherer social structures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w:t>
      </w:r>
      <w:hyperlink w:anchor="ref-Pate_2006">
        <w:r>
          <w:rPr>
            <w:rStyle w:val="Hyperlink"/>
          </w:rPr>
          <w:t xml:space="preserve">Pate 2006</w:t>
        </w:r>
      </w:hyperlink>
      <w:r>
        <w:t xml:space="preserve">;</w:t>
      </w:r>
      <w:r>
        <w:t xml:space="preserve"> </w:t>
      </w:r>
      <w:hyperlink w:anchor="ref-Johnson_2014">
        <w:r>
          <w:rPr>
            <w:rStyle w:val="Hyperlink"/>
          </w:rPr>
          <w:t xml:space="preserve">Johnson 2014</w:t>
        </w:r>
      </w:hyperlink>
      <w:r>
        <w:t xml:space="preserve">;</w:t>
      </w:r>
      <w:r>
        <w:t xml:space="preserve"> </w:t>
      </w:r>
      <w:hyperlink w:anchor="ref-Singh_Glowacki_2022">
        <w:r>
          <w:rPr>
            <w:rStyle w:val="Hyperlink"/>
          </w:rPr>
          <w:t xml:space="preserve">Singh and Glowacki 2022</w:t>
        </w:r>
      </w:hyperlink>
      <w:r>
        <w:t xml:space="preserve">;</w:t>
      </w:r>
      <w:r>
        <w:t xml:space="preserve"> </w:t>
      </w:r>
      <w:hyperlink w:anchor="ref-Schwendler_2012">
        <w:r>
          <w:rPr>
            <w:rStyle w:val="Hyperlink"/>
          </w:rPr>
          <w:t xml:space="preserve">Schwendler 2012</w:t>
        </w:r>
      </w:hyperlink>
      <w:r>
        <w:t xml:space="preserve">)</w:t>
      </w:r>
      <w:r>
        <w:t xml:space="preserve">. Additional research has established how variation in ornamentation and other forms of material culture can be used to communicate information about social roles and status within groups</w:t>
      </w:r>
      <w:r>
        <w:t xml:space="preserve"> </w:t>
      </w:r>
      <w:r>
        <w:t xml:space="preserve">(</w:t>
      </w:r>
      <w:hyperlink w:anchor="ref-Morwood_1987">
        <w:r>
          <w:rPr>
            <w:rStyle w:val="Hyperlink"/>
          </w:rPr>
          <w:t xml:space="preserve">Morwood 1987</w:t>
        </w:r>
      </w:hyperlink>
      <w:r>
        <w:t xml:space="preserve">;</w:t>
      </w:r>
      <w:r>
        <w:t xml:space="preserve"> </w:t>
      </w:r>
      <w:hyperlink w:anchor="ref-Sauvet_2018">
        <w:r>
          <w:rPr>
            <w:rStyle w:val="Hyperlink"/>
          </w:rPr>
          <w:t xml:space="preserve">Sauvet et al. 2018</w:t>
        </w:r>
      </w:hyperlink>
      <w:r>
        <w:t xml:space="preserve">;</w:t>
      </w:r>
      <w:r>
        <w:t xml:space="preserve"> </w:t>
      </w:r>
      <w:hyperlink w:anchor="ref-Mattson_2021">
        <w:r>
          <w:rPr>
            <w:rStyle w:val="Hyperlink"/>
          </w:rPr>
          <w:t xml:space="preserve">Mattson 2021</w:t>
        </w:r>
      </w:hyperlink>
      <w:r>
        <w:t xml:space="preserve">;</w:t>
      </w:r>
      <w:r>
        <w:t xml:space="preserve"> </w:t>
      </w:r>
      <w:hyperlink w:anchor="ref-Larsson_2006">
        <w:r>
          <w:rPr>
            <w:rStyle w:val="Hyperlink"/>
          </w:rPr>
          <w:t xml:space="preserve">Larsson 2006</w:t>
        </w:r>
      </w:hyperlink>
      <w:r>
        <w:t xml:space="preserve">;</w:t>
      </w:r>
      <w:r>
        <w:t xml:space="preserve"> </w:t>
      </w:r>
      <w:hyperlink w:anchor="ref-Moore_2010">
        <w:r>
          <w:rPr>
            <w:rStyle w:val="Hyperlink"/>
          </w:rPr>
          <w:t xml:space="preserve">Moore 2010</w:t>
        </w:r>
      </w:hyperlink>
      <w:r>
        <w:t xml:space="preserve">;</w:t>
      </w:r>
      <w:r>
        <w:t xml:space="preserve"> </w:t>
      </w:r>
      <w:hyperlink w:anchor="ref-Alfonso-Durrruty_Giles_Misarti2015">
        <w:r>
          <w:rPr>
            <w:rStyle w:val="Hyperlink"/>
          </w:rPr>
          <w:t xml:space="preserve">Alfonso-Durrruty et al. 2015</w:t>
        </w:r>
      </w:hyperlink>
      <w:r>
        <w:t xml:space="preserve">;</w:t>
      </w:r>
      <w:r>
        <w:t xml:space="preserve"> </w:t>
      </w:r>
      <w:hyperlink w:anchor="ref-Vanhaeren_2005">
        <w:r>
          <w:rPr>
            <w:rStyle w:val="Hyperlink"/>
          </w:rPr>
          <w:t xml:space="preserve">Vanhaeren 2005</w:t>
        </w:r>
      </w:hyperlink>
      <w:r>
        <w:t xml:space="preserve">;</w:t>
      </w:r>
      <w:r>
        <w:t xml:space="preserve"> </w:t>
      </w:r>
      <w:hyperlink w:anchor="ref-Conkey_1985">
        <w:r>
          <w:rPr>
            <w:rStyle w:val="Hyperlink"/>
          </w:rPr>
          <w:t xml:space="preserve">Conkey 1985</w:t>
        </w:r>
      </w:hyperlink>
      <w:r>
        <w:t xml:space="preserve">,</w:t>
      </w:r>
      <w:r>
        <w:t xml:space="preserve"> </w:t>
      </w:r>
      <w:hyperlink w:anchor="ref-Conkey_1978">
        <w:r>
          <w:rPr>
            <w:rStyle w:val="Hyperlink"/>
          </w:rPr>
          <w:t xml:space="preserve">1978</w:t>
        </w:r>
      </w:hyperlink>
      <w:r>
        <w:t xml:space="preserve">;</w:t>
      </w:r>
      <w:r>
        <w:t xml:space="preserve"> </w:t>
      </w:r>
      <w:hyperlink w:anchor="ref-Tilley_1982">
        <w:r>
          <w:rPr>
            <w:rStyle w:val="Hyperlink"/>
          </w:rPr>
          <w:t xml:space="preserve">Tilley 1982</w:t>
        </w:r>
      </w:hyperlink>
      <w:r>
        <w:t xml:space="preserve">;</w:t>
      </w:r>
      <w:r>
        <w:t xml:space="preserve"> </w:t>
      </w:r>
      <w:hyperlink w:anchor="ref-Hodder1979">
        <w:r>
          <w:rPr>
            <w:rStyle w:val="Hyperlink"/>
          </w:rPr>
          <w:t xml:space="preserve">Hodder 1979</w:t>
        </w:r>
      </w:hyperlink>
      <w:r>
        <w:t xml:space="preserve">,</w:t>
      </w:r>
      <w:r>
        <w:t xml:space="preserve"> </w:t>
      </w:r>
      <w:hyperlink w:anchor="ref-Hodder1977">
        <w:r>
          <w:rPr>
            <w:rStyle w:val="Hyperlink"/>
          </w:rPr>
          <w:t xml:space="preserve">1977</w:t>
        </w:r>
      </w:hyperlink>
      <w:r>
        <w:t xml:space="preserve">;</w:t>
      </w:r>
      <w:r>
        <w:t xml:space="preserve"> </w:t>
      </w:r>
      <w:hyperlink w:anchor="ref-Schwendler_2012">
        <w:r>
          <w:rPr>
            <w:rStyle w:val="Hyperlink"/>
          </w:rPr>
          <w:t xml:space="preserve">Schwendler 2012</w:t>
        </w:r>
      </w:hyperlink>
      <w:r>
        <w:t xml:space="preserve">)</w:t>
      </w:r>
      <w:r>
        <w:t xml:space="preserve">. It is therefore possible that greater diversity in geometric signs indicates a wider variety of formal social roles</w:t>
      </w:r>
      <w:r>
        <w:t xml:space="preserve"> </w:t>
      </w:r>
      <w:r>
        <w:t xml:space="preserve">(</w:t>
      </w:r>
      <w:hyperlink w:anchor="ref-Conkey_1985">
        <w:r>
          <w:rPr>
            <w:rStyle w:val="Hyperlink"/>
          </w:rPr>
          <w:t xml:space="preserve">Conkey 1985</w:t>
        </w:r>
      </w:hyperlink>
      <w:r>
        <w:t xml:space="preserve">;</w:t>
      </w:r>
      <w:r>
        <w:t xml:space="preserve"> </w:t>
      </w:r>
      <w:hyperlink w:anchor="ref-Schwendler_2012">
        <w:r>
          <w:rPr>
            <w:rStyle w:val="Hyperlink"/>
          </w:rPr>
          <w:t xml:space="preserve">Schwendler 2012</w:t>
        </w:r>
      </w:hyperlink>
      <w:r>
        <w:t xml:space="preserve">)</w:t>
      </w:r>
      <w:r>
        <w:t xml:space="preserve">. This is especially relevant in regards to our larger grouping structure of broader versus restricted signs, as it may indicate two broad types of social structure, with the broader groups having a more formal social structure, and the restricted groups having a less formal social structure.</w:t>
      </w:r>
    </w:p>
    <w:bookmarkEnd w:id="51"/>
    <w:bookmarkStart w:id="52"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2"/>
    <w:bookmarkEnd w:id="53"/>
    <w:bookmarkStart w:id="54"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 </w:t>
      </w:r>
      <w:hyperlink w:anchor="ref-Hill_Wood_Baggio_Hurtado_Boyd_2014">
        <w:r>
          <w:rPr>
            <w:rStyle w:val="Hyperlink"/>
          </w:rPr>
          <w:t xml:space="preserve">Hill et al. 2014</w:t>
        </w:r>
      </w:hyperlink>
      <w:r>
        <w:t xml:space="preserve">;</w:t>
      </w:r>
      <w:r>
        <w:t xml:space="preserve"> </w:t>
      </w:r>
      <w:hyperlink w:anchor="ref-Derex_Boyd_2016">
        <w:r>
          <w:rPr>
            <w:rStyle w:val="Hyperlink"/>
          </w:rPr>
          <w:t xml:space="preserve">Derex and Boyd 2016</w:t>
        </w:r>
      </w:hyperlink>
      <w:r>
        <w:t xml:space="preserve">;</w:t>
      </w:r>
      <w:r>
        <w:t xml:space="preserve"> </w:t>
      </w:r>
      <w:hyperlink w:anchor="ref-Romano_Lozano_Fern2022">
        <w:r>
          <w:rPr>
            <w:rStyle w:val="Hyperlink"/>
          </w:rPr>
          <w:t xml:space="preserve">Romano, Lozano, and Fernández-López de Pablo 2022</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even if it is random copying</w:t>
      </w:r>
      <w:r>
        <w:t xml:space="preserve"> </w:t>
      </w:r>
      <w:r>
        <w:t xml:space="preserve">(</w:t>
      </w:r>
      <w:hyperlink w:anchor="ref-Herskind2023">
        <w:r>
          <w:rPr>
            <w:rStyle w:val="Hyperlink"/>
          </w:rPr>
          <w:t xml:space="preserve">Platz 2023</w:t>
        </w:r>
      </w:hyperlink>
      <w:r>
        <w:t xml:space="preserve">)</w:t>
      </w:r>
      <w:r>
        <w:t xml:space="preserve">,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4"/>
    <w:bookmarkStart w:id="221" w:name="references"/>
    <w:p>
      <w:pPr>
        <w:pStyle w:val="Heading1"/>
      </w:pPr>
      <w:r>
        <w:t xml:space="preserve">References</w:t>
      </w:r>
    </w:p>
    <w:bookmarkStart w:id="220" w:name="refs"/>
    <w:bookmarkStart w:id="56" w:name="ref-Alfonso-Durrruty_Giles_Misarti2015"/>
    <w:p>
      <w:pPr>
        <w:pStyle w:val="Bibliography"/>
      </w:pPr>
      <w:r>
        <w:t xml:space="preserve">Alfonso-Durrruty, Marta P., Bretton T. Giles, Nicole Misarti, Manuel San Roman, and Flavia Morello. 2015.</w:t>
      </w:r>
      <w:r>
        <w:t xml:space="preserve"> </w:t>
      </w:r>
      <w:r>
        <w:t xml:space="preserve">“Antiquity and Geographic Distribution of Cranial Modification Among the Prehistoric Groups of Fuego-Patagonia, Chile.”</w:t>
      </w:r>
      <w:r>
        <w:t xml:space="preserve"> </w:t>
      </w:r>
      <w:r>
        <w:rPr>
          <w:iCs/>
          <w:i/>
        </w:rPr>
        <w:t xml:space="preserve">American Journal of Physical Anthropology</w:t>
      </w:r>
      <w:r>
        <w:t xml:space="preserve"> </w:t>
      </w:r>
      <w:r>
        <w:t xml:space="preserve">158 (4): 607–23.</w:t>
      </w:r>
      <w:r>
        <w:t xml:space="preserve"> </w:t>
      </w:r>
      <w:hyperlink r:id="rId55">
        <w:r>
          <w:rPr>
            <w:rStyle w:val="Hyperlink"/>
          </w:rPr>
          <w:t xml:space="preserve">https://doi.org/10.1002/ajpa.22832</w:t>
        </w:r>
      </w:hyperlink>
      <w:r>
        <w:t xml:space="preserve">.</w:t>
      </w:r>
    </w:p>
    <w:bookmarkEnd w:id="56"/>
    <w:bookmarkStart w:id="58"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Cs/>
          <w:i/>
        </w:rPr>
        <w:t xml:space="preserve">Wiley StatsRef: Statistics Reference Online</w:t>
      </w:r>
      <w:r>
        <w:t xml:space="preserve">, 1–15. John Wiley &amp; Sons, Ltd.</w:t>
      </w:r>
      <w:r>
        <w:t xml:space="preserve"> </w:t>
      </w:r>
      <w:hyperlink r:id="rId57">
        <w:r>
          <w:rPr>
            <w:rStyle w:val="Hyperlink"/>
          </w:rPr>
          <w:t xml:space="preserve">https://doi.org/10.1002/9781118445112.stat07841</w:t>
        </w:r>
      </w:hyperlink>
      <w:r>
        <w:t xml:space="preserve">.</w:t>
      </w:r>
    </w:p>
    <w:bookmarkEnd w:id="58"/>
    <w:bookmarkStart w:id="59"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Cs/>
          <w:i/>
        </w:rPr>
        <w:t xml:space="preserve">Oxford Journal of Archaeology</w:t>
      </w:r>
      <w:r>
        <w:t xml:space="preserve"> </w:t>
      </w:r>
      <w:r>
        <w:t xml:space="preserve">1 (3): 247–68.</w:t>
      </w:r>
    </w:p>
    <w:bookmarkEnd w:id="59"/>
    <w:bookmarkStart w:id="60"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Cs/>
          <w:i/>
        </w:rPr>
        <w:t xml:space="preserve">Nature Human Behaviour</w:t>
      </w:r>
      <w:r>
        <w:t xml:space="preserve"> </w:t>
      </w:r>
      <w:r>
        <w:t xml:space="preserve">8 (3): 431–44.</w:t>
      </w:r>
    </w:p>
    <w:bookmarkEnd w:id="60"/>
    <w:bookmarkStart w:id="62"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Cs/>
          <w:i/>
        </w:rPr>
        <w:t xml:space="preserve">Journal of Human Evolution</w:t>
      </w:r>
      <w:r>
        <w:t xml:space="preserve"> </w:t>
      </w:r>
      <w:r>
        <w:t xml:space="preserve">64 (1): 39–55. https://doi.org/</w:t>
      </w:r>
      <w:hyperlink r:id="rId61">
        <w:r>
          <w:rPr>
            <w:rStyle w:val="Hyperlink"/>
          </w:rPr>
          <w:t xml:space="preserve">https://doi.org/10.1016/j.jhevol.2012.10.001</w:t>
        </w:r>
      </w:hyperlink>
      <w:r>
        <w:t xml:space="preserve">.</w:t>
      </w:r>
    </w:p>
    <w:bookmarkEnd w:id="62"/>
    <w:bookmarkStart w:id="64"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Cs/>
          <w:i/>
        </w:rPr>
        <w:t xml:space="preserve">World Archaeology</w:t>
      </w:r>
      <w:r>
        <w:t xml:space="preserve"> </w:t>
      </w:r>
      <w:r>
        <w:t xml:space="preserve">26 (2): 185–207.</w:t>
      </w:r>
      <w:r>
        <w:t xml:space="preserve"> </w:t>
      </w:r>
      <w:hyperlink r:id="rId63">
        <w:r>
          <w:rPr>
            <w:rStyle w:val="Hyperlink"/>
          </w:rPr>
          <w:t xml:space="preserve">http://www.jstor.org/stable/124852</w:t>
        </w:r>
      </w:hyperlink>
      <w:r>
        <w:t xml:space="preserve">.</w:t>
      </w:r>
    </w:p>
    <w:bookmarkEnd w:id="64"/>
    <w:bookmarkStart w:id="65"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Cs/>
          <w:i/>
        </w:rPr>
        <w:t xml:space="preserve">American Antiquity</w:t>
      </w:r>
      <w:r>
        <w:t xml:space="preserve"> </w:t>
      </w:r>
      <w:r>
        <w:t xml:space="preserve">70 (1): 31–54.</w:t>
      </w:r>
    </w:p>
    <w:bookmarkEnd w:id="65"/>
    <w:bookmarkStart w:id="66" w:name="ref-Binford_1990"/>
    <w:p>
      <w:pPr>
        <w:pStyle w:val="Bibliography"/>
      </w:pPr>
      <w:r>
        <w:t xml:space="preserve">Binford, Lewis R. 1990.</w:t>
      </w:r>
      <w:r>
        <w:t xml:space="preserve"> </w:t>
      </w:r>
      <w:r>
        <w:t xml:space="preserve">“Mobility, Housing, and Environment: A Comparative Study.”</w:t>
      </w:r>
      <w:r>
        <w:t xml:space="preserve"> </w:t>
      </w:r>
      <w:r>
        <w:rPr>
          <w:iCs/>
          <w:i/>
        </w:rPr>
        <w:t xml:space="preserve">Journal of Anthropological Research</w:t>
      </w:r>
      <w:r>
        <w:t xml:space="preserve"> </w:t>
      </w:r>
      <w:r>
        <w:t xml:space="preserve">46 (2): 119–52.</w:t>
      </w:r>
    </w:p>
    <w:bookmarkEnd w:id="66"/>
    <w:bookmarkStart w:id="68"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Cs/>
          <w:i/>
        </w:rPr>
        <w:t xml:space="preserve">Journal of Anthropological Archaeology</w:t>
      </w:r>
      <w:r>
        <w:t xml:space="preserve"> </w:t>
      </w:r>
      <w:r>
        <w:t xml:space="preserve">32 (4): 368–82.</w:t>
      </w:r>
      <w:r>
        <w:t xml:space="preserve"> </w:t>
      </w:r>
      <w:hyperlink r:id="rId67">
        <w:r>
          <w:rPr>
            <w:rStyle w:val="Hyperlink"/>
          </w:rPr>
          <w:t xml:space="preserve">https://doi.org/10.1016/j.jaa.2013.05.005</w:t>
        </w:r>
      </w:hyperlink>
      <w:r>
        <w:t xml:space="preserve">.</w:t>
      </w:r>
    </w:p>
    <w:bookmarkEnd w:id="68"/>
    <w:bookmarkStart w:id="70" w:name="ref-Boyd_Silk_2020"/>
    <w:p>
      <w:pPr>
        <w:pStyle w:val="Bibliography"/>
      </w:pPr>
      <w:r>
        <w:t xml:space="preserve">Boyd, R., and J. B. Silk. 2020.</w:t>
      </w:r>
      <w:r>
        <w:t xml:space="preserve"> </w:t>
      </w:r>
      <w:r>
        <w:rPr>
          <w:iCs/>
          <w:i/>
        </w:rPr>
        <w:t xml:space="preserve">How Humans Evolved</w:t>
      </w:r>
      <w:r>
        <w:t xml:space="preserve">. W.W. Norton.</w:t>
      </w:r>
      <w:r>
        <w:t xml:space="preserve"> </w:t>
      </w:r>
      <w:hyperlink r:id="rId69">
        <w:r>
          <w:rPr>
            <w:rStyle w:val="Hyperlink"/>
          </w:rPr>
          <w:t xml:space="preserve">https://books.google.com/books?id=XmrazQEACAAJ</w:t>
        </w:r>
      </w:hyperlink>
      <w:r>
        <w:t xml:space="preserve">.</w:t>
      </w:r>
    </w:p>
    <w:bookmarkEnd w:id="70"/>
    <w:bookmarkStart w:id="72"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Cs/>
          <w:i/>
        </w:rPr>
        <w:t xml:space="preserve">Lethaia</w:t>
      </w:r>
      <w:r>
        <w:t xml:space="preserve"> </w:t>
      </w:r>
      <w:r>
        <w:t xml:space="preserve">21 (1): 79–93.</w:t>
      </w:r>
      <w:r>
        <w:t xml:space="preserve"> </w:t>
      </w:r>
      <w:hyperlink r:id="rId71">
        <w:r>
          <w:rPr>
            <w:rStyle w:val="Hyperlink"/>
          </w:rPr>
          <w:t xml:space="preserve">https://doi.org/10.1111/j.1502-3931.1988.tb01756.x</w:t>
        </w:r>
      </w:hyperlink>
      <w:r>
        <w:t xml:space="preserve">.</w:t>
      </w:r>
    </w:p>
    <w:bookmarkEnd w:id="72"/>
    <w:bookmarkStart w:id="74"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Cs/>
          <w:i/>
        </w:rPr>
        <w:t xml:space="preserve">Encyclopedia of Global Archaeology</w:t>
      </w:r>
      <w:r>
        <w:t xml:space="preserve">, 1–10. Cham: Springer International Publishing.</w:t>
      </w:r>
      <w:r>
        <w:t xml:space="preserve"> </w:t>
      </w:r>
      <w:hyperlink r:id="rId73">
        <w:r>
          <w:rPr>
            <w:rStyle w:val="Hyperlink"/>
          </w:rPr>
          <w:t xml:space="preserve">https://doi.org/10.1007/978-3-319-51726-1_3441-1</w:t>
        </w:r>
      </w:hyperlink>
      <w:r>
        <w:t xml:space="preserve">.</w:t>
      </w:r>
    </w:p>
    <w:bookmarkEnd w:id="74"/>
    <w:bookmarkStart w:id="75" w:name="ref-Conkey_1978"/>
    <w:p>
      <w:pPr>
        <w:pStyle w:val="Bibliography"/>
      </w:pPr>
      <w:r>
        <w:t xml:space="preserve">Conkey, Margaret. 1978.</w:t>
      </w:r>
      <w:r>
        <w:t xml:space="preserve"> </w:t>
      </w:r>
      <w:r>
        <w:t xml:space="preserve">“Style and Information in Cultural Evolution: Toward a Predictive Model for the Paleolithic.”</w:t>
      </w:r>
      <w:r>
        <w:t xml:space="preserve"> </w:t>
      </w:r>
      <w:r>
        <w:t xml:space="preserve">In</w:t>
      </w:r>
      <w:r>
        <w:t xml:space="preserve"> </w:t>
      </w:r>
      <w:r>
        <w:rPr>
          <w:iCs/>
          <w:i/>
        </w:rPr>
        <w:t xml:space="preserve">Social Archaeology: Beyond Subsistence and Dating</w:t>
      </w:r>
      <w:r>
        <w:t xml:space="preserve">, 61–85. Studies in Archaeology. New York: Academic Press.</w:t>
      </w:r>
    </w:p>
    <w:bookmarkEnd w:id="75"/>
    <w:bookmarkStart w:id="77" w:name="ref-Conkey_1985"/>
    <w:p>
      <w:pPr>
        <w:pStyle w:val="Bibliography"/>
      </w:pPr>
      <w:r>
        <w:t xml:space="preserve">———. 1985.</w:t>
      </w:r>
      <w:r>
        <w:t xml:space="preserve"> </w:t>
      </w:r>
      <w:r>
        <w:t xml:space="preserve">“Ritual Communication, Social Elaboration, and the Variable Trajectories of Paleolithic Material Culture.”</w:t>
      </w:r>
      <w:r>
        <w:t xml:space="preserve"> </w:t>
      </w:r>
      <w:r>
        <w:t xml:space="preserve">In</w:t>
      </w:r>
      <w:r>
        <w:t xml:space="preserve"> </w:t>
      </w:r>
      <w:r>
        <w:rPr>
          <w:iCs/>
          <w:i/>
        </w:rPr>
        <w:t xml:space="preserve">Prehistoric Hunters-Gatherers</w:t>
      </w:r>
      <w:r>
        <w:t xml:space="preserve">, edited by T. Douglas Price and James A. Brown, 299–323. Academic Press. https://doi.org/</w:t>
      </w:r>
      <w:hyperlink r:id="rId76">
        <w:r>
          <w:rPr>
            <w:rStyle w:val="Hyperlink"/>
          </w:rPr>
          <w:t xml:space="preserve">https://doi.org/10.1016/B978-0-12-564750-2.50016-0</w:t>
        </w:r>
      </w:hyperlink>
      <w:r>
        <w:t xml:space="preserve">.</w:t>
      </w:r>
    </w:p>
    <w:bookmarkEnd w:id="77"/>
    <w:bookmarkStart w:id="79" w:name="ref-conkley_agg"/>
    <w:p>
      <w:pPr>
        <w:pStyle w:val="Bibliography"/>
      </w:pPr>
      <w:r>
        <w:t xml:space="preserve">Conkey, Margaret,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Cs/>
          <w:i/>
        </w:rPr>
        <w:t xml:space="preserve">Current Anthropology</w:t>
      </w:r>
      <w:r>
        <w:t xml:space="preserve"> </w:t>
      </w:r>
      <w:r>
        <w:t xml:space="preserve">21 (5): 609–30.</w:t>
      </w:r>
      <w:r>
        <w:t xml:space="preserve"> </w:t>
      </w:r>
      <w:hyperlink r:id="rId78">
        <w:r>
          <w:rPr>
            <w:rStyle w:val="Hyperlink"/>
          </w:rPr>
          <w:t xml:space="preserve">http://www.jstor.org/stable/2741828</w:t>
        </w:r>
      </w:hyperlink>
      <w:r>
        <w:t xml:space="preserve">.</w:t>
      </w:r>
    </w:p>
    <w:bookmarkEnd w:id="79"/>
    <w:bookmarkStart w:id="81"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Cs/>
          <w:i/>
        </w:rPr>
        <w:t xml:space="preserve">Journal of The Royal Society Interface</w:t>
      </w:r>
      <w:r>
        <w:t xml:space="preserve"> </w:t>
      </w:r>
      <w:r>
        <w:t xml:space="preserve">14 (130): 20170171.</w:t>
      </w:r>
      <w:r>
        <w:t xml:space="preserve"> </w:t>
      </w:r>
      <w:hyperlink r:id="rId80">
        <w:r>
          <w:rPr>
            <w:rStyle w:val="Hyperlink"/>
          </w:rPr>
          <w:t xml:space="preserve">https://doi.org/10.1098/rsif.2017.0171</w:t>
        </w:r>
      </w:hyperlink>
      <w:r>
        <w:t xml:space="preserve">.</w:t>
      </w:r>
    </w:p>
    <w:bookmarkEnd w:id="81"/>
    <w:bookmarkStart w:id="83"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Cs/>
          <w:i/>
        </w:rPr>
        <w:t xml:space="preserve">Radiocarbon</w:t>
      </w:r>
      <w:r>
        <w:t xml:space="preserve"> </w:t>
      </w:r>
      <w:r>
        <w:t xml:space="preserve">63 (1): 23–39.</w:t>
      </w:r>
      <w:r>
        <w:t xml:space="preserve"> </w:t>
      </w:r>
      <w:hyperlink r:id="rId82">
        <w:r>
          <w:rPr>
            <w:rStyle w:val="Hyperlink"/>
          </w:rPr>
          <w:t xml:space="preserve">https://doi.org/10.1017/RDC.2020.95</w:t>
        </w:r>
      </w:hyperlink>
      <w:r>
        <w:t xml:space="preserve">.</w:t>
      </w:r>
    </w:p>
    <w:bookmarkEnd w:id="83"/>
    <w:bookmarkStart w:id="85" w:name="ref-igraph_package"/>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w:t>
      </w:r>
      <w:r>
        <w:t xml:space="preserve"> </w:t>
      </w:r>
      <w:hyperlink r:id="rId84">
        <w:r>
          <w:rPr>
            <w:rStyle w:val="Hyperlink"/>
          </w:rPr>
          <w:t xml:space="preserve">https://igraph.org</w:t>
        </w:r>
      </w:hyperlink>
      <w:r>
        <w:t xml:space="preserve">.</w:t>
      </w:r>
    </w:p>
    <w:bookmarkEnd w:id="85"/>
    <w:bookmarkStart w:id="87"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Cs/>
          <w:i/>
        </w:rPr>
        <w:t xml:space="preserve">Darwinian Archaeologies</w:t>
      </w:r>
      <w:r>
        <w:t xml:space="preserve">, edited by Herbert Donald Graham Maschner, 43–59. Boston, MA: Springer US.</w:t>
      </w:r>
      <w:r>
        <w:t xml:space="preserve"> </w:t>
      </w:r>
      <w:hyperlink r:id="rId86">
        <w:r>
          <w:rPr>
            <w:rStyle w:val="Hyperlink"/>
          </w:rPr>
          <w:t xml:space="preserve">https://doi.org/10.1007/978-1-4757-9945-3_4</w:t>
        </w:r>
      </w:hyperlink>
      <w:r>
        <w:t xml:space="preserve">.</w:t>
      </w:r>
    </w:p>
    <w:bookmarkEnd w:id="87"/>
    <w:bookmarkStart w:id="89" w:name="ref-Derex_Boyd_2016"/>
    <w:p>
      <w:pPr>
        <w:pStyle w:val="Bibliography"/>
      </w:pPr>
      <w:r>
        <w:t xml:space="preserve">Derex, Maxime, and Robert Boyd. 2016.</w:t>
      </w:r>
      <w:r>
        <w:t xml:space="preserve"> </w:t>
      </w:r>
      <w:r>
        <w:t xml:space="preserve">“Partial Connectivity Increases Cultural Accumulation Within Groups.”</w:t>
      </w:r>
      <w:r>
        <w:t xml:space="preserve"> </w:t>
      </w:r>
      <w:r>
        <w:rPr>
          <w:iCs/>
          <w:i/>
        </w:rPr>
        <w:t xml:space="preserve">Proceedings of the National Academy of Sciences</w:t>
      </w:r>
      <w:r>
        <w:t xml:space="preserve"> </w:t>
      </w:r>
      <w:r>
        <w:t xml:space="preserve">113 (11): 2982–87.</w:t>
      </w:r>
      <w:r>
        <w:t xml:space="preserve"> </w:t>
      </w:r>
      <w:hyperlink r:id="rId88">
        <w:r>
          <w:rPr>
            <w:rStyle w:val="Hyperlink"/>
          </w:rPr>
          <w:t xml:space="preserve">https://doi.org/10.1073/pnas.1518798113</w:t>
        </w:r>
      </w:hyperlink>
      <w:r>
        <w:t xml:space="preserve">.</w:t>
      </w:r>
    </w:p>
    <w:bookmarkEnd w:id="89"/>
    <w:bookmarkStart w:id="91"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Cs/>
          <w:i/>
        </w:rPr>
        <w:t xml:space="preserve">Scientific Data</w:t>
      </w:r>
      <w:r>
        <w:t xml:space="preserve"> </w:t>
      </w:r>
      <w:r>
        <w:t xml:space="preserve">7 (1): 364.</w:t>
      </w:r>
      <w:r>
        <w:t xml:space="preserve"> </w:t>
      </w:r>
      <w:hyperlink r:id="rId90">
        <w:r>
          <w:rPr>
            <w:rStyle w:val="Hyperlink"/>
          </w:rPr>
          <w:t xml:space="preserve">https://doi.org/10.1038/s41597-020-00704-x</w:t>
        </w:r>
      </w:hyperlink>
      <w:r>
        <w:t xml:space="preserve">.</w:t>
      </w:r>
    </w:p>
    <w:bookmarkEnd w:id="91"/>
    <w:bookmarkStart w:id="93"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Cs/>
          <w:i/>
        </w:rPr>
        <w:t xml:space="preserve">The Diversity of Hunter Gatherer Pasts</w:t>
      </w:r>
      <w:r>
        <w:t xml:space="preserve">, edited by Bill Finlayson and Graeme Warren, 1st ed., 1–14. Oxbow Books.</w:t>
      </w:r>
      <w:r>
        <w:t xml:space="preserve"> </w:t>
      </w:r>
      <w:hyperlink r:id="rId92">
        <w:r>
          <w:rPr>
            <w:rStyle w:val="Hyperlink"/>
          </w:rPr>
          <w:t xml:space="preserve">http://www.jstor.org.offcampus.lib.washington.edu/stable/j.ctt1pk86rr.5</w:t>
        </w:r>
      </w:hyperlink>
      <w:r>
        <w:t xml:space="preserve">.</w:t>
      </w:r>
    </w:p>
    <w:bookmarkEnd w:id="93"/>
    <w:bookmarkStart w:id="94" w:name="ref-Fitzhugh_Phillips_Gjesfeld_2011"/>
    <w:p>
      <w:pPr>
        <w:pStyle w:val="Bibliography"/>
      </w:pPr>
      <w:r>
        <w:t xml:space="preserve">Fitzhugh, Ben, S. Colby Phillips, and Erik Gjesfeld. 2011.</w:t>
      </w:r>
      <w:r>
        <w:t xml:space="preserve"> </w:t>
      </w:r>
      <w:r>
        <w:t xml:space="preserve">“Modeling Hunter-Gatherer Information Networks: An Archaeological Case Study from the Kuril Islands.”</w:t>
      </w:r>
      <w:r>
        <w:t xml:space="preserve"> </w:t>
      </w:r>
      <w:r>
        <w:t xml:space="preserve">In</w:t>
      </w:r>
      <w:r>
        <w:t xml:space="preserve"> </w:t>
      </w:r>
      <w:r>
        <w:rPr>
          <w:iCs/>
          <w:i/>
        </w:rPr>
        <w:t xml:space="preserve">Information and Its Role in Hunter-Gatherer Bands</w:t>
      </w:r>
      <w:r>
        <w:t xml:space="preserve">, 89–115. Cotsen Institute of Archaeology Press at UCLA.</w:t>
      </w:r>
    </w:p>
    <w:bookmarkEnd w:id="94"/>
    <w:bookmarkStart w:id="96"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Cs/>
          <w:i/>
        </w:rPr>
        <w:t xml:space="preserve">Quaternary Science Reviews</w:t>
      </w:r>
      <w:r>
        <w:t xml:space="preserve">, Vegetation response to millennial-scale variability during the last glacial, 29 (21): 2839–64.</w:t>
      </w:r>
      <w:r>
        <w:t xml:space="preserve"> </w:t>
      </w:r>
      <w:hyperlink r:id="rId95">
        <w:r>
          <w:rPr>
            <w:rStyle w:val="Hyperlink"/>
          </w:rPr>
          <w:t xml:space="preserve">https://doi.org/10.1016/j.quascirev.2009.11.015</w:t>
        </w:r>
      </w:hyperlink>
      <w:r>
        <w:t xml:space="preserve">.</w:t>
      </w:r>
    </w:p>
    <w:bookmarkEnd w:id="96"/>
    <w:bookmarkStart w:id="98" w:name="ref-Foley_Gamble_2009"/>
    <w:p>
      <w:pPr>
        <w:pStyle w:val="Bibliography"/>
      </w:pPr>
      <w:r>
        <w:t xml:space="preserve">Foley, Robert, and Clive Gamble. 2009.</w:t>
      </w:r>
      <w:r>
        <w:t xml:space="preserve"> </w:t>
      </w:r>
      <w:r>
        <w:t xml:space="preserve">“The Ecology of Social Transitions in Human Evolution.”</w:t>
      </w:r>
      <w:r>
        <w:t xml:space="preserve"> </w:t>
      </w:r>
      <w:r>
        <w:rPr>
          <w:iCs/>
          <w:i/>
        </w:rPr>
        <w:t xml:space="preserve">Philosophical Transactions of the Royal Society B: Biological Sciences</w:t>
      </w:r>
      <w:r>
        <w:t xml:space="preserve"> </w:t>
      </w:r>
      <w:r>
        <w:t xml:space="preserve">364 (1533): 3267–79.</w:t>
      </w:r>
      <w:r>
        <w:t xml:space="preserve"> </w:t>
      </w:r>
      <w:hyperlink r:id="rId97">
        <w:r>
          <w:rPr>
            <w:rStyle w:val="Hyperlink"/>
          </w:rPr>
          <w:t xml:space="preserve">https://doi.org/10.1098/rstb.2009.0136</w:t>
        </w:r>
      </w:hyperlink>
      <w:r>
        <w:t xml:space="preserve">.</w:t>
      </w:r>
    </w:p>
    <w:bookmarkEnd w:id="98"/>
    <w:bookmarkStart w:id="100" w:name="ref-Frerebeau_2025"/>
    <w:p>
      <w:pPr>
        <w:pStyle w:val="Bibliography"/>
      </w:pPr>
      <w:r>
        <w:t xml:space="preserve">Frerebeau, Nicolas. 2025.</w:t>
      </w:r>
      <w:r>
        <w:t xml:space="preserve"> </w:t>
      </w:r>
      <w:r>
        <w:t xml:space="preserve">“Tabula: Analysis and Visualization of Archaeological Count Data.”</w:t>
      </w:r>
      <w:r>
        <w:t xml:space="preserve"> </w:t>
      </w:r>
      <w:r>
        <w:t xml:space="preserve">Zenodo.</w:t>
      </w:r>
      <w:r>
        <w:t xml:space="preserve"> </w:t>
      </w:r>
      <w:hyperlink r:id="rId99">
        <w:r>
          <w:rPr>
            <w:rStyle w:val="Hyperlink"/>
          </w:rPr>
          <w:t xml:space="preserve">https://doi.org/10.5281/zenodo.15397990</w:t>
        </w:r>
      </w:hyperlink>
      <w:r>
        <w:t xml:space="preserve">.</w:t>
      </w:r>
    </w:p>
    <w:bookmarkEnd w:id="100"/>
    <w:bookmarkStart w:id="102"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Cs/>
          <w:i/>
        </w:rPr>
        <w:t xml:space="preserve">Software: Practice and Experience</w:t>
      </w:r>
      <w:r>
        <w:t xml:space="preserve"> </w:t>
      </w:r>
      <w:r>
        <w:t xml:space="preserve">21 (11): 1129–64.</w:t>
      </w:r>
      <w:r>
        <w:t xml:space="preserve"> </w:t>
      </w:r>
      <w:hyperlink r:id="rId101">
        <w:r>
          <w:rPr>
            <w:rStyle w:val="Hyperlink"/>
          </w:rPr>
          <w:t xml:space="preserve">https://doi.org/10.1002/spe.4380211102</w:t>
        </w:r>
      </w:hyperlink>
      <w:r>
        <w:t xml:space="preserve">.</w:t>
      </w:r>
    </w:p>
    <w:bookmarkEnd w:id="102"/>
    <w:bookmarkStart w:id="104" w:name="ref-Fuentes_Lucas_Robert_2019"/>
    <w:p>
      <w:pPr>
        <w:pStyle w:val="Bibliography"/>
      </w:pPr>
      <w:r>
        <w:t xml:space="preserve">Fuentes, Oscar, Claire Lucas, and Eric Robert. 2019.</w:t>
      </w:r>
      <w:r>
        <w:t xml:space="preserve"> </w:t>
      </w:r>
      <w:r>
        <w:t xml:space="preserve">“An Approach to Palaeolithic Networks: The Question of Symbolic Territories and Their Interpretation Through Magdalenian Art.”</w:t>
      </w:r>
      <w:r>
        <w:t xml:space="preserve"> </w:t>
      </w:r>
      <w:r>
        <w:rPr>
          <w:iCs/>
          <w:i/>
        </w:rPr>
        <w:t xml:space="preserve">Quaternary International</w:t>
      </w:r>
      <w:r>
        <w:t xml:space="preserve">, Symbolic territories prehistory, 503 (February): 233–47.</w:t>
      </w:r>
      <w:r>
        <w:t xml:space="preserve"> </w:t>
      </w:r>
      <w:hyperlink r:id="rId103">
        <w:r>
          <w:rPr>
            <w:rStyle w:val="Hyperlink"/>
          </w:rPr>
          <w:t xml:space="preserve">https://doi.org/10.1016/j.quaint.2017.12.017</w:t>
        </w:r>
      </w:hyperlink>
      <w:r>
        <w:t xml:space="preserve">.</w:t>
      </w:r>
    </w:p>
    <w:bookmarkEnd w:id="104"/>
    <w:bookmarkStart w:id="106" w:name="ref-Gamble_1982"/>
    <w:p>
      <w:pPr>
        <w:pStyle w:val="Bibliography"/>
      </w:pPr>
      <w:r>
        <w:t xml:space="preserve">Gamble, Clive. 1982.</w:t>
      </w:r>
      <w:r>
        <w:t xml:space="preserve"> </w:t>
      </w:r>
      <w:r>
        <w:t xml:space="preserve">“Interaction and Alliance in Palaeolithic Society.”</w:t>
      </w:r>
      <w:r>
        <w:t xml:space="preserve"> </w:t>
      </w:r>
      <w:r>
        <w:rPr>
          <w:iCs/>
          <w:i/>
        </w:rPr>
        <w:t xml:space="preserve">Man</w:t>
      </w:r>
      <w:r>
        <w:t xml:space="preserve"> </w:t>
      </w:r>
      <w:r>
        <w:t xml:space="preserve">17 (1): 92–107.</w:t>
      </w:r>
      <w:r>
        <w:t xml:space="preserve"> </w:t>
      </w:r>
      <w:hyperlink r:id="rId105">
        <w:r>
          <w:rPr>
            <w:rStyle w:val="Hyperlink"/>
          </w:rPr>
          <w:t xml:space="preserve">https://doi.org/10.2307/2802103</w:t>
        </w:r>
      </w:hyperlink>
      <w:r>
        <w:t xml:space="preserve">.</w:t>
      </w:r>
    </w:p>
    <w:bookmarkEnd w:id="106"/>
    <w:bookmarkStart w:id="108"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Cs/>
          <w:i/>
        </w:rPr>
        <w:t xml:space="preserve">Journal of Archaeological Science: Reports</w:t>
      </w:r>
      <w:r>
        <w:t xml:space="preserve"> </w:t>
      </w:r>
      <w:r>
        <w:t xml:space="preserve">39: 103118. https://doi.org/</w:t>
      </w:r>
      <w:hyperlink r:id="rId107">
        <w:r>
          <w:rPr>
            <w:rStyle w:val="Hyperlink"/>
          </w:rPr>
          <w:t xml:space="preserve">https://doi.org/10.1016/j.jasrep.2021.103118</w:t>
        </w:r>
      </w:hyperlink>
      <w:r>
        <w:t xml:space="preserve">.</w:t>
      </w:r>
    </w:p>
    <w:bookmarkEnd w:id="108"/>
    <w:bookmarkStart w:id="110"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Cs/>
          <w:i/>
        </w:rPr>
        <w:t xml:space="preserve">The Oxford Handbook of Archaeological Network Research</w:t>
      </w:r>
      <w:r>
        <w:t xml:space="preserve">. Oxford University Press.</w:t>
      </w:r>
      <w:r>
        <w:t xml:space="preserve"> </w:t>
      </w:r>
      <w:hyperlink r:id="rId109">
        <w:r>
          <w:rPr>
            <w:rStyle w:val="Hyperlink"/>
          </w:rPr>
          <w:t xml:space="preserve">https://doi.org/10.1093/oxfordhb/9780198854265.013.31</w:t>
        </w:r>
      </w:hyperlink>
      <w:r>
        <w:t xml:space="preserve">.</w:t>
      </w:r>
    </w:p>
    <w:bookmarkEnd w:id="110"/>
    <w:bookmarkStart w:id="112"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Cs/>
          <w:i/>
        </w:rPr>
        <w:t xml:space="preserve">Quaternary Science Reviews</w:t>
      </w:r>
      <w:r>
        <w:t xml:space="preserve"> </w:t>
      </w:r>
      <w:r>
        <w:t xml:space="preserve">217: 316–29. https://doi.org/</w:t>
      </w:r>
      <w:hyperlink r:id="rId111">
        <w:r>
          <w:rPr>
            <w:rStyle w:val="Hyperlink"/>
          </w:rPr>
          <w:t xml:space="preserve">https://doi.org/10.1016/j.quascirev.2018.12.011</w:t>
        </w:r>
      </w:hyperlink>
      <w:r>
        <w:t xml:space="preserve">.</w:t>
      </w:r>
    </w:p>
    <w:bookmarkEnd w:id="112"/>
    <w:bookmarkStart w:id="114"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13">
        <w:r>
          <w:rPr>
            <w:rStyle w:val="Hyperlink"/>
          </w:rPr>
          <w:t xml:space="preserve">https://doi.org/10.18637/jss.v025.i03</w:t>
        </w:r>
      </w:hyperlink>
      <w:r>
        <w:t xml:space="preserve">.</w:t>
      </w:r>
    </w:p>
    <w:bookmarkEnd w:id="114"/>
    <w:bookmarkStart w:id="115" w:name="ref-seriation_pckge"/>
    <w:p>
      <w:pPr>
        <w:pStyle w:val="Bibliography"/>
      </w:pPr>
      <w:r>
        <w:t xml:space="preserve">———. 2008b.</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13">
        <w:r>
          <w:rPr>
            <w:rStyle w:val="Hyperlink"/>
          </w:rPr>
          <w:t xml:space="preserve">https://doi.org/10.18637/jss.v025.i03</w:t>
        </w:r>
      </w:hyperlink>
      <w:r>
        <w:t xml:space="preserve">.</w:t>
      </w:r>
    </w:p>
    <w:bookmarkEnd w:id="115"/>
    <w:bookmarkStart w:id="116"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Cs/>
          <w:i/>
        </w:rPr>
        <w:t xml:space="preserve">Archaeological Theory: Who Sets the Agenda</w:t>
      </w:r>
      <w:r>
        <w:t xml:space="preserve">, 81–92.</w:t>
      </w:r>
    </w:p>
    <w:bookmarkEnd w:id="116"/>
    <w:bookmarkStart w:id="118" w:name="ref-Hill_Wood_Baggio_Hurtado_Boyd_2014"/>
    <w:p>
      <w:pPr>
        <w:pStyle w:val="Bibliography"/>
      </w:pPr>
      <w:r>
        <w:t xml:space="preserve">Hill, Kim R., Brian M. Wood, Jacopo Baggio, A. Magdalena Hurtado, and Robert T. Boyd. 2014.</w:t>
      </w:r>
      <w:r>
        <w:t xml:space="preserve"> </w:t>
      </w:r>
      <w:r>
        <w:t xml:space="preserve">“Hunter-Gatherer Inter-Band Interaction Rates: Implications for Cumulative Culture.”</w:t>
      </w:r>
      <w:r>
        <w:t xml:space="preserve"> </w:t>
      </w:r>
      <w:r>
        <w:rPr>
          <w:iCs/>
          <w:i/>
        </w:rPr>
        <w:t xml:space="preserve">PLOS ONE</w:t>
      </w:r>
      <w:r>
        <w:t xml:space="preserve"> </w:t>
      </w:r>
      <w:r>
        <w:t xml:space="preserve">9 (7): 1–9.</w:t>
      </w:r>
      <w:r>
        <w:t xml:space="preserve"> </w:t>
      </w:r>
      <w:hyperlink r:id="rId117">
        <w:r>
          <w:rPr>
            <w:rStyle w:val="Hyperlink"/>
          </w:rPr>
          <w:t xml:space="preserve">https://doi.org/10.1371/journal.pone.0102806</w:t>
        </w:r>
      </w:hyperlink>
      <w:r>
        <w:t xml:space="preserve">.</w:t>
      </w:r>
    </w:p>
    <w:bookmarkEnd w:id="118"/>
    <w:bookmarkStart w:id="120" w:name="ref-Hitchcock_Ebert_2011"/>
    <w:p>
      <w:pPr>
        <w:pStyle w:val="Bibliography"/>
      </w:pPr>
      <w:r>
        <w:t xml:space="preserve">Hitchcock, Robert K., and James I. Ebert. 2011.</w:t>
      </w:r>
      <w:r>
        <w:t xml:space="preserve"> </w:t>
      </w:r>
      <w:r>
        <w:t xml:space="preserve">“Where Is That Job? Hunter-Gatherer Information Systems in Complex Social Environments in the Eastern Kalahari Desert, Botswana.”</w:t>
      </w:r>
      <w:r>
        <w:t xml:space="preserve"> </w:t>
      </w:r>
      <w:r>
        <w:t xml:space="preserve">In</w:t>
      </w:r>
      <w:r>
        <w:t xml:space="preserve"> </w:t>
      </w:r>
      <w:r>
        <w:rPr>
          <w:iCs/>
          <w:i/>
        </w:rPr>
        <w:t xml:space="preserve">Information and Its Role in Hunter-Gatherer Bands</w:t>
      </w:r>
      <w:r>
        <w:t xml:space="preserve">, edited by ROBERT WHALLON, WILLIAM A. LOVIS, and ROBERT K. HITCHCOCK, 133–66. Cotsen Institute of Archaeology Press at UCLA.</w:t>
      </w:r>
      <w:r>
        <w:t xml:space="preserve"> </w:t>
      </w:r>
      <w:hyperlink r:id="rId119">
        <w:r>
          <w:rPr>
            <w:rStyle w:val="Hyperlink"/>
          </w:rPr>
          <w:t xml:space="preserve">https://doi.org/10.2307/j.ctvdmwwz4.10</w:t>
        </w:r>
      </w:hyperlink>
      <w:r>
        <w:t xml:space="preserve">.</w:t>
      </w:r>
    </w:p>
    <w:bookmarkEnd w:id="120"/>
    <w:bookmarkStart w:id="122" w:name="ref-Hodder1977"/>
    <w:p>
      <w:pPr>
        <w:pStyle w:val="Bibliography"/>
      </w:pPr>
      <w:r>
        <w:t xml:space="preserve">Hodder, Ian. 1977.</w:t>
      </w:r>
      <w:r>
        <w:t xml:space="preserve"> </w:t>
      </w:r>
      <w:r>
        <w:t xml:space="preserve">“The Distribution of Material Culture Items in the Baringo District, Western Kenya.”</w:t>
      </w:r>
      <w:r>
        <w:t xml:space="preserve"> </w:t>
      </w:r>
      <w:r>
        <w:rPr>
          <w:iCs/>
          <w:i/>
        </w:rPr>
        <w:t xml:space="preserve">Man</w:t>
      </w:r>
      <w:r>
        <w:t xml:space="preserve"> </w:t>
      </w:r>
      <w:r>
        <w:t xml:space="preserve">12 (2): 239–69.</w:t>
      </w:r>
      <w:r>
        <w:t xml:space="preserve"> </w:t>
      </w:r>
      <w:hyperlink r:id="rId121">
        <w:r>
          <w:rPr>
            <w:rStyle w:val="Hyperlink"/>
          </w:rPr>
          <w:t xml:space="preserve">http://www.jstor.org/stable/2800797</w:t>
        </w:r>
      </w:hyperlink>
      <w:r>
        <w:t xml:space="preserve">.</w:t>
      </w:r>
    </w:p>
    <w:bookmarkEnd w:id="122"/>
    <w:bookmarkStart w:id="124" w:name="ref-Hodder1979"/>
    <w:p>
      <w:pPr>
        <w:pStyle w:val="Bibliography"/>
      </w:pPr>
      <w:r>
        <w:t xml:space="preserve">———. 1979.</w:t>
      </w:r>
      <w:r>
        <w:t xml:space="preserve"> </w:t>
      </w:r>
      <w:r>
        <w:t xml:space="preserve">“Economic and Social Stress and Material Culture Patterning.”</w:t>
      </w:r>
      <w:r>
        <w:t xml:space="preserve"> </w:t>
      </w:r>
      <w:r>
        <w:rPr>
          <w:iCs/>
          <w:i/>
        </w:rPr>
        <w:t xml:space="preserve">American Antiquity</w:t>
      </w:r>
      <w:r>
        <w:t xml:space="preserve"> </w:t>
      </w:r>
      <w:r>
        <w:t xml:space="preserve">44 (3): 446–54.</w:t>
      </w:r>
      <w:r>
        <w:t xml:space="preserve"> </w:t>
      </w:r>
      <w:hyperlink r:id="rId123">
        <w:r>
          <w:rPr>
            <w:rStyle w:val="Hyperlink"/>
          </w:rPr>
          <w:t xml:space="preserve">http://www.jstor.org/stable/279544</w:t>
        </w:r>
      </w:hyperlink>
      <w:r>
        <w:t xml:space="preserve">.</w:t>
      </w:r>
    </w:p>
    <w:bookmarkEnd w:id="124"/>
    <w:bookmarkStart w:id="126"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Cs/>
          <w:i/>
        </w:rPr>
        <w:t xml:space="preserve">Learning Among Neanderthals and Palaeolithic Modern Humans: Archaeological Evidence</w:t>
      </w:r>
      <w:r>
        <w:t xml:space="preserve">, edited by Yoshihiro Nishiaki and Olaf Jöris, 179–91. Springer Nature Singapore.</w:t>
      </w:r>
      <w:r>
        <w:t xml:space="preserve"> </w:t>
      </w:r>
      <w:hyperlink r:id="rId125">
        <w:r>
          <w:rPr>
            <w:rStyle w:val="Hyperlink"/>
          </w:rPr>
          <w:t xml:space="preserve">https://doi.org/10.1007/978-981-13-8980-1_12</w:t>
        </w:r>
      </w:hyperlink>
      <w:r>
        <w:t xml:space="preserve">.</w:t>
      </w:r>
    </w:p>
    <w:bookmarkEnd w:id="126"/>
    <w:bookmarkStart w:id="128" w:name="ref-Iizuka_Ferguson_Izuho_2022"/>
    <w:p>
      <w:pPr>
        <w:pStyle w:val="Bibliography"/>
      </w:pPr>
      <w:r>
        <w:t xml:space="preserve">Iizuka, Fumie, Jeffrey R. Ferguson, and Masami Izuho. 2022.</w:t>
      </w:r>
      <w:r>
        <w:t xml:space="preserve"> </w:t>
      </w:r>
      <w:r>
        <w:t xml:space="preserve">“Late Pleistocene Pottery Production and Exchange: Provenance Studies of Hunter-Gatherer Wares from Southern Kyushu, Japan by Neutron Activation Analysis.”</w:t>
      </w:r>
      <w:r>
        <w:t xml:space="preserve"> </w:t>
      </w:r>
      <w:r>
        <w:rPr>
          <w:iCs/>
          <w:i/>
        </w:rPr>
        <w:t xml:space="preserve">PLOS ONE</w:t>
      </w:r>
      <w:r>
        <w:t xml:space="preserve"> </w:t>
      </w:r>
      <w:r>
        <w:t xml:space="preserve">17 (3): e0265329.</w:t>
      </w:r>
      <w:r>
        <w:t xml:space="preserve"> </w:t>
      </w:r>
      <w:hyperlink r:id="rId127">
        <w:r>
          <w:rPr>
            <w:rStyle w:val="Hyperlink"/>
          </w:rPr>
          <w:t xml:space="preserve">https://doi.org/10.1371/journal.pone.0265329</w:t>
        </w:r>
      </w:hyperlink>
      <w:r>
        <w:t xml:space="preserve">.</w:t>
      </w:r>
    </w:p>
    <w:bookmarkEnd w:id="128"/>
    <w:bookmarkStart w:id="130" w:name="ref-Johnson_2014"/>
    <w:p>
      <w:pPr>
        <w:pStyle w:val="Bibliography"/>
      </w:pPr>
      <w:r>
        <w:t xml:space="preserve">Johnson, Amber L. 2014.</w:t>
      </w:r>
      <w:r>
        <w:t xml:space="preserve"> </w:t>
      </w:r>
      <w:r>
        <w:t xml:space="preserve">“Exploring Adaptive Variation Among Hunter-Gatherers with Binford’s Frames of Reference.”</w:t>
      </w:r>
      <w:r>
        <w:t xml:space="preserve"> </w:t>
      </w:r>
      <w:r>
        <w:rPr>
          <w:iCs/>
          <w:i/>
        </w:rPr>
        <w:t xml:space="preserve">Journal of Archaeological Research</w:t>
      </w:r>
      <w:r>
        <w:t xml:space="preserve"> </w:t>
      </w:r>
      <w:r>
        <w:t xml:space="preserve">22 (1): 1–42.</w:t>
      </w:r>
      <w:r>
        <w:t xml:space="preserve"> </w:t>
      </w:r>
      <w:hyperlink r:id="rId129">
        <w:r>
          <w:rPr>
            <w:rStyle w:val="Hyperlink"/>
          </w:rPr>
          <w:t xml:space="preserve">https://doi.org/10.1007/s10814-013-9068-y</w:t>
        </w:r>
      </w:hyperlink>
      <w:r>
        <w:t xml:space="preserve">.</w:t>
      </w:r>
    </w:p>
    <w:bookmarkEnd w:id="130"/>
    <w:bookmarkStart w:id="132" w:name="ref-Kelly_2024"/>
    <w:p>
      <w:pPr>
        <w:pStyle w:val="Bibliography"/>
      </w:pPr>
      <w:r>
        <w:t xml:space="preserve">Kelly, Piers. 2024.</w:t>
      </w:r>
      <w:r>
        <w:t xml:space="preserve"> </w:t>
      </w:r>
      <w:r>
        <w:t xml:space="preserve">“Comparing Australian Message Sticks and Sequentially Marked Objects of the Upper Palaeolithic: Problems and Opportunities.”</w:t>
      </w:r>
      <w:r>
        <w:t xml:space="preserve"> </w:t>
      </w:r>
      <w:r>
        <w:rPr>
          <w:iCs/>
          <w:i/>
        </w:rPr>
        <w:t xml:space="preserve">Topics in Cognitive Science</w:t>
      </w:r>
      <w:r>
        <w:t xml:space="preserve">, November.</w:t>
      </w:r>
      <w:r>
        <w:t xml:space="preserve"> </w:t>
      </w:r>
      <w:hyperlink r:id="rId131">
        <w:r>
          <w:rPr>
            <w:rStyle w:val="Hyperlink"/>
          </w:rPr>
          <w:t xml:space="preserve">https://doi.org/10.1111/tops.12762</w:t>
        </w:r>
      </w:hyperlink>
      <w:r>
        <w:t xml:space="preserve">.</w:t>
      </w:r>
    </w:p>
    <w:bookmarkEnd w:id="132"/>
    <w:bookmarkStart w:id="133" w:name="ref-Kelly_1983"/>
    <w:p>
      <w:pPr>
        <w:pStyle w:val="Bibliography"/>
      </w:pPr>
      <w:r>
        <w:t xml:space="preserve">Kelly, Robert L. 1983.</w:t>
      </w:r>
      <w:r>
        <w:t xml:space="preserve"> </w:t>
      </w:r>
      <w:r>
        <w:t xml:space="preserve">“Hunter-Gatherer Mobility Strategies.”</w:t>
      </w:r>
      <w:r>
        <w:t xml:space="preserve"> </w:t>
      </w:r>
      <w:r>
        <w:rPr>
          <w:iCs/>
          <w:i/>
        </w:rPr>
        <w:t xml:space="preserve">Journal of Anthropological Research</w:t>
      </w:r>
      <w:r>
        <w:t xml:space="preserve"> </w:t>
      </w:r>
      <w:r>
        <w:t xml:space="preserve">39 (3): 277–306.</w:t>
      </w:r>
    </w:p>
    <w:bookmarkEnd w:id="133"/>
    <w:bookmarkStart w:id="135" w:name="ref-Kinahan_2013"/>
    <w:p>
      <w:pPr>
        <w:pStyle w:val="Bibliography"/>
      </w:pPr>
      <w:r>
        <w:t xml:space="preserve">Kinahan, John. 2013.</w:t>
      </w:r>
      <w:r>
        <w:t xml:space="preserve"> </w:t>
      </w:r>
      <w:r>
        <w:t xml:space="preserve">“The Acquisition of Ceramics by Hunter-Gatherers on the Middle Zambezi in the First and Second Millennium AD.”</w:t>
      </w:r>
      <w:r>
        <w:t xml:space="preserve"> </w:t>
      </w:r>
      <w:r>
        <w:rPr>
          <w:iCs/>
          <w:i/>
        </w:rPr>
        <w:t xml:space="preserve">Journal of African Archaeology</w:t>
      </w:r>
      <w:r>
        <w:t xml:space="preserve"> </w:t>
      </w:r>
      <w:r>
        <w:t xml:space="preserve">11 (2): 197–209.</w:t>
      </w:r>
      <w:r>
        <w:t xml:space="preserve"> </w:t>
      </w:r>
      <w:hyperlink r:id="rId134">
        <w:r>
          <w:rPr>
            <w:rStyle w:val="Hyperlink"/>
          </w:rPr>
          <w:t xml:space="preserve">https://doi.org/10.3213/2191-5784-10243</w:t>
        </w:r>
      </w:hyperlink>
      <w:r>
        <w:t xml:space="preserve">.</w:t>
      </w:r>
    </w:p>
    <w:bookmarkEnd w:id="135"/>
    <w:bookmarkStart w:id="137" w:name="ref-Kintigh_1984"/>
    <w:p>
      <w:pPr>
        <w:pStyle w:val="Bibliography"/>
      </w:pPr>
      <w:r>
        <w:t xml:space="preserve">Kintigh, Keith W. 1984.</w:t>
      </w:r>
      <w:r>
        <w:t xml:space="preserve"> </w:t>
      </w:r>
      <w:r>
        <w:t xml:space="preserve">“Measuring Archaeological Diversity by Comparison with Simulated Assemblages.”</w:t>
      </w:r>
      <w:r>
        <w:t xml:space="preserve"> </w:t>
      </w:r>
      <w:r>
        <w:rPr>
          <w:iCs/>
          <w:i/>
        </w:rPr>
        <w:t xml:space="preserve">American Antiquity</w:t>
      </w:r>
      <w:r>
        <w:t xml:space="preserve"> </w:t>
      </w:r>
      <w:r>
        <w:t xml:space="preserve">49 (1): 44–54.</w:t>
      </w:r>
      <w:r>
        <w:t xml:space="preserve"> </w:t>
      </w:r>
      <w:hyperlink r:id="rId136">
        <w:r>
          <w:rPr>
            <w:rStyle w:val="Hyperlink"/>
          </w:rPr>
          <w:t xml:space="preserve">https://doi.org/10.2307/280511</w:t>
        </w:r>
      </w:hyperlink>
      <w:r>
        <w:t xml:space="preserve">.</w:t>
      </w:r>
    </w:p>
    <w:bookmarkEnd w:id="137"/>
    <w:bookmarkStart w:id="139"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Cs/>
          <w:i/>
        </w:rPr>
        <w:t xml:space="preserve">Diogenes</w:t>
      </w:r>
      <w:r>
        <w:t xml:space="preserve"> </w:t>
      </w:r>
      <w:r>
        <w:t xml:space="preserve">54 (2): 40–48.</w:t>
      </w:r>
      <w:r>
        <w:t xml:space="preserve"> </w:t>
      </w:r>
      <w:hyperlink r:id="rId138">
        <w:r>
          <w:rPr>
            <w:rStyle w:val="Hyperlink"/>
          </w:rPr>
          <w:t xml:space="preserve">https://doi.org/10.1177/0392192107076870</w:t>
        </w:r>
      </w:hyperlink>
      <w:r>
        <w:t xml:space="preserve">.</w:t>
      </w:r>
    </w:p>
    <w:bookmarkEnd w:id="139"/>
    <w:bookmarkStart w:id="141"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Cs/>
          <w:i/>
        </w:rPr>
        <w:t xml:space="preserve">The Diversity of Hunter Gatherer Pasts</w:t>
      </w:r>
      <w:r>
        <w:t xml:space="preserve">, edited by Bill Finlayson and Graeme Warren, 1st ed., 185–96. Oxbow Books.</w:t>
      </w:r>
      <w:r>
        <w:t xml:space="preserve"> </w:t>
      </w:r>
      <w:hyperlink r:id="rId140">
        <w:r>
          <w:rPr>
            <w:rStyle w:val="Hyperlink"/>
          </w:rPr>
          <w:t xml:space="preserve">http://www.jstor.org.offcampus.lib.washington.edu/stable/j.ctt1pk86rr.16</w:t>
        </w:r>
      </w:hyperlink>
      <w:r>
        <w:t xml:space="preserve">.</w:t>
      </w:r>
    </w:p>
    <w:bookmarkEnd w:id="141"/>
    <w:bookmarkStart w:id="142" w:name="ref-Larsson_2006"/>
    <w:p>
      <w:pPr>
        <w:pStyle w:val="Bibliography"/>
      </w:pPr>
      <w:r>
        <w:t xml:space="preserve">Larsson, Lars. 2006.</w:t>
      </w:r>
      <w:r>
        <w:t xml:space="preserve"> </w:t>
      </w:r>
      <w:r>
        <w:t xml:space="preserve">“A Tooth for a Tooth: Tooth Ornaments from the Graves at the Cemeteries of Zvejnieki.”</w:t>
      </w:r>
      <w:r>
        <w:t xml:space="preserve"> </w:t>
      </w:r>
      <w:r>
        <w:t xml:space="preserve">In</w:t>
      </w:r>
      <w:r>
        <w:t xml:space="preserve"> </w:t>
      </w:r>
      <w:r>
        <w:rPr>
          <w:iCs/>
          <w:i/>
        </w:rPr>
        <w:t xml:space="preserve">Back to the Origin: New Research in the Mesolithic-Neolithic Zvejnieki Cemetery and Environment, Northern Latvia</w:t>
      </w:r>
      <w:r>
        <w:t xml:space="preserve">, 52:253–87. Acta Archaeologica Lundensia: Series in 8o. Almqvist &amp; Wiksell International.</w:t>
      </w:r>
    </w:p>
    <w:bookmarkEnd w:id="142"/>
    <w:bookmarkStart w:id="144"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Cs/>
          <w:i/>
        </w:rPr>
        <w:t xml:space="preserve">Prehistoric Hunters-Gatherers</w:t>
      </w:r>
      <w:r>
        <w:t xml:space="preserve">, edited by T. Douglas Price and James A. Brown, 385–423. Academic Press. https://doi.org/</w:t>
      </w:r>
      <w:hyperlink r:id="rId143">
        <w:r>
          <w:rPr>
            <w:rStyle w:val="Hyperlink"/>
          </w:rPr>
          <w:t xml:space="preserve">https://doi.org/10.1016/B978-0-12-564750-2.50020-2</w:t>
        </w:r>
      </w:hyperlink>
      <w:r>
        <w:t xml:space="preserve">.</w:t>
      </w:r>
    </w:p>
    <w:bookmarkEnd w:id="144"/>
    <w:bookmarkStart w:id="146" w:name="ref-Lovis_Donahue_2011"/>
    <w:p>
      <w:pPr>
        <w:pStyle w:val="Bibliography"/>
      </w:pPr>
      <w:r>
        <w:t xml:space="preserve">Lovis, William A., and Randolph E. Donahue. 2011.</w:t>
      </w:r>
      <w:r>
        <w:t xml:space="preserve"> </w:t>
      </w:r>
      <w:r>
        <w:t xml:space="preserve">“Space, Information and Knowledge:”</w:t>
      </w:r>
      <w:r>
        <w:t xml:space="preserve"> In</w:t>
      </w:r>
      <w:r>
        <w:t xml:space="preserve"> </w:t>
      </w:r>
      <w:r>
        <w:rPr>
          <w:iCs/>
          <w:i/>
        </w:rPr>
        <w:t xml:space="preserve">Information and Its Role in Hunter-Gatherer Bands</w:t>
      </w:r>
      <w:r>
        <w:t xml:space="preserve">, edited by ROBERT WHALLON, WILLIAM A. LOVIS, and ROBERT K. HITCHCOCK, 59–84. Cotsen Institute of Archaeology Press at UCLA.</w:t>
      </w:r>
      <w:r>
        <w:t xml:space="preserve"> </w:t>
      </w:r>
      <w:hyperlink r:id="rId145">
        <w:r>
          <w:rPr>
            <w:rStyle w:val="Hyperlink"/>
          </w:rPr>
          <w:t xml:space="preserve">https://doi.org/10.2307/j.ctvdmwwz4.7</w:t>
        </w:r>
      </w:hyperlink>
      <w:r>
        <w:t xml:space="preserve">.</w:t>
      </w:r>
    </w:p>
    <w:bookmarkEnd w:id="146"/>
    <w:bookmarkStart w:id="148"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Cs/>
          <w:i/>
        </w:rPr>
        <w:t xml:space="preserve">Archaeological and Anthropological Sciences</w:t>
      </w:r>
      <w:r>
        <w:t xml:space="preserve"> </w:t>
      </w:r>
      <w:r>
        <w:t xml:space="preserve">11 (6): 2837–47.</w:t>
      </w:r>
      <w:r>
        <w:t xml:space="preserve"> </w:t>
      </w:r>
      <w:hyperlink r:id="rId147">
        <w:r>
          <w:rPr>
            <w:rStyle w:val="Hyperlink"/>
          </w:rPr>
          <w:t xml:space="preserve">https://doi.org/10.1007/s12520-018-0742-3</w:t>
        </w:r>
      </w:hyperlink>
      <w:r>
        <w:t xml:space="preserve">.</w:t>
      </w:r>
    </w:p>
    <w:bookmarkEnd w:id="148"/>
    <w:bookmarkStart w:id="150"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Cs/>
          <w:i/>
        </w:rPr>
        <w:t xml:space="preserve">Current Anthropology</w:t>
      </w:r>
      <w:r>
        <w:t xml:space="preserve"> </w:t>
      </w:r>
      <w:r>
        <w:t xml:space="preserve">60 (1): 91–137.</w:t>
      </w:r>
      <w:r>
        <w:t xml:space="preserve"> </w:t>
      </w:r>
      <w:hyperlink r:id="rId149">
        <w:r>
          <w:rPr>
            <w:rStyle w:val="Hyperlink"/>
          </w:rPr>
          <w:t xml:space="preserve">https://doi.org/10.1086/701523</w:t>
        </w:r>
      </w:hyperlink>
      <w:r>
        <w:t xml:space="preserve">.</w:t>
      </w:r>
    </w:p>
    <w:bookmarkEnd w:id="150"/>
    <w:bookmarkStart w:id="152" w:name="ref-Mattson_2021"/>
    <w:p>
      <w:pPr>
        <w:pStyle w:val="Bibliography"/>
      </w:pPr>
      <w:r>
        <w:t xml:space="preserve">Mattson, Hannah V. 2021.</w:t>
      </w:r>
      <w:r>
        <w:t xml:space="preserve"> </w:t>
      </w:r>
      <w:r>
        <w:t xml:space="preserve">“Personal Adornment and Identity Construction in Archaeology:”</w:t>
      </w:r>
      <w:r>
        <w:t xml:space="preserve"> In</w:t>
      </w:r>
      <w:r>
        <w:t xml:space="preserve"> </w:t>
      </w:r>
      <w:r>
        <w:rPr>
          <w:iCs/>
          <w:i/>
        </w:rPr>
        <w:t xml:space="preserve">Personal Adornment and the Construction of Identity</w:t>
      </w:r>
      <w:r>
        <w:t xml:space="preserve">, edited by Hannah V. Mattson, 1–24. A Global Archaeological Perspective. Oxbow Books.</w:t>
      </w:r>
      <w:r>
        <w:t xml:space="preserve"> </w:t>
      </w:r>
      <w:hyperlink r:id="rId151">
        <w:r>
          <w:rPr>
            <w:rStyle w:val="Hyperlink"/>
          </w:rPr>
          <w:t xml:space="preserve">https://doi.org/10.2307/j.ctv24q4z2g.5</w:t>
        </w:r>
      </w:hyperlink>
      <w:r>
        <w:t xml:space="preserve">.</w:t>
      </w:r>
    </w:p>
    <w:bookmarkEnd w:id="152"/>
    <w:bookmarkStart w:id="153"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Cs/>
          <w:i/>
        </w:rPr>
        <w:t xml:space="preserve">A Companion to Rock Art</w:t>
      </w:r>
      <w:r>
        <w:t xml:space="preserve">, 90–102.</w:t>
      </w:r>
    </w:p>
    <w:bookmarkEnd w:id="153"/>
    <w:bookmarkStart w:id="154"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Cs/>
          <w:i/>
        </w:rPr>
        <w:t xml:space="preserve">Archaeology of Oceania: Australia and the Pacific Islands</w:t>
      </w:r>
      <w:r>
        <w:t xml:space="preserve">, 96–115. Malden, Mass: Blackwell Publishing.</w:t>
      </w:r>
    </w:p>
    <w:bookmarkEnd w:id="154"/>
    <w:bookmarkStart w:id="156" w:name="ref-Mills_2017"/>
    <w:p>
      <w:pPr>
        <w:pStyle w:val="Bibliography"/>
      </w:pPr>
      <w:r>
        <w:t xml:space="preserve">Mills, Barbara J. 2017.</w:t>
      </w:r>
      <w:r>
        <w:t xml:space="preserve"> </w:t>
      </w:r>
      <w:r>
        <w:t xml:space="preserve">“Social Network Analysis in Archaeology.”</w:t>
      </w:r>
      <w:r>
        <w:t xml:space="preserve"> </w:t>
      </w:r>
      <w:r>
        <w:rPr>
          <w:iCs/>
          <w:i/>
        </w:rPr>
        <w:t xml:space="preserve">Annual Review of Anthropology</w:t>
      </w:r>
      <w:r>
        <w:t xml:space="preserve"> </w:t>
      </w:r>
      <w:r>
        <w:t xml:space="preserve">46 (Volume 46, 2017): 379–97.</w:t>
      </w:r>
      <w:r>
        <w:t xml:space="preserve"> </w:t>
      </w:r>
      <w:hyperlink r:id="rId155">
        <w:r>
          <w:rPr>
            <w:rStyle w:val="Hyperlink"/>
          </w:rPr>
          <w:t xml:space="preserve">https://doi.org/10.1146/annurev-anthro-102116-041423</w:t>
        </w:r>
      </w:hyperlink>
      <w:r>
        <w:t xml:space="preserve">.</w:t>
      </w:r>
    </w:p>
    <w:bookmarkEnd w:id="156"/>
    <w:bookmarkStart w:id="158"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Cs/>
          <w:i/>
        </w:rPr>
        <w:t xml:space="preserve">Annual Review of Anthropology</w:t>
      </w:r>
      <w:r>
        <w:t xml:space="preserve"> </w:t>
      </w:r>
      <w:r>
        <w:t xml:space="preserve">23: 483–508.</w:t>
      </w:r>
      <w:r>
        <w:t xml:space="preserve"> </w:t>
      </w:r>
      <w:hyperlink r:id="rId157">
        <w:r>
          <w:rPr>
            <w:rStyle w:val="Hyperlink"/>
          </w:rPr>
          <w:t xml:space="preserve">http://www.jstor.org/stable/2156023</w:t>
        </w:r>
      </w:hyperlink>
      <w:r>
        <w:t xml:space="preserve">.</w:t>
      </w:r>
    </w:p>
    <w:bookmarkEnd w:id="158"/>
    <w:bookmarkStart w:id="160" w:name="ref-Moore_2010"/>
    <w:p>
      <w:pPr>
        <w:pStyle w:val="Bibliography"/>
      </w:pPr>
      <w:r>
        <w:t xml:space="preserve">Moore, Christopher R. 2010.</w:t>
      </w:r>
      <w:r>
        <w:t xml:space="preserve"> </w:t>
      </w:r>
      <w:r>
        <w:t xml:space="preserve">“A Macroscopic Investigation of Technological Style and the Production of Middle to Late Archaic Fishhooks at the Chiggerville, Read, and Baker Sites, Western Kentucky.”</w:t>
      </w:r>
      <w:r>
        <w:t xml:space="preserve"> </w:t>
      </w:r>
      <w:r>
        <w:rPr>
          <w:iCs/>
          <w:i/>
        </w:rPr>
        <w:t xml:space="preserve">Southeastern Archaeology</w:t>
      </w:r>
      <w:r>
        <w:t xml:space="preserve"> </w:t>
      </w:r>
      <w:r>
        <w:t xml:space="preserve">29 (1): 197–221.</w:t>
      </w:r>
      <w:r>
        <w:t xml:space="preserve"> </w:t>
      </w:r>
      <w:hyperlink r:id="rId159">
        <w:r>
          <w:rPr>
            <w:rStyle w:val="Hyperlink"/>
          </w:rPr>
          <w:t xml:space="preserve">https://doi.org/10.1179/sea.2010.29.1.013</w:t>
        </w:r>
      </w:hyperlink>
      <w:r>
        <w:t xml:space="preserve">.</w:t>
      </w:r>
    </w:p>
    <w:bookmarkEnd w:id="160"/>
    <w:bookmarkStart w:id="162" w:name="ref-Morwood_1987"/>
    <w:p>
      <w:pPr>
        <w:pStyle w:val="Bibliography"/>
      </w:pPr>
      <w:r>
        <w:t xml:space="preserve">Morwood, M. J. 1987.</w:t>
      </w:r>
      <w:r>
        <w:t xml:space="preserve"> </w:t>
      </w:r>
      <w:r>
        <w:t xml:space="preserve">“The Archaeology of Social Complexity in South-East Queensland.”</w:t>
      </w:r>
      <w:r>
        <w:t xml:space="preserve"> </w:t>
      </w:r>
      <w:r>
        <w:rPr>
          <w:iCs/>
          <w:i/>
        </w:rPr>
        <w:t xml:space="preserve">Proceedings of the Prehistoric Society</w:t>
      </w:r>
      <w:r>
        <w:t xml:space="preserve"> </w:t>
      </w:r>
      <w:r>
        <w:t xml:space="preserve">53 (1): 337–50.</w:t>
      </w:r>
      <w:r>
        <w:t xml:space="preserve"> </w:t>
      </w:r>
      <w:hyperlink r:id="rId161">
        <w:r>
          <w:rPr>
            <w:rStyle w:val="Hyperlink"/>
          </w:rPr>
          <w:t xml:space="preserve">https://doi.org/10.1017/S0079497X00006265</w:t>
        </w:r>
      </w:hyperlink>
      <w:r>
        <w:t xml:space="preserve">.</w:t>
      </w:r>
    </w:p>
    <w:bookmarkEnd w:id="162"/>
    <w:bookmarkStart w:id="164" w:name="ref-Newlander_2012"/>
    <w:p>
      <w:pPr>
        <w:pStyle w:val="Bibliography"/>
      </w:pPr>
      <w:r>
        <w:t xml:space="preserve">Newlander, Khori S. 2012.</w:t>
      </w:r>
      <w:r>
        <w:t xml:space="preserve"> </w:t>
      </w:r>
      <w:r>
        <w:t xml:space="preserve">“Exchange, Embedded Procurement, and Hunter-Gatherer Mobility: A Case Study from the North American Great Basin.”</w:t>
      </w:r>
      <w:r>
        <w:t xml:space="preserve"> </w:t>
      </w:r>
      <w:r>
        <w:rPr>
          <w:iCs/>
          <w:i/>
        </w:rPr>
        <w:t xml:space="preserve">ProQuest Dissertations and Theses</w:t>
      </w:r>
      <w:r>
        <w:t xml:space="preserve">. Ph.D., University of Michigan.</w:t>
      </w:r>
      <w:r>
        <w:t xml:space="preserve"> </w:t>
      </w:r>
      <w:hyperlink r:id="rId163">
        <w:r>
          <w:rPr>
            <w:rStyle w:val="Hyperlink"/>
          </w:rPr>
          <w:t xml:space="preserve">https://www.proquest.com/dissertations-theses/exchange-embedded-procurement-hunter-gatherer/docview/1026968975/se-2?accountid=14784</w:t>
        </w:r>
      </w:hyperlink>
      <w:r>
        <w:t xml:space="preserve">.</w:t>
      </w:r>
    </w:p>
    <w:bookmarkEnd w:id="164"/>
    <w:bookmarkStart w:id="166"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65">
        <w:r>
          <w:rPr>
            <w:rStyle w:val="Hyperlink"/>
          </w:rPr>
          <w:t xml:space="preserve">https://doi.org/10.32614/CRAN.package.vegan</w:t>
        </w:r>
      </w:hyperlink>
      <w:r>
        <w:t xml:space="preserve">.</w:t>
      </w:r>
    </w:p>
    <w:bookmarkEnd w:id="166"/>
    <w:bookmarkStart w:id="168" w:name="ref-Padilla-Iglesias_Bischoff_2024"/>
    <w:p>
      <w:pPr>
        <w:pStyle w:val="Bibliography"/>
      </w:pPr>
      <w:r>
        <w:t xml:space="preserve">Padilla-Iglesias, Cecilia, and Robert J. Bischoff. 2024.</w:t>
      </w:r>
      <w:r>
        <w:t xml:space="preserve"> </w:t>
      </w:r>
      <w:r>
        <w:t xml:space="preserve">“Hunter-Gatherer Mobility Patterns Influence the Reconstruction of Social Networks from Archaeological Assemblages.”</w:t>
      </w:r>
      <w:r>
        <w:t xml:space="preserve"> </w:t>
      </w:r>
      <w:r>
        <w:rPr>
          <w:iCs/>
          <w:i/>
        </w:rPr>
        <w:t xml:space="preserve">Journal of Archaeological Science: Reports</w:t>
      </w:r>
      <w:r>
        <w:t xml:space="preserve"> </w:t>
      </w:r>
      <w:r>
        <w:t xml:space="preserve">59: 104798. https://doi.org/</w:t>
      </w:r>
      <w:hyperlink r:id="rId167">
        <w:r>
          <w:rPr>
            <w:rStyle w:val="Hyperlink"/>
          </w:rPr>
          <w:t xml:space="preserve">https://doi.org/10.1016/j.jasrep.2024.104798</w:t>
        </w:r>
      </w:hyperlink>
      <w:r>
        <w:t xml:space="preserve">.</w:t>
      </w:r>
    </w:p>
    <w:bookmarkEnd w:id="168"/>
    <w:bookmarkStart w:id="169" w:name="ref-Pate_2006"/>
    <w:p>
      <w:pPr>
        <w:pStyle w:val="Bibliography"/>
      </w:pPr>
      <w:r>
        <w:t xml:space="preserve">Pate, Frank. 2006.</w:t>
      </w:r>
      <w:r>
        <w:t xml:space="preserve"> </w:t>
      </w:r>
      <w:r>
        <w:t xml:space="preserve">“Hunter-Gatherer Social Complexity at Roonka Flat, South Australia.”</w:t>
      </w:r>
      <w:r>
        <w:t xml:space="preserve"> </w:t>
      </w:r>
      <w:r>
        <w:t xml:space="preserve">In</w:t>
      </w:r>
      <w:r>
        <w:t xml:space="preserve"> </w:t>
      </w:r>
      <w:r>
        <w:rPr>
          <w:iCs/>
          <w:i/>
        </w:rPr>
        <w:t xml:space="preserve">The Social Archaeology of Australian Indigenous Societies</w:t>
      </w:r>
      <w:r>
        <w:t xml:space="preserve">, 226–41. Aboriginal Studies Press.</w:t>
      </w:r>
    </w:p>
    <w:bookmarkEnd w:id="169"/>
    <w:bookmarkStart w:id="171"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70">
        <w:r>
          <w:rPr>
            <w:rStyle w:val="Hyperlink"/>
          </w:rPr>
          <w:t xml:space="preserve">https://statnet.org</w:t>
        </w:r>
      </w:hyperlink>
      <w:r>
        <w:t xml:space="preserve">.</w:t>
      </w:r>
    </w:p>
    <w:bookmarkEnd w:id="171"/>
    <w:bookmarkStart w:id="173" w:name="ref-Herskind2023"/>
    <w:p>
      <w:pPr>
        <w:pStyle w:val="Bibliography"/>
      </w:pPr>
      <w:r>
        <w:t xml:space="preserve">Platz, Herskind Lasse Lukas. 2023.</w:t>
      </w:r>
      <w:r>
        <w:t xml:space="preserve"> </w:t>
      </w:r>
      <w:r>
        <w:t xml:space="preserve">“A Case for Idle Graffiti.”</w:t>
      </w:r>
      <w:r>
        <w:t xml:space="preserve"> </w:t>
      </w:r>
      <w:r>
        <w:rPr>
          <w:iCs/>
          <w:i/>
        </w:rPr>
        <w:t xml:space="preserve">Hunter Gatherer Research</w:t>
      </w:r>
      <w:r>
        <w:t xml:space="preserve"> </w:t>
      </w:r>
      <w:r>
        <w:t xml:space="preserve">9 (1–2): 59–93.</w:t>
      </w:r>
      <w:r>
        <w:t xml:space="preserve"> </w:t>
      </w:r>
      <w:hyperlink r:id="rId172">
        <w:r>
          <w:rPr>
            <w:rStyle w:val="Hyperlink"/>
          </w:rPr>
          <w:t xml:space="preserve">https://doi.org/10.3828/hgr.2023.12</w:t>
        </w:r>
      </w:hyperlink>
      <w:r>
        <w:t xml:space="preserve">.</w:t>
      </w:r>
    </w:p>
    <w:bookmarkEnd w:id="173"/>
    <w:bookmarkStart w:id="175"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Cs/>
          <w:i/>
        </w:rPr>
        <w:t xml:space="preserve">Prehistoric Hunters-Gatherers</w:t>
      </w:r>
      <w:r>
        <w:t xml:space="preserve">, edited by T. Douglas Price and James A. Brown, 3–20. Academic Press. https://doi.org/</w:t>
      </w:r>
      <w:hyperlink r:id="rId174">
        <w:r>
          <w:rPr>
            <w:rStyle w:val="Hyperlink"/>
          </w:rPr>
          <w:t xml:space="preserve">https://doi.org/10.1016/B978-0-12-564750-2.50006-8</w:t>
        </w:r>
      </w:hyperlink>
      <w:r>
        <w:t xml:space="preserve">.</w:t>
      </w:r>
    </w:p>
    <w:bookmarkEnd w:id="175"/>
    <w:bookmarkStart w:id="177" w:name="ref-Riches_1995"/>
    <w:p>
      <w:pPr>
        <w:pStyle w:val="Bibliography"/>
      </w:pPr>
      <w:r>
        <w:t xml:space="preserve">Riches, David. 1995.</w:t>
      </w:r>
      <w:r>
        <w:t xml:space="preserve"> </w:t>
      </w:r>
      <w:r>
        <w:t xml:space="preserve">“Hunter-Gatherer Structural Transformations.”</w:t>
      </w:r>
      <w:r>
        <w:t xml:space="preserve"> </w:t>
      </w:r>
      <w:r>
        <w:rPr>
          <w:iCs/>
          <w:i/>
        </w:rPr>
        <w:t xml:space="preserve">The Journal of the Royal Anthropological Institute</w:t>
      </w:r>
      <w:r>
        <w:t xml:space="preserve"> </w:t>
      </w:r>
      <w:r>
        <w:t xml:space="preserve">1 (4): 679–701.</w:t>
      </w:r>
      <w:r>
        <w:t xml:space="preserve"> </w:t>
      </w:r>
      <w:hyperlink r:id="rId176">
        <w:r>
          <w:rPr>
            <w:rStyle w:val="Hyperlink"/>
          </w:rPr>
          <w:t xml:space="preserve">https://doi.org/10.2307/3034956</w:t>
        </w:r>
      </w:hyperlink>
      <w:r>
        <w:t xml:space="preserve">.</w:t>
      </w:r>
    </w:p>
    <w:bookmarkEnd w:id="177"/>
    <w:bookmarkStart w:id="179" w:name="ref-Rigaud_dErrico_Vanhaeren_2015"/>
    <w:p>
      <w:pPr>
        <w:pStyle w:val="Bibliography"/>
      </w:pPr>
      <w:r>
        <w:t xml:space="preserve">Rigaud, Solange, Francesco d’Errico, and Marian Vanhaeren. 2015.</w:t>
      </w:r>
      <w:r>
        <w:t xml:space="preserve"> </w:t>
      </w:r>
      <w:r>
        <w:t xml:space="preserve">“Ornaments Reveal Resistance of North European Cultures to the Spread of Farming.”</w:t>
      </w:r>
      <w:r>
        <w:t xml:space="preserve"> </w:t>
      </w:r>
      <w:r>
        <w:rPr>
          <w:iCs/>
          <w:i/>
        </w:rPr>
        <w:t xml:space="preserve">PLOS ONE</w:t>
      </w:r>
      <w:r>
        <w:t xml:space="preserve"> </w:t>
      </w:r>
      <w:r>
        <w:t xml:space="preserve">10 (4): e0121166.</w:t>
      </w:r>
      <w:r>
        <w:t xml:space="preserve"> </w:t>
      </w:r>
      <w:hyperlink r:id="rId178">
        <w:r>
          <w:rPr>
            <w:rStyle w:val="Hyperlink"/>
          </w:rPr>
          <w:t xml:space="preserve">https://doi.org/10.1371/journal.pone.0121166</w:t>
        </w:r>
      </w:hyperlink>
      <w:r>
        <w:t xml:space="preserve">.</w:t>
      </w:r>
    </w:p>
    <w:bookmarkEnd w:id="179"/>
    <w:bookmarkStart w:id="180"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80"/>
    <w:bookmarkStart w:id="182" w:name="ref-Romano_Lozano_Fern2022"/>
    <w:p>
      <w:pPr>
        <w:pStyle w:val="Bibliography"/>
      </w:pPr>
      <w:r>
        <w:t xml:space="preserve">Romano, Valéria, Sergi Lozano, and Javier Fernández-López de Pablo. 2022.</w:t>
      </w:r>
      <w:r>
        <w:t xml:space="preserve"> </w:t>
      </w:r>
      <w:r>
        <w:t xml:space="preserve">“Reconstructing Social Networks of Late Glacial and Holocene Hunter–Gatherers to Understand Cultural Evolution.”</w:t>
      </w:r>
      <w:r>
        <w:t xml:space="preserve"> </w:t>
      </w:r>
      <w:r>
        <w:rPr>
          <w:iCs/>
          <w:i/>
        </w:rPr>
        <w:t xml:space="preserve">Philosophical Transactions of the Royal Society B</w:t>
      </w:r>
      <w:r>
        <w:t xml:space="preserve"> </w:t>
      </w:r>
      <w:r>
        <w:t xml:space="preserve">377 (1843). https://doi.org/</w:t>
      </w:r>
      <w:hyperlink r:id="rId181">
        <w:r>
          <w:rPr>
            <w:rStyle w:val="Hyperlink"/>
          </w:rPr>
          <w:t xml:space="preserve">https://doi.org/10.1098/rstb.2020.0318</w:t>
        </w:r>
      </w:hyperlink>
      <w:r>
        <w:t xml:space="preserve">.</w:t>
      </w:r>
    </w:p>
    <w:bookmarkEnd w:id="182"/>
    <w:bookmarkStart w:id="184"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Cs/>
          <w:i/>
        </w:rPr>
        <w:t xml:space="preserve">Quaternary International</w:t>
      </w:r>
      <w:r>
        <w:t xml:space="preserve">, SI: Role of art in prehistory-UISPP2014, 491 (October): 99–109.</w:t>
      </w:r>
      <w:r>
        <w:t xml:space="preserve"> </w:t>
      </w:r>
      <w:hyperlink r:id="rId183">
        <w:r>
          <w:rPr>
            <w:rStyle w:val="Hyperlink"/>
          </w:rPr>
          <w:t xml:space="preserve">https://doi.org/10.1016/j.quaint.2017.01.039</w:t>
        </w:r>
      </w:hyperlink>
      <w:r>
        <w:t xml:space="preserve">.</w:t>
      </w:r>
    </w:p>
    <w:bookmarkEnd w:id="184"/>
    <w:bookmarkStart w:id="186" w:name="ref-Schwendler_2012"/>
    <w:p>
      <w:pPr>
        <w:pStyle w:val="Bibliography"/>
      </w:pPr>
      <w:r>
        <w:t xml:space="preserve">Schwendler, Rebecca H. 2012.</w:t>
      </w:r>
      <w:r>
        <w:t xml:space="preserve"> </w:t>
      </w:r>
      <w:r>
        <w:t xml:space="preserve">“Diversity in Social Organization Across Magdalenian Western Europe Ca. 17–12,000 BP.”</w:t>
      </w:r>
      <w:r>
        <w:t xml:space="preserve"> </w:t>
      </w:r>
      <w:r>
        <w:rPr>
          <w:iCs/>
          <w:i/>
        </w:rPr>
        <w:t xml:space="preserve">Quaternary International</w:t>
      </w:r>
      <w:r>
        <w:t xml:space="preserve"> </w:t>
      </w:r>
      <w:r>
        <w:t xml:space="preserve">272–273: 333–53. https://doi.org/</w:t>
      </w:r>
      <w:hyperlink r:id="rId185">
        <w:r>
          <w:rPr>
            <w:rStyle w:val="Hyperlink"/>
          </w:rPr>
          <w:t xml:space="preserve">https://doi.org/10.1016/j.quaint.2012.03.054</w:t>
        </w:r>
      </w:hyperlink>
      <w:r>
        <w:t xml:space="preserve">.</w:t>
      </w:r>
    </w:p>
    <w:bookmarkEnd w:id="186"/>
    <w:bookmarkStart w:id="188"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Cs/>
          <w:i/>
        </w:rPr>
        <w:t xml:space="preserve">Quaternary Science Reviews</w:t>
      </w:r>
      <w:r>
        <w:t xml:space="preserve"> </w:t>
      </w:r>
      <w:r>
        <w:t xml:space="preserve">263: 106995. https://doi.org/</w:t>
      </w:r>
      <w:hyperlink r:id="rId187">
        <w:r>
          <w:rPr>
            <w:rStyle w:val="Hyperlink"/>
          </w:rPr>
          <w:t xml:space="preserve">https://doi.org/10.1016/j.quascirev.2021.106995</w:t>
        </w:r>
      </w:hyperlink>
      <w:r>
        <w:t xml:space="preserve">.</w:t>
      </w:r>
    </w:p>
    <w:bookmarkEnd w:id="188"/>
    <w:bookmarkStart w:id="190"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Cs/>
          <w:i/>
        </w:rPr>
        <w:t xml:space="preserve">Nature Communications</w:t>
      </w:r>
      <w:r>
        <w:t xml:space="preserve"> </w:t>
      </w:r>
      <w:r>
        <w:t xml:space="preserve">15 (1): 7406.</w:t>
      </w:r>
      <w:r>
        <w:t xml:space="preserve"> </w:t>
      </w:r>
      <w:hyperlink r:id="rId189">
        <w:r>
          <w:rPr>
            <w:rStyle w:val="Hyperlink"/>
          </w:rPr>
          <w:t xml:space="preserve">https://doi.org/10.1038/s41467-024-51349-y</w:t>
        </w:r>
      </w:hyperlink>
      <w:r>
        <w:t xml:space="preserve">.</w:t>
      </w:r>
    </w:p>
    <w:bookmarkEnd w:id="190"/>
    <w:bookmarkStart w:id="192" w:name="ref-Shennan_Crema_Kerig_2015"/>
    <w:p>
      <w:pPr>
        <w:pStyle w:val="Bibliography"/>
      </w:pPr>
      <w:r>
        <w:t xml:space="preserve">Shennan, Stephen J., Enrico R. Crema, and Tim Kerig. 2015.</w:t>
      </w:r>
      <w:r>
        <w:t xml:space="preserve"> </w:t>
      </w:r>
      <w:r>
        <w:t xml:space="preserve">“Isolation-by-Distance, Homophily, and</w:t>
      </w:r>
      <w:r>
        <w:t xml:space="preserve"> </w:t>
      </w:r>
      <w:r>
        <w:t xml:space="preserve">‘Core’</w:t>
      </w:r>
      <w:r>
        <w:t xml:space="preserve"> </w:t>
      </w:r>
      <w:r>
        <w:t xml:space="preserve">Vs.</w:t>
      </w:r>
      <w:r>
        <w:t xml:space="preserve"> </w:t>
      </w:r>
      <w:r>
        <w:t xml:space="preserve">‘Package’</w:t>
      </w:r>
      <w:r>
        <w:t xml:space="preserve"> </w:t>
      </w:r>
      <w:r>
        <w:t xml:space="preserve">Cultural Evolution Models in Neolithic Europe.”</w:t>
      </w:r>
      <w:r>
        <w:t xml:space="preserve"> </w:t>
      </w:r>
      <w:r>
        <w:rPr>
          <w:iCs/>
          <w:i/>
        </w:rPr>
        <w:t xml:space="preserve">Evolution and Human Behavior</w:t>
      </w:r>
      <w:r>
        <w:t xml:space="preserve"> </w:t>
      </w:r>
      <w:r>
        <w:t xml:space="preserve">36 (2): 103–9.</w:t>
      </w:r>
      <w:r>
        <w:t xml:space="preserve"> </w:t>
      </w:r>
      <w:hyperlink r:id="rId191">
        <w:r>
          <w:rPr>
            <w:rStyle w:val="Hyperlink"/>
          </w:rPr>
          <w:t xml:space="preserve">https://doi.org/10.1016/j.evolhumbehav.2014.09.006</w:t>
        </w:r>
      </w:hyperlink>
      <w:r>
        <w:t xml:space="preserve">.</w:t>
      </w:r>
    </w:p>
    <w:bookmarkEnd w:id="192"/>
    <w:bookmarkStart w:id="194" w:name="ref-Singh_Glowacki_2022"/>
    <w:p>
      <w:pPr>
        <w:pStyle w:val="Bibliography"/>
      </w:pPr>
      <w:r>
        <w:t xml:space="preserve">Singh, Manvir, and Luke Glowacki. 2022.</w:t>
      </w:r>
      <w:r>
        <w:t xml:space="preserve"> </w:t>
      </w:r>
      <w:r>
        <w:t xml:space="preserve">“Human Social Organization During the Late Pleistocene: Beyond the Nomadic-Egalitarian Model.”</w:t>
      </w:r>
      <w:r>
        <w:t xml:space="preserve"> </w:t>
      </w:r>
      <w:r>
        <w:rPr>
          <w:iCs/>
          <w:i/>
        </w:rPr>
        <w:t xml:space="preserve">Evolution and Human Behavior</w:t>
      </w:r>
      <w:r>
        <w:t xml:space="preserve"> </w:t>
      </w:r>
      <w:r>
        <w:t xml:space="preserve">43 (5): 418–31. https://doi.org/</w:t>
      </w:r>
      <w:hyperlink r:id="rId193">
        <w:r>
          <w:rPr>
            <w:rStyle w:val="Hyperlink"/>
          </w:rPr>
          <w:t xml:space="preserve">https://doi.org/10.1016/j.evolhumbehav.2022.07.003</w:t>
        </w:r>
      </w:hyperlink>
      <w:r>
        <w:t xml:space="preserve">.</w:t>
      </w:r>
    </w:p>
    <w:bookmarkEnd w:id="194"/>
    <w:bookmarkStart w:id="196"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Cs/>
          <w:i/>
        </w:rPr>
        <w:t xml:space="preserve">Australian Archaeology</w:t>
      </w:r>
      <w:r>
        <w:t xml:space="preserve">, no. 34: 34–42.</w:t>
      </w:r>
      <w:r>
        <w:t xml:space="preserve"> </w:t>
      </w:r>
      <w:hyperlink r:id="rId195">
        <w:r>
          <w:rPr>
            <w:rStyle w:val="Hyperlink"/>
          </w:rPr>
          <w:t xml:space="preserve">http://www.jstor.org/stable/40287092</w:t>
        </w:r>
      </w:hyperlink>
      <w:r>
        <w:t xml:space="preserve">.</w:t>
      </w:r>
    </w:p>
    <w:bookmarkEnd w:id="196"/>
    <w:bookmarkStart w:id="198"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Cs/>
          <w:i/>
        </w:rPr>
        <w:t xml:space="preserve">Australian Archaeology</w:t>
      </w:r>
      <w:r>
        <w:t xml:space="preserve">, no. 34: 51–51.</w:t>
      </w:r>
      <w:r>
        <w:t xml:space="preserve"> </w:t>
      </w:r>
      <w:hyperlink r:id="rId197">
        <w:r>
          <w:rPr>
            <w:rStyle w:val="Hyperlink"/>
          </w:rPr>
          <w:t xml:space="preserve">http://www.jstor.org/stable/40287096</w:t>
        </w:r>
      </w:hyperlink>
      <w:r>
        <w:t xml:space="preserve">.</w:t>
      </w:r>
    </w:p>
    <w:bookmarkEnd w:id="198"/>
    <w:bookmarkStart w:id="200" w:name="ref-Mantel_Smouse"/>
    <w:p>
      <w:pPr>
        <w:pStyle w:val="Bibliography"/>
      </w:pPr>
      <w:r>
        <w:t xml:space="preserve">Smouse, Peter E., and Jeffrey C. Long. 1992.</w:t>
      </w:r>
      <w:r>
        <w:t xml:space="preserve"> </w:t>
      </w:r>
      <w:r>
        <w:t xml:space="preserve">“Matrix Correlation Analysis in Anthropology and Genetics.”</w:t>
      </w:r>
      <w:r>
        <w:t xml:space="preserve"> </w:t>
      </w:r>
      <w:r>
        <w:rPr>
          <w:iCs/>
          <w:i/>
        </w:rPr>
        <w:t xml:space="preserve">American Journal of Physical Anthropology</w:t>
      </w:r>
      <w:r>
        <w:t xml:space="preserve"> </w:t>
      </w:r>
      <w:r>
        <w:t xml:space="preserve">35 (S15): 187–213. https://doi.org/</w:t>
      </w:r>
      <w:hyperlink r:id="rId199">
        <w:r>
          <w:rPr>
            <w:rStyle w:val="Hyperlink"/>
          </w:rPr>
          <w:t xml:space="preserve">https://doi.org/10.1002/ajpa.1330350608</w:t>
        </w:r>
      </w:hyperlink>
      <w:r>
        <w:t xml:space="preserve">.</w:t>
      </w:r>
    </w:p>
    <w:bookmarkEnd w:id="200"/>
    <w:bookmarkStart w:id="201"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Cs/>
          <w:i/>
        </w:rPr>
        <w:t xml:space="preserve">The Magdalenian Household</w:t>
      </w:r>
      <w:r>
        <w:t xml:space="preserve">, 235–44. SUNY Press.</w:t>
      </w:r>
    </w:p>
    <w:bookmarkEnd w:id="201"/>
    <w:bookmarkStart w:id="203"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Cs/>
          <w:i/>
        </w:rPr>
        <w:t xml:space="preserve">Palethnologie. Archéologie Et Sciences Humaines</w:t>
      </w:r>
      <w:r>
        <w:t xml:space="preserve">, no. 55 (January).</w:t>
      </w:r>
      <w:r>
        <w:t xml:space="preserve"> </w:t>
      </w:r>
      <w:hyperlink r:id="rId202">
        <w:r>
          <w:rPr>
            <w:rStyle w:val="Hyperlink"/>
          </w:rPr>
          <w:t xml:space="preserve">https://doi.org/10.4000/palethnologie.4945</w:t>
        </w:r>
      </w:hyperlink>
      <w:r>
        <w:t xml:space="preserve">.</w:t>
      </w:r>
    </w:p>
    <w:bookmarkEnd w:id="203"/>
    <w:bookmarkStart w:id="205"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Cs/>
          <w:i/>
        </w:rPr>
        <w:t xml:space="preserve">Journal of Archaeological Science</w:t>
      </w:r>
      <w:r>
        <w:t xml:space="preserve"> </w:t>
      </w:r>
      <w:r>
        <w:t xml:space="preserve">39 (7): 2348–60.</w:t>
      </w:r>
      <w:r>
        <w:t xml:space="preserve"> </w:t>
      </w:r>
      <w:hyperlink r:id="rId204">
        <w:r>
          <w:rPr>
            <w:rStyle w:val="Hyperlink"/>
          </w:rPr>
          <w:t xml:space="preserve">https://doi.org/10.1016/j.jas.2012.02.003</w:t>
        </w:r>
      </w:hyperlink>
      <w:r>
        <w:t xml:space="preserve">.</w:t>
      </w:r>
    </w:p>
    <w:bookmarkEnd w:id="205"/>
    <w:bookmarkStart w:id="207"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Cs/>
          <w:i/>
        </w:rPr>
        <w:t xml:space="preserve">Palethnologie. Archéologie Et Sciences Humaines</w:t>
      </w:r>
      <w:r>
        <w:t xml:space="preserve">, no. 77 (December).</w:t>
      </w:r>
      <w:r>
        <w:t xml:space="preserve"> </w:t>
      </w:r>
      <w:hyperlink r:id="rId206">
        <w:r>
          <w:rPr>
            <w:rStyle w:val="Hyperlink"/>
          </w:rPr>
          <w:t xml:space="preserve">https://doi.org/10.4000/palethnologie.706</w:t>
        </w:r>
      </w:hyperlink>
      <w:r>
        <w:t xml:space="preserve">.</w:t>
      </w:r>
    </w:p>
    <w:bookmarkEnd w:id="207"/>
    <w:bookmarkStart w:id="209"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Cs/>
          <w:i/>
        </w:rPr>
        <w:t xml:space="preserve">Journal of Archaeological Science</w:t>
      </w:r>
      <w:r>
        <w:t xml:space="preserve"> </w:t>
      </w:r>
      <w:r>
        <w:t xml:space="preserve">61 (September): 59–77.</w:t>
      </w:r>
      <w:r>
        <w:t xml:space="preserve"> </w:t>
      </w:r>
      <w:hyperlink r:id="rId208">
        <w:r>
          <w:rPr>
            <w:rStyle w:val="Hyperlink"/>
          </w:rPr>
          <w:t xml:space="preserve">https://doi.org/10.1016/j.jas.2015.05.003</w:t>
        </w:r>
      </w:hyperlink>
      <w:r>
        <w:t xml:space="preserve">.</w:t>
      </w:r>
    </w:p>
    <w:bookmarkEnd w:id="209"/>
    <w:bookmarkStart w:id="211" w:name="ref-Tilley_1982"/>
    <w:p>
      <w:pPr>
        <w:pStyle w:val="Bibliography"/>
      </w:pPr>
      <w:r>
        <w:t xml:space="preserve">Tilley, Christopher. 1982.</w:t>
      </w:r>
      <w:r>
        <w:t xml:space="preserve"> </w:t>
      </w:r>
      <w:r>
        <w:t xml:space="preserve">“Social Formation, Social Structures and Social Change.”</w:t>
      </w:r>
      <w:r>
        <w:t xml:space="preserve"> </w:t>
      </w:r>
      <w:r>
        <w:t xml:space="preserve">In</w:t>
      </w:r>
      <w:r>
        <w:t xml:space="preserve"> </w:t>
      </w:r>
      <w:r>
        <w:rPr>
          <w:iCs/>
          <w:i/>
        </w:rPr>
        <w:t xml:space="preserve">Symbolic and Structural Archaeology</w:t>
      </w:r>
      <w:r>
        <w:t xml:space="preserve">, edited by Ian Hodder, 26–38. New Directions in Archaeology. Cambridge: Cambridge University Press.</w:t>
      </w:r>
      <w:r>
        <w:t xml:space="preserve"> </w:t>
      </w:r>
      <w:hyperlink r:id="rId210">
        <w:r>
          <w:rPr>
            <w:rStyle w:val="Hyperlink"/>
          </w:rPr>
          <w:t xml:space="preserve">https://doi.org/10.1017/CBO9780511558252.004</w:t>
        </w:r>
      </w:hyperlink>
      <w:r>
        <w:t xml:space="preserve">.</w:t>
      </w:r>
    </w:p>
    <w:bookmarkEnd w:id="211"/>
    <w:bookmarkStart w:id="212" w:name="ref-Vanhaeren_2005"/>
    <w:p>
      <w:pPr>
        <w:pStyle w:val="Bibliography"/>
      </w:pPr>
      <w:r>
        <w:t xml:space="preserve">Vanhaeren, Marian. 2005.</w:t>
      </w:r>
      <w:r>
        <w:t xml:space="preserve"> </w:t>
      </w:r>
      <w:r>
        <w:t xml:space="preserve">“Speaking with Beads: The Evolutionary Significance of Personal Ornaments.”</w:t>
      </w:r>
      <w:r>
        <w:t xml:space="preserve"> </w:t>
      </w:r>
      <w:r>
        <w:t xml:space="preserve">In</w:t>
      </w:r>
      <w:r>
        <w:t xml:space="preserve"> </w:t>
      </w:r>
      <w:r>
        <w:rPr>
          <w:iCs/>
          <w:i/>
        </w:rPr>
        <w:t xml:space="preserve">From Tools to Symbols: From Early Hominids to Modern Humans</w:t>
      </w:r>
      <w:r>
        <w:t xml:space="preserve">, edited by Francesco d’Errico and LucindaEditors Backwell, 525–54. Wits University Press.</w:t>
      </w:r>
    </w:p>
    <w:bookmarkEnd w:id="212"/>
    <w:bookmarkStart w:id="214"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Cs/>
          <w:i/>
        </w:rPr>
        <w:t xml:space="preserve">Journal of Archaeological Science</w:t>
      </w:r>
      <w:r>
        <w:t xml:space="preserve"> </w:t>
      </w:r>
      <w:r>
        <w:t xml:space="preserve">33 (8): 1105–28.</w:t>
      </w:r>
      <w:r>
        <w:t xml:space="preserve"> </w:t>
      </w:r>
      <w:hyperlink r:id="rId213">
        <w:r>
          <w:rPr>
            <w:rStyle w:val="Hyperlink"/>
          </w:rPr>
          <w:t xml:space="preserve">https://doi.org/10.1016/j.jas.2005.11.017</w:t>
        </w:r>
      </w:hyperlink>
      <w:r>
        <w:t xml:space="preserve">.</w:t>
      </w:r>
    </w:p>
    <w:bookmarkEnd w:id="214"/>
    <w:bookmarkStart w:id="215"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215"/>
    <w:bookmarkStart w:id="217" w:name="ref-Whallon_2006"/>
    <w:p>
      <w:pPr>
        <w:pStyle w:val="Bibliography"/>
      </w:pPr>
      <w:r>
        <w:t xml:space="preserve">Whallon, Robert. 2006.</w:t>
      </w:r>
      <w:r>
        <w:t xml:space="preserve"> </w:t>
      </w:r>
      <w:r>
        <w:t xml:space="preserve">“Social Networks and Information: Non-</w:t>
      </w:r>
      <w:r>
        <w:t xml:space="preserve">‘Utilitarian’</w:t>
      </w:r>
      <w:r>
        <w:t xml:space="preserve"> </w:t>
      </w:r>
      <w:r>
        <w:t xml:space="preserve">Mobility Among Hunter-Gatherers.”</w:t>
      </w:r>
      <w:r>
        <w:t xml:space="preserve"> </w:t>
      </w:r>
      <w:r>
        <w:rPr>
          <w:iCs/>
          <w:i/>
        </w:rPr>
        <w:t xml:space="preserve">Journal of Anthropological Archaeology</w:t>
      </w:r>
      <w:r>
        <w:t xml:space="preserve">, Mesolithic mobility, exchange, and interaction, 25 (2): 259–70.</w:t>
      </w:r>
      <w:r>
        <w:t xml:space="preserve"> </w:t>
      </w:r>
      <w:hyperlink r:id="rId216">
        <w:r>
          <w:rPr>
            <w:rStyle w:val="Hyperlink"/>
          </w:rPr>
          <w:t xml:space="preserve">https://doi.org/10.1016/j.jaa.2005.11.004</w:t>
        </w:r>
      </w:hyperlink>
      <w:r>
        <w:t xml:space="preserve">.</w:t>
      </w:r>
    </w:p>
    <w:bookmarkEnd w:id="217"/>
    <w:bookmarkStart w:id="218" w:name="ref-white1992rethinking"/>
    <w:p>
      <w:pPr>
        <w:pStyle w:val="Bibliography"/>
      </w:pPr>
      <w:r>
        <w:t xml:space="preserve">White, Randall. 1992.</w:t>
      </w:r>
      <w:r>
        <w:t xml:space="preserve"> </w:t>
      </w:r>
      <w:r>
        <w:t xml:space="preserve">“Rethinking the Middle/Upper Paleolithic Transition.”</w:t>
      </w:r>
      <w:r>
        <w:t xml:space="preserve"> </w:t>
      </w:r>
      <w:r>
        <w:rPr>
          <w:iCs/>
          <w:i/>
        </w:rPr>
        <w:t xml:space="preserve">Current Anthropology</w:t>
      </w:r>
      <w:r>
        <w:t xml:space="preserve"> </w:t>
      </w:r>
      <w:r>
        <w:t xml:space="preserve">33 (S1): 85–108.</w:t>
      </w:r>
    </w:p>
    <w:bookmarkEnd w:id="218"/>
    <w:bookmarkStart w:id="219"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Cs/>
          <w:i/>
        </w:rPr>
        <w:t xml:space="preserve">Journal of Anthropological Archaeology</w:t>
      </w:r>
      <w:r>
        <w:t xml:space="preserve"> </w:t>
      </w:r>
      <w:r>
        <w:t xml:space="preserve">3 (3): 190–234.</w:t>
      </w:r>
    </w:p>
    <w:bookmarkEnd w:id="219"/>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40" Target="http://www.jstor.org.offcampus.lib.washington.edu/stable/j.ctt1pk86rr.16" TargetMode="External" /><Relationship Type="http://schemas.openxmlformats.org/officeDocument/2006/relationships/hyperlink" Id="rId92"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57" Target="http://www.jstor.org/stable/2156023" TargetMode="External" /><Relationship Type="http://schemas.openxmlformats.org/officeDocument/2006/relationships/hyperlink" Id="rId78" Target="http://www.jstor.org/stable/2741828" TargetMode="External" /><Relationship Type="http://schemas.openxmlformats.org/officeDocument/2006/relationships/hyperlink" Id="rId123" Target="http://www.jstor.org/stable/279544" TargetMode="External" /><Relationship Type="http://schemas.openxmlformats.org/officeDocument/2006/relationships/hyperlink" Id="rId121" Target="http://www.jstor.org/stable/2800797" TargetMode="External" /><Relationship Type="http://schemas.openxmlformats.org/officeDocument/2006/relationships/hyperlink" Id="rId195" Target="http://www.jstor.org/stable/40287092" TargetMode="External" /><Relationship Type="http://schemas.openxmlformats.org/officeDocument/2006/relationships/hyperlink" Id="rId197" Target="http://www.jstor.org/stable/40287096" TargetMode="External" /><Relationship Type="http://schemas.openxmlformats.org/officeDocument/2006/relationships/hyperlink" Id="rId69"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99"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101" Target="https://doi.org/10.1002/spe.4380211102" TargetMode="External" /><Relationship Type="http://schemas.openxmlformats.org/officeDocument/2006/relationships/hyperlink" Id="rId86" Target="https://doi.org/10.1007/978-1-4757-9945-3_4" TargetMode="External" /><Relationship Type="http://schemas.openxmlformats.org/officeDocument/2006/relationships/hyperlink" Id="rId73" Target="https://doi.org/10.1007/978-3-319-51726-1_3441-1" TargetMode="External" /><Relationship Type="http://schemas.openxmlformats.org/officeDocument/2006/relationships/hyperlink" Id="rId125" Target="https://doi.org/10.1007/978-981-13-8980-1_12" TargetMode="External" /><Relationship Type="http://schemas.openxmlformats.org/officeDocument/2006/relationships/hyperlink" Id="rId129" Target="https://doi.org/10.1007/s10814-013-9068-y" TargetMode="External" /><Relationship Type="http://schemas.openxmlformats.org/officeDocument/2006/relationships/hyperlink" Id="rId147" Target="https://doi.org/10.1007/s12520-018-0742-3" TargetMode="External" /><Relationship Type="http://schemas.openxmlformats.org/officeDocument/2006/relationships/hyperlink" Id="rId174" Target="https://doi.org/10.1016/B978-0-12-564750-2.50006-8" TargetMode="External" /><Relationship Type="http://schemas.openxmlformats.org/officeDocument/2006/relationships/hyperlink" Id="rId76" Target="https://doi.org/10.1016/B978-0-12-564750-2.50016-0" TargetMode="External" /><Relationship Type="http://schemas.openxmlformats.org/officeDocument/2006/relationships/hyperlink" Id="rId143" Target="https://doi.org/10.1016/B978-0-12-564750-2.50020-2" TargetMode="External" /><Relationship Type="http://schemas.openxmlformats.org/officeDocument/2006/relationships/hyperlink" Id="rId191" Target="https://doi.org/10.1016/j.evolhumbehav.2014.09.006" TargetMode="External" /><Relationship Type="http://schemas.openxmlformats.org/officeDocument/2006/relationships/hyperlink" Id="rId193" Target="https://doi.org/10.1016/j.evolhumbehav.2022.07.003" TargetMode="External" /><Relationship Type="http://schemas.openxmlformats.org/officeDocument/2006/relationships/hyperlink" Id="rId216" Target="https://doi.org/10.1016/j.jaa.2005.11.004" TargetMode="External" /><Relationship Type="http://schemas.openxmlformats.org/officeDocument/2006/relationships/hyperlink" Id="rId67" Target="https://doi.org/10.1016/j.jaa.2013.05.005" TargetMode="External" /><Relationship Type="http://schemas.openxmlformats.org/officeDocument/2006/relationships/hyperlink" Id="rId213" Target="https://doi.org/10.1016/j.jas.2005.11.017" TargetMode="External" /><Relationship Type="http://schemas.openxmlformats.org/officeDocument/2006/relationships/hyperlink" Id="rId204" Target="https://doi.org/10.1016/j.jas.2012.02.003" TargetMode="External" /><Relationship Type="http://schemas.openxmlformats.org/officeDocument/2006/relationships/hyperlink" Id="rId208" Target="https://doi.org/10.1016/j.jas.2015.05.003" TargetMode="External" /><Relationship Type="http://schemas.openxmlformats.org/officeDocument/2006/relationships/hyperlink" Id="rId107" Target="https://doi.org/10.1016/j.jasrep.2021.103118" TargetMode="External" /><Relationship Type="http://schemas.openxmlformats.org/officeDocument/2006/relationships/hyperlink" Id="rId167" Target="https://doi.org/10.1016/j.jasrep.2024.104798" TargetMode="External" /><Relationship Type="http://schemas.openxmlformats.org/officeDocument/2006/relationships/hyperlink" Id="rId61" Target="https://doi.org/10.1016/j.jhevol.2012.10.001" TargetMode="External" /><Relationship Type="http://schemas.openxmlformats.org/officeDocument/2006/relationships/hyperlink" Id="rId185" Target="https://doi.org/10.1016/j.quaint.2012.03.054" TargetMode="External" /><Relationship Type="http://schemas.openxmlformats.org/officeDocument/2006/relationships/hyperlink" Id="rId183" Target="https://doi.org/10.1016/j.quaint.2017.01.039" TargetMode="External" /><Relationship Type="http://schemas.openxmlformats.org/officeDocument/2006/relationships/hyperlink" Id="rId103" Target="https://doi.org/10.1016/j.quaint.2017.12.017" TargetMode="External" /><Relationship Type="http://schemas.openxmlformats.org/officeDocument/2006/relationships/hyperlink" Id="rId95" Target="https://doi.org/10.1016/j.quascirev.2009.11.015" TargetMode="External" /><Relationship Type="http://schemas.openxmlformats.org/officeDocument/2006/relationships/hyperlink" Id="rId111" Target="https://doi.org/10.1016/j.quascirev.2018.12.011" TargetMode="External" /><Relationship Type="http://schemas.openxmlformats.org/officeDocument/2006/relationships/hyperlink" Id="rId187" Target="https://doi.org/10.1016/j.quascirev.2021.106995" TargetMode="External" /><Relationship Type="http://schemas.openxmlformats.org/officeDocument/2006/relationships/hyperlink" Id="rId210" Target="https://doi.org/10.1017/CBO9780511558252.004" TargetMode="External" /><Relationship Type="http://schemas.openxmlformats.org/officeDocument/2006/relationships/hyperlink" Id="rId82" Target="https://doi.org/10.1017/RDC.2020.95" TargetMode="External" /><Relationship Type="http://schemas.openxmlformats.org/officeDocument/2006/relationships/hyperlink" Id="rId161" Target="https://doi.org/10.1017/S0079497X00006265" TargetMode="External" /><Relationship Type="http://schemas.openxmlformats.org/officeDocument/2006/relationships/hyperlink" Id="rId189" Target="https://doi.org/10.1038/s41467-024-51349-y" TargetMode="External" /><Relationship Type="http://schemas.openxmlformats.org/officeDocument/2006/relationships/hyperlink" Id="rId90" Target="https://doi.org/10.1038/s41597-020-00704-x" TargetMode="External" /><Relationship Type="http://schemas.openxmlformats.org/officeDocument/2006/relationships/hyperlink" Id="rId88" Target="https://doi.org/10.1073/pnas.1518798113" TargetMode="External" /><Relationship Type="http://schemas.openxmlformats.org/officeDocument/2006/relationships/hyperlink" Id="rId149" Target="https://doi.org/10.1086/701523" TargetMode="External" /><Relationship Type="http://schemas.openxmlformats.org/officeDocument/2006/relationships/hyperlink" Id="rId109" Target="https://doi.org/10.1093/oxfordhb/9780198854265.013.31" TargetMode="External" /><Relationship Type="http://schemas.openxmlformats.org/officeDocument/2006/relationships/hyperlink" Id="rId80" Target="https://doi.org/10.1098/rsif.2017.0171" TargetMode="External" /><Relationship Type="http://schemas.openxmlformats.org/officeDocument/2006/relationships/hyperlink" Id="rId97" Target="https://doi.org/10.1098/rstb.2009.0136" TargetMode="External" /><Relationship Type="http://schemas.openxmlformats.org/officeDocument/2006/relationships/hyperlink" Id="rId181" Target="https://doi.org/10.1098/rstb.2020.0318" TargetMode="External" /><Relationship Type="http://schemas.openxmlformats.org/officeDocument/2006/relationships/hyperlink" Id="rId71" Target="https://doi.org/10.1111/j.1502-3931.1988.tb01756.x" TargetMode="External" /><Relationship Type="http://schemas.openxmlformats.org/officeDocument/2006/relationships/hyperlink" Id="rId131" Target="https://doi.org/10.1111/tops.12762" TargetMode="External" /><Relationship Type="http://schemas.openxmlformats.org/officeDocument/2006/relationships/hyperlink" Id="rId155" Target="https://doi.org/10.1146/annurev-anthro-102116-041423" TargetMode="External" /><Relationship Type="http://schemas.openxmlformats.org/officeDocument/2006/relationships/hyperlink" Id="rId138" Target="https://doi.org/10.1177/0392192107076870" TargetMode="External" /><Relationship Type="http://schemas.openxmlformats.org/officeDocument/2006/relationships/hyperlink" Id="rId159" Target="https://doi.org/10.1179/sea.2010.29.1.013" TargetMode="External" /><Relationship Type="http://schemas.openxmlformats.org/officeDocument/2006/relationships/hyperlink" Id="rId117" Target="https://doi.org/10.1371/journal.pone.0102806" TargetMode="External" /><Relationship Type="http://schemas.openxmlformats.org/officeDocument/2006/relationships/hyperlink" Id="rId178" Target="https://doi.org/10.1371/journal.pone.0121166" TargetMode="External" /><Relationship Type="http://schemas.openxmlformats.org/officeDocument/2006/relationships/hyperlink" Id="rId127" Target="https://doi.org/10.1371/journal.pone.0265329" TargetMode="External" /><Relationship Type="http://schemas.openxmlformats.org/officeDocument/2006/relationships/hyperlink" Id="rId113" Target="https://doi.org/10.18637/jss.v025.i03" TargetMode="External" /><Relationship Type="http://schemas.openxmlformats.org/officeDocument/2006/relationships/hyperlink" Id="rId105" Target="https://doi.org/10.2307/2802103" TargetMode="External" /><Relationship Type="http://schemas.openxmlformats.org/officeDocument/2006/relationships/hyperlink" Id="rId136" Target="https://doi.org/10.2307/280511" TargetMode="External" /><Relationship Type="http://schemas.openxmlformats.org/officeDocument/2006/relationships/hyperlink" Id="rId176" Target="https://doi.org/10.2307/3034956" TargetMode="External" /><Relationship Type="http://schemas.openxmlformats.org/officeDocument/2006/relationships/hyperlink" Id="rId151" Target="https://doi.org/10.2307/j.ctv24q4z2g.5" TargetMode="External" /><Relationship Type="http://schemas.openxmlformats.org/officeDocument/2006/relationships/hyperlink" Id="rId119" Target="https://doi.org/10.2307/j.ctvdmwwz4.10" TargetMode="External" /><Relationship Type="http://schemas.openxmlformats.org/officeDocument/2006/relationships/hyperlink" Id="rId145" Target="https://doi.org/10.2307/j.ctvdmwwz4.7" TargetMode="External" /><Relationship Type="http://schemas.openxmlformats.org/officeDocument/2006/relationships/hyperlink" Id="rId134" Target="https://doi.org/10.3213/2191-5784-10243" TargetMode="External" /><Relationship Type="http://schemas.openxmlformats.org/officeDocument/2006/relationships/hyperlink" Id="rId165" Target="https://doi.org/10.32614/CRAN.package.vegan" TargetMode="External" /><Relationship Type="http://schemas.openxmlformats.org/officeDocument/2006/relationships/hyperlink" Id="rId172" Target="https://doi.org/10.3828/hgr.2023.12" TargetMode="External" /><Relationship Type="http://schemas.openxmlformats.org/officeDocument/2006/relationships/hyperlink" Id="rId202" Target="https://doi.org/10.4000/palethnologie.4945" TargetMode="External" /><Relationship Type="http://schemas.openxmlformats.org/officeDocument/2006/relationships/hyperlink" Id="rId206" Target="https://doi.org/10.4000/palethnologie.706" TargetMode="External" /><Relationship Type="http://schemas.openxmlformats.org/officeDocument/2006/relationships/hyperlink" Id="rId99" Target="https://doi.org/10.5281/zenodo.15397990" TargetMode="External" /><Relationship Type="http://schemas.openxmlformats.org/officeDocument/2006/relationships/hyperlink" Id="rId84" Target="https://igraph.org" TargetMode="External" /><Relationship Type="http://schemas.openxmlformats.org/officeDocument/2006/relationships/hyperlink" Id="rId170" Target="https://statnet.org" TargetMode="External" /><Relationship Type="http://schemas.openxmlformats.org/officeDocument/2006/relationships/hyperlink" Id="rId163" Target="https://www.proquest.com/dissertations-theses/exchange-embedded-procurement-hunter-gatherer/docview/1026968975/se-2?accountid=14784" TargetMode="External" /></Relationships>
</file>

<file path=word/_rels/footnotes.xml.rels><?xml version="1.0" encoding="UTF-8"?><Relationships xmlns="http://schemas.openxmlformats.org/package/2006/relationships"><Relationship Type="http://schemas.openxmlformats.org/officeDocument/2006/relationships/hyperlink" Id="rId140" Target="http://www.jstor.org.offcampus.lib.washington.edu/stable/j.ctt1pk86rr.16" TargetMode="External" /><Relationship Type="http://schemas.openxmlformats.org/officeDocument/2006/relationships/hyperlink" Id="rId92"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57" Target="http://www.jstor.org/stable/2156023" TargetMode="External" /><Relationship Type="http://schemas.openxmlformats.org/officeDocument/2006/relationships/hyperlink" Id="rId78" Target="http://www.jstor.org/stable/2741828" TargetMode="External" /><Relationship Type="http://schemas.openxmlformats.org/officeDocument/2006/relationships/hyperlink" Id="rId123" Target="http://www.jstor.org/stable/279544" TargetMode="External" /><Relationship Type="http://schemas.openxmlformats.org/officeDocument/2006/relationships/hyperlink" Id="rId121" Target="http://www.jstor.org/stable/2800797" TargetMode="External" /><Relationship Type="http://schemas.openxmlformats.org/officeDocument/2006/relationships/hyperlink" Id="rId195" Target="http://www.jstor.org/stable/40287092" TargetMode="External" /><Relationship Type="http://schemas.openxmlformats.org/officeDocument/2006/relationships/hyperlink" Id="rId197" Target="http://www.jstor.org/stable/40287096" TargetMode="External" /><Relationship Type="http://schemas.openxmlformats.org/officeDocument/2006/relationships/hyperlink" Id="rId69"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99"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101" Target="https://doi.org/10.1002/spe.4380211102" TargetMode="External" /><Relationship Type="http://schemas.openxmlformats.org/officeDocument/2006/relationships/hyperlink" Id="rId86" Target="https://doi.org/10.1007/978-1-4757-9945-3_4" TargetMode="External" /><Relationship Type="http://schemas.openxmlformats.org/officeDocument/2006/relationships/hyperlink" Id="rId73" Target="https://doi.org/10.1007/978-3-319-51726-1_3441-1" TargetMode="External" /><Relationship Type="http://schemas.openxmlformats.org/officeDocument/2006/relationships/hyperlink" Id="rId125" Target="https://doi.org/10.1007/978-981-13-8980-1_12" TargetMode="External" /><Relationship Type="http://schemas.openxmlformats.org/officeDocument/2006/relationships/hyperlink" Id="rId129" Target="https://doi.org/10.1007/s10814-013-9068-y" TargetMode="External" /><Relationship Type="http://schemas.openxmlformats.org/officeDocument/2006/relationships/hyperlink" Id="rId147" Target="https://doi.org/10.1007/s12520-018-0742-3" TargetMode="External" /><Relationship Type="http://schemas.openxmlformats.org/officeDocument/2006/relationships/hyperlink" Id="rId174" Target="https://doi.org/10.1016/B978-0-12-564750-2.50006-8" TargetMode="External" /><Relationship Type="http://schemas.openxmlformats.org/officeDocument/2006/relationships/hyperlink" Id="rId76" Target="https://doi.org/10.1016/B978-0-12-564750-2.50016-0" TargetMode="External" /><Relationship Type="http://schemas.openxmlformats.org/officeDocument/2006/relationships/hyperlink" Id="rId143" Target="https://doi.org/10.1016/B978-0-12-564750-2.50020-2" TargetMode="External" /><Relationship Type="http://schemas.openxmlformats.org/officeDocument/2006/relationships/hyperlink" Id="rId191" Target="https://doi.org/10.1016/j.evolhumbehav.2014.09.006" TargetMode="External" /><Relationship Type="http://schemas.openxmlformats.org/officeDocument/2006/relationships/hyperlink" Id="rId193" Target="https://doi.org/10.1016/j.evolhumbehav.2022.07.003" TargetMode="External" /><Relationship Type="http://schemas.openxmlformats.org/officeDocument/2006/relationships/hyperlink" Id="rId216" Target="https://doi.org/10.1016/j.jaa.2005.11.004" TargetMode="External" /><Relationship Type="http://schemas.openxmlformats.org/officeDocument/2006/relationships/hyperlink" Id="rId67" Target="https://doi.org/10.1016/j.jaa.2013.05.005" TargetMode="External" /><Relationship Type="http://schemas.openxmlformats.org/officeDocument/2006/relationships/hyperlink" Id="rId213" Target="https://doi.org/10.1016/j.jas.2005.11.017" TargetMode="External" /><Relationship Type="http://schemas.openxmlformats.org/officeDocument/2006/relationships/hyperlink" Id="rId204" Target="https://doi.org/10.1016/j.jas.2012.02.003" TargetMode="External" /><Relationship Type="http://schemas.openxmlformats.org/officeDocument/2006/relationships/hyperlink" Id="rId208" Target="https://doi.org/10.1016/j.jas.2015.05.003" TargetMode="External" /><Relationship Type="http://schemas.openxmlformats.org/officeDocument/2006/relationships/hyperlink" Id="rId107" Target="https://doi.org/10.1016/j.jasrep.2021.103118" TargetMode="External" /><Relationship Type="http://schemas.openxmlformats.org/officeDocument/2006/relationships/hyperlink" Id="rId167" Target="https://doi.org/10.1016/j.jasrep.2024.104798" TargetMode="External" /><Relationship Type="http://schemas.openxmlformats.org/officeDocument/2006/relationships/hyperlink" Id="rId61" Target="https://doi.org/10.1016/j.jhevol.2012.10.001" TargetMode="External" /><Relationship Type="http://schemas.openxmlformats.org/officeDocument/2006/relationships/hyperlink" Id="rId185" Target="https://doi.org/10.1016/j.quaint.2012.03.054" TargetMode="External" /><Relationship Type="http://schemas.openxmlformats.org/officeDocument/2006/relationships/hyperlink" Id="rId183" Target="https://doi.org/10.1016/j.quaint.2017.01.039" TargetMode="External" /><Relationship Type="http://schemas.openxmlformats.org/officeDocument/2006/relationships/hyperlink" Id="rId103" Target="https://doi.org/10.1016/j.quaint.2017.12.017" TargetMode="External" /><Relationship Type="http://schemas.openxmlformats.org/officeDocument/2006/relationships/hyperlink" Id="rId95" Target="https://doi.org/10.1016/j.quascirev.2009.11.015" TargetMode="External" /><Relationship Type="http://schemas.openxmlformats.org/officeDocument/2006/relationships/hyperlink" Id="rId111" Target="https://doi.org/10.1016/j.quascirev.2018.12.011" TargetMode="External" /><Relationship Type="http://schemas.openxmlformats.org/officeDocument/2006/relationships/hyperlink" Id="rId187" Target="https://doi.org/10.1016/j.quascirev.2021.106995" TargetMode="External" /><Relationship Type="http://schemas.openxmlformats.org/officeDocument/2006/relationships/hyperlink" Id="rId210" Target="https://doi.org/10.1017/CBO9780511558252.004" TargetMode="External" /><Relationship Type="http://schemas.openxmlformats.org/officeDocument/2006/relationships/hyperlink" Id="rId82" Target="https://doi.org/10.1017/RDC.2020.95" TargetMode="External" /><Relationship Type="http://schemas.openxmlformats.org/officeDocument/2006/relationships/hyperlink" Id="rId161" Target="https://doi.org/10.1017/S0079497X00006265" TargetMode="External" /><Relationship Type="http://schemas.openxmlformats.org/officeDocument/2006/relationships/hyperlink" Id="rId189" Target="https://doi.org/10.1038/s41467-024-51349-y" TargetMode="External" /><Relationship Type="http://schemas.openxmlformats.org/officeDocument/2006/relationships/hyperlink" Id="rId90" Target="https://doi.org/10.1038/s41597-020-00704-x" TargetMode="External" /><Relationship Type="http://schemas.openxmlformats.org/officeDocument/2006/relationships/hyperlink" Id="rId88" Target="https://doi.org/10.1073/pnas.1518798113" TargetMode="External" /><Relationship Type="http://schemas.openxmlformats.org/officeDocument/2006/relationships/hyperlink" Id="rId149" Target="https://doi.org/10.1086/701523" TargetMode="External" /><Relationship Type="http://schemas.openxmlformats.org/officeDocument/2006/relationships/hyperlink" Id="rId109" Target="https://doi.org/10.1093/oxfordhb/9780198854265.013.31" TargetMode="External" /><Relationship Type="http://schemas.openxmlformats.org/officeDocument/2006/relationships/hyperlink" Id="rId80" Target="https://doi.org/10.1098/rsif.2017.0171" TargetMode="External" /><Relationship Type="http://schemas.openxmlformats.org/officeDocument/2006/relationships/hyperlink" Id="rId97" Target="https://doi.org/10.1098/rstb.2009.0136" TargetMode="External" /><Relationship Type="http://schemas.openxmlformats.org/officeDocument/2006/relationships/hyperlink" Id="rId181" Target="https://doi.org/10.1098/rstb.2020.0318" TargetMode="External" /><Relationship Type="http://schemas.openxmlformats.org/officeDocument/2006/relationships/hyperlink" Id="rId71" Target="https://doi.org/10.1111/j.1502-3931.1988.tb01756.x" TargetMode="External" /><Relationship Type="http://schemas.openxmlformats.org/officeDocument/2006/relationships/hyperlink" Id="rId131" Target="https://doi.org/10.1111/tops.12762" TargetMode="External" /><Relationship Type="http://schemas.openxmlformats.org/officeDocument/2006/relationships/hyperlink" Id="rId155" Target="https://doi.org/10.1146/annurev-anthro-102116-041423" TargetMode="External" /><Relationship Type="http://schemas.openxmlformats.org/officeDocument/2006/relationships/hyperlink" Id="rId138" Target="https://doi.org/10.1177/0392192107076870" TargetMode="External" /><Relationship Type="http://schemas.openxmlformats.org/officeDocument/2006/relationships/hyperlink" Id="rId159" Target="https://doi.org/10.1179/sea.2010.29.1.013" TargetMode="External" /><Relationship Type="http://schemas.openxmlformats.org/officeDocument/2006/relationships/hyperlink" Id="rId117" Target="https://doi.org/10.1371/journal.pone.0102806" TargetMode="External" /><Relationship Type="http://schemas.openxmlformats.org/officeDocument/2006/relationships/hyperlink" Id="rId178" Target="https://doi.org/10.1371/journal.pone.0121166" TargetMode="External" /><Relationship Type="http://schemas.openxmlformats.org/officeDocument/2006/relationships/hyperlink" Id="rId127" Target="https://doi.org/10.1371/journal.pone.0265329" TargetMode="External" /><Relationship Type="http://schemas.openxmlformats.org/officeDocument/2006/relationships/hyperlink" Id="rId113" Target="https://doi.org/10.18637/jss.v025.i03" TargetMode="External" /><Relationship Type="http://schemas.openxmlformats.org/officeDocument/2006/relationships/hyperlink" Id="rId105" Target="https://doi.org/10.2307/2802103" TargetMode="External" /><Relationship Type="http://schemas.openxmlformats.org/officeDocument/2006/relationships/hyperlink" Id="rId136" Target="https://doi.org/10.2307/280511" TargetMode="External" /><Relationship Type="http://schemas.openxmlformats.org/officeDocument/2006/relationships/hyperlink" Id="rId176" Target="https://doi.org/10.2307/3034956" TargetMode="External" /><Relationship Type="http://schemas.openxmlformats.org/officeDocument/2006/relationships/hyperlink" Id="rId151" Target="https://doi.org/10.2307/j.ctv24q4z2g.5" TargetMode="External" /><Relationship Type="http://schemas.openxmlformats.org/officeDocument/2006/relationships/hyperlink" Id="rId119" Target="https://doi.org/10.2307/j.ctvdmwwz4.10" TargetMode="External" /><Relationship Type="http://schemas.openxmlformats.org/officeDocument/2006/relationships/hyperlink" Id="rId145" Target="https://doi.org/10.2307/j.ctvdmwwz4.7" TargetMode="External" /><Relationship Type="http://schemas.openxmlformats.org/officeDocument/2006/relationships/hyperlink" Id="rId134" Target="https://doi.org/10.3213/2191-5784-10243" TargetMode="External" /><Relationship Type="http://schemas.openxmlformats.org/officeDocument/2006/relationships/hyperlink" Id="rId165" Target="https://doi.org/10.32614/CRAN.package.vegan" TargetMode="External" /><Relationship Type="http://schemas.openxmlformats.org/officeDocument/2006/relationships/hyperlink" Id="rId172" Target="https://doi.org/10.3828/hgr.2023.12" TargetMode="External" /><Relationship Type="http://schemas.openxmlformats.org/officeDocument/2006/relationships/hyperlink" Id="rId202" Target="https://doi.org/10.4000/palethnologie.4945" TargetMode="External" /><Relationship Type="http://schemas.openxmlformats.org/officeDocument/2006/relationships/hyperlink" Id="rId206" Target="https://doi.org/10.4000/palethnologie.706" TargetMode="External" /><Relationship Type="http://schemas.openxmlformats.org/officeDocument/2006/relationships/hyperlink" Id="rId99" Target="https://doi.org/10.5281/zenodo.15397990" TargetMode="External" /><Relationship Type="http://schemas.openxmlformats.org/officeDocument/2006/relationships/hyperlink" Id="rId84" Target="https://igraph.org" TargetMode="External" /><Relationship Type="http://schemas.openxmlformats.org/officeDocument/2006/relationships/hyperlink" Id="rId170" Target="https://statnet.org" TargetMode="External" /><Relationship Type="http://schemas.openxmlformats.org/officeDocument/2006/relationships/hyperlink" Id="rId163" Target="https://www.proquest.com/dissertations-theses/exchange-embedded-procurement-hunter-gatherer/docview/1026968975/se-2?accountid=147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2025-06-02T20:57:09Z</dcterms:created>
  <dcterms:modified xsi:type="dcterms:W3CDTF">2025-06-02T20:57:09Z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