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3,</w:t>
      </w:r>
      <w:r>
        <w:t xml:space="preserve"> </w:t>
      </w:r>
      <w:r>
        <w:t xml:space="preserve">2026</w:t>
      </w:r>
    </w:p>
    <w:p>
      <w:pPr>
        <w:pStyle w:val="AbstractTitle"/>
      </w:pPr>
      <w:r>
        <w:t xml:space="preserve">Abstract</w:t>
      </w:r>
    </w:p>
    <w:p>
      <w:pPr>
        <w:pStyle w:val="Abstract"/>
      </w:pPr>
      <w:r>
        <w:t xml:space="preserve">The</w:t>
      </w:r>
      <w:r>
        <w:t xml:space="preserve"> </w:t>
      </w:r>
      <w:r>
        <w:t xml:space="preserve">Aurignacian</w:t>
      </w:r>
      <w:r>
        <w:t xml:space="preserve"> </w:t>
      </w:r>
      <w:r>
        <w:t xml:space="preserve">technocomplex</w:t>
      </w:r>
      <w:r>
        <w:t xml:space="preserve"> </w:t>
      </w:r>
      <w:r>
        <w:t xml:space="preserve">(ca.</w:t>
      </w:r>
      <w:r>
        <w:t xml:space="preserve"> </w:t>
      </w:r>
      <w:r>
        <w:t xml:space="preserve">43–30</w:t>
      </w:r>
      <w:r>
        <w:t xml:space="preserve"> </w:t>
      </w:r>
      <w:r>
        <w:t xml:space="preserve">ka</w:t>
      </w:r>
      <w:r>
        <w:t xml:space="preserve"> </w:t>
      </w:r>
      <w:r>
        <w:t xml:space="preserve">BP)</w:t>
      </w:r>
      <w:r>
        <w:t xml:space="preserve"> </w:t>
      </w:r>
      <w:r>
        <w:t xml:space="preserve">marks</w:t>
      </w:r>
      <w:r>
        <w:t xml:space="preserve"> </w:t>
      </w:r>
      <w:r>
        <w:t xml:space="preserve">a</w:t>
      </w:r>
      <w:r>
        <w:t xml:space="preserve"> </w:t>
      </w:r>
      <w:r>
        <w:t xml:space="preserve">pivotal</w:t>
      </w:r>
      <w:r>
        <w:t xml:space="preserve"> </w:t>
      </w:r>
      <w:r>
        <w:t xml:space="preserve">expansion</w:t>
      </w:r>
      <w:r>
        <w:t xml:space="preserve"> </w:t>
      </w:r>
      <w:r>
        <w:t xml:space="preserve">of</w:t>
      </w:r>
      <w:r>
        <w:t xml:space="preserve"> </w:t>
      </w:r>
      <w:r>
        <w:rPr>
          <w:iCs/>
          <w:i/>
        </w:rPr>
        <w:t xml:space="preserve">Homo</w:t>
      </w:r>
      <w:r>
        <w:rPr>
          <w:iCs/>
          <w:i/>
        </w:rPr>
        <w:t xml:space="preserve"> </w:t>
      </w:r>
      <w:r>
        <w:rPr>
          <w:iCs/>
          <w:i/>
        </w:rPr>
        <w:t xml:space="preserve">sapiens</w:t>
      </w:r>
      <w:r>
        <w:t xml:space="preserve"> </w:t>
      </w:r>
      <w:r>
        <w:t xml:space="preserve">into</w:t>
      </w:r>
      <w:r>
        <w:t xml:space="preserve"> </w:t>
      </w:r>
      <w:r>
        <w:t xml:space="preserve">Western</w:t>
      </w:r>
      <w:r>
        <w:t xml:space="preserve"> </w:t>
      </w:r>
      <w:r>
        <w:t xml:space="preserve">Eurasia,</w:t>
      </w:r>
      <w:r>
        <w:t xml:space="preserve"> </w:t>
      </w:r>
      <w:r>
        <w:t xml:space="preserve">yet</w:t>
      </w:r>
      <w:r>
        <w:t xml:space="preserve"> </w:t>
      </w:r>
      <w:r>
        <w:t xml:space="preserve">the</w:t>
      </w:r>
      <w:r>
        <w:t xml:space="preserve"> </w:t>
      </w:r>
      <w:r>
        <w:t xml:space="preserve">evolution</w:t>
      </w:r>
      <w:r>
        <w:t xml:space="preserve"> </w:t>
      </w:r>
      <w:r>
        <w:t xml:space="preserve">of</w:t>
      </w:r>
      <w:r>
        <w:t xml:space="preserve"> </w:t>
      </w:r>
      <w:r>
        <w:t xml:space="preserve">social</w:t>
      </w:r>
      <w:r>
        <w:t xml:space="preserve"> </w:t>
      </w:r>
      <w:r>
        <w:t xml:space="preserve">organization</w:t>
      </w:r>
      <w:r>
        <w:t xml:space="preserve"> </w:t>
      </w:r>
      <w:r>
        <w:t xml:space="preserve">during</w:t>
      </w:r>
      <w:r>
        <w:t xml:space="preserve"> </w:t>
      </w:r>
      <w:r>
        <w:t xml:space="preserve">this</w:t>
      </w:r>
      <w:r>
        <w:t xml:space="preserve"> </w:t>
      </w:r>
      <w:r>
        <w:t xml:space="preserve">transition</w:t>
      </w:r>
      <w:r>
        <w:t xml:space="preserve"> </w:t>
      </w:r>
      <w:r>
        <w:t xml:space="preserve">remains</w:t>
      </w:r>
      <w:r>
        <w:t xml:space="preserve"> </w:t>
      </w:r>
      <w:r>
        <w:t xml:space="preserve">debated.</w:t>
      </w:r>
      <w:r>
        <w:t xml:space="preserve"> </w:t>
      </w:r>
      <w:r>
        <w:t xml:space="preserve">Here</w:t>
      </w:r>
      <w:r>
        <w:t xml:space="preserve"> </w:t>
      </w:r>
      <w:r>
        <w:t xml:space="preserve">we</w:t>
      </w:r>
      <w:r>
        <w:t xml:space="preserve"> </w:t>
      </w:r>
      <w:r>
        <w:t xml:space="preserve">investigate</w:t>
      </w:r>
      <w:r>
        <w:t xml:space="preserve"> </w:t>
      </w:r>
      <w:r>
        <w:t xml:space="preserve">social</w:t>
      </w:r>
      <w:r>
        <w:t xml:space="preserve"> </w:t>
      </w:r>
      <w:r>
        <w:t xml:space="preserve">dynamics</w:t>
      </w:r>
      <w:r>
        <w:t xml:space="preserve"> </w:t>
      </w:r>
      <w:r>
        <w:t xml:space="preserve">through</w:t>
      </w:r>
      <w:r>
        <w:t xml:space="preserve"> </w:t>
      </w:r>
      <w:r>
        <w:t xml:space="preserve">the</w:t>
      </w:r>
      <w:r>
        <w:t xml:space="preserve"> </w:t>
      </w:r>
      <w:r>
        <w:t xml:space="preserve">analysis</w:t>
      </w:r>
      <w:r>
        <w:t xml:space="preserve"> </w:t>
      </w:r>
      <w:r>
        <w:t xml:space="preserve">of</w:t>
      </w:r>
      <w:r>
        <w:t xml:space="preserve"> </w:t>
      </w:r>
      <w:r>
        <w:t xml:space="preserve">geometric</w:t>
      </w:r>
      <w:r>
        <w:t xml:space="preserve"> </w:t>
      </w:r>
      <w:r>
        <w:t xml:space="preserve">signs</w:t>
      </w:r>
      <w:r>
        <w:t xml:space="preserve"> </w:t>
      </w:r>
      <w:r>
        <w:t xml:space="preserve">on</w:t>
      </w:r>
      <w:r>
        <w:t xml:space="preserve"> </w:t>
      </w:r>
      <w:r>
        <w:t xml:space="preserve">mobile</w:t>
      </w:r>
      <w:r>
        <w:t xml:space="preserve"> </w:t>
      </w:r>
      <w:r>
        <w:t xml:space="preserve">objects</w:t>
      </w:r>
      <w:r>
        <w:t xml:space="preserve"> </w:t>
      </w:r>
      <w:r>
        <w:t xml:space="preserve">across</w:t>
      </w:r>
      <w:r>
        <w:t xml:space="preserve"> </w:t>
      </w:r>
      <w:r>
        <w:t xml:space="preserve">three</w:t>
      </w:r>
      <w:r>
        <w:t xml:space="preserve"> </w:t>
      </w:r>
      <w:r>
        <w:t xml:space="preserve">chronological</w:t>
      </w:r>
      <w:r>
        <w:t xml:space="preserve"> </w:t>
      </w:r>
      <w:r>
        <w:t xml:space="preserve">phases.</w:t>
      </w:r>
      <w:r>
        <w:t xml:space="preserve"> </w:t>
      </w:r>
      <w:r>
        <w:t xml:space="preserve">Using</w:t>
      </w:r>
      <w:r>
        <w:t xml:space="preserve"> </w:t>
      </w:r>
      <w:r>
        <w:t xml:space="preserve">seriation</w:t>
      </w:r>
      <w:r>
        <w:t xml:space="preserve"> </w:t>
      </w:r>
      <w:r>
        <w:t xml:space="preserve">and</w:t>
      </w:r>
      <w:r>
        <w:t xml:space="preserve"> </w:t>
      </w:r>
      <w:r>
        <w:t xml:space="preserve">network</w:t>
      </w:r>
      <w:r>
        <w:t xml:space="preserve"> </w:t>
      </w:r>
      <w:r>
        <w:t xml:space="preserve">analysis,</w:t>
      </w:r>
      <w:r>
        <w:t xml:space="preserve"> </w:t>
      </w:r>
      <w:r>
        <w:t xml:space="preserve">we</w:t>
      </w:r>
      <w:r>
        <w:t xml:space="preserve"> </w:t>
      </w:r>
      <w:r>
        <w:t xml:space="preserve">investigate</w:t>
      </w:r>
      <w:r>
        <w:t xml:space="preserve"> </w:t>
      </w:r>
      <w:r>
        <w:t xml:space="preserve">the</w:t>
      </w:r>
      <w:r>
        <w:t xml:space="preserve"> </w:t>
      </w:r>
      <w:r>
        <w:t xml:space="preserve">potential</w:t>
      </w:r>
      <w:r>
        <w:t xml:space="preserve"> </w:t>
      </w:r>
      <w:r>
        <w:t xml:space="preserve">for</w:t>
      </w:r>
      <w:r>
        <w:t xml:space="preserve"> </w:t>
      </w:r>
      <w:r>
        <w:t xml:space="preserve">sign</w:t>
      </w:r>
      <w:r>
        <w:t xml:space="preserve"> </w:t>
      </w:r>
      <w:r>
        <w:t xml:space="preserve">distribution</w:t>
      </w:r>
      <w:r>
        <w:t xml:space="preserve"> </w:t>
      </w:r>
      <w:r>
        <w:t xml:space="preserve">to</w:t>
      </w:r>
      <w:r>
        <w:t xml:space="preserve"> </w:t>
      </w:r>
      <w:r>
        <w:t xml:space="preserve">reflect</w:t>
      </w:r>
      <w:r>
        <w:t xml:space="preserve"> </w:t>
      </w:r>
      <w:r>
        <w:t xml:space="preserve">cultural</w:t>
      </w:r>
      <w:r>
        <w:t xml:space="preserve"> </w:t>
      </w:r>
      <w:r>
        <w:t xml:space="preserve">grouping</w:t>
      </w:r>
      <w:r>
        <w:t xml:space="preserve"> </w:t>
      </w:r>
      <w:r>
        <w:t xml:space="preserve">rather</w:t>
      </w:r>
      <w:r>
        <w:t xml:space="preserve"> </w:t>
      </w:r>
      <w:r>
        <w:t xml:space="preserve">than</w:t>
      </w:r>
      <w:r>
        <w:t xml:space="preserve"> </w:t>
      </w:r>
      <w:r>
        <w:t xml:space="preserve">geographic</w:t>
      </w:r>
      <w:r>
        <w:t xml:space="preserve"> </w:t>
      </w:r>
      <w:r>
        <w:t xml:space="preserve">isolation.</w:t>
      </w:r>
      <w:r>
        <w:t xml:space="preserve"> </w:t>
      </w:r>
      <w:r>
        <w:t xml:space="preserve">We</w:t>
      </w:r>
      <w:r>
        <w:t xml:space="preserve"> </w:t>
      </w:r>
      <w:r>
        <w:t xml:space="preserve">find</w:t>
      </w:r>
      <w:r>
        <w:t xml:space="preserve"> </w:t>
      </w:r>
      <w:r>
        <w:t xml:space="preserve">that</w:t>
      </w:r>
      <w:r>
        <w:t xml:space="preserve"> </w:t>
      </w:r>
      <w:r>
        <w:t xml:space="preserve">the</w:t>
      </w:r>
      <w:r>
        <w:t xml:space="preserve"> </w:t>
      </w:r>
      <w:r>
        <w:t xml:space="preserve">Proto-Aurignacian</w:t>
      </w:r>
      <w:r>
        <w:t xml:space="preserve"> </w:t>
      </w:r>
      <w:r>
        <w:t xml:space="preserve">was</w:t>
      </w:r>
      <w:r>
        <w:t xml:space="preserve"> </w:t>
      </w:r>
      <w:r>
        <w:t xml:space="preserve">characterised</w:t>
      </w:r>
      <w:r>
        <w:t xml:space="preserve"> </w:t>
      </w:r>
      <w:r>
        <w:t xml:space="preserve">by</w:t>
      </w:r>
      <w:r>
        <w:t xml:space="preserve"> </w:t>
      </w:r>
      <w:r>
        <w:t xml:space="preserve">the</w:t>
      </w:r>
      <w:r>
        <w:t xml:space="preserve"> </w:t>
      </w:r>
      <w:r>
        <w:t xml:space="preserve">densest</w:t>
      </w:r>
      <w:r>
        <w:t xml:space="preserve"> </w:t>
      </w:r>
      <w:r>
        <w:t xml:space="preserve">network</w:t>
      </w:r>
      <w:r>
        <w:t xml:space="preserve"> </w:t>
      </w:r>
      <w:r>
        <w:t xml:space="preserve">of</w:t>
      </w:r>
      <w:r>
        <w:t xml:space="preserve"> </w:t>
      </w:r>
      <w:r>
        <w:t xml:space="preserve">social</w:t>
      </w:r>
      <w:r>
        <w:t xml:space="preserve"> </w:t>
      </w:r>
      <w:r>
        <w:t xml:space="preserve">connections,</w:t>
      </w:r>
      <w:r>
        <w:t xml:space="preserve"> </w:t>
      </w:r>
      <w:r>
        <w:t xml:space="preserve">with</w:t>
      </w:r>
      <w:r>
        <w:t xml:space="preserve"> </w:t>
      </w:r>
      <w:r>
        <w:t xml:space="preserve">a</w:t>
      </w:r>
      <w:r>
        <w:t xml:space="preserve"> </w:t>
      </w:r>
      <w:r>
        <w:t xml:space="preserve">hub</w:t>
      </w:r>
      <w:r>
        <w:t xml:space="preserve"> </w:t>
      </w:r>
      <w:r>
        <w:t xml:space="preserve">structure</w:t>
      </w:r>
      <w:r>
        <w:t xml:space="preserve"> </w:t>
      </w:r>
      <w:r>
        <w:t xml:space="preserve">centred</w:t>
      </w:r>
      <w:r>
        <w:t xml:space="preserve"> </w:t>
      </w:r>
      <w:r>
        <w:t xml:space="preserve">on</w:t>
      </w:r>
      <w:r>
        <w:t xml:space="preserve"> </w:t>
      </w:r>
      <w:r>
        <w:t xml:space="preserve">key</w:t>
      </w:r>
      <w:r>
        <w:t xml:space="preserve"> </w:t>
      </w:r>
      <w:r>
        <w:t xml:space="preserve">sites,</w:t>
      </w:r>
      <w:r>
        <w:t xml:space="preserve"> </w:t>
      </w:r>
      <w:r>
        <w:t xml:space="preserve">while</w:t>
      </w:r>
      <w:r>
        <w:t xml:space="preserve"> </w:t>
      </w:r>
      <w:r>
        <w:t xml:space="preserve">subsequent</w:t>
      </w:r>
      <w:r>
        <w:t xml:space="preserve"> </w:t>
      </w:r>
      <w:r>
        <w:t xml:space="preserve">phases</w:t>
      </w:r>
      <w:r>
        <w:t xml:space="preserve"> </w:t>
      </w:r>
      <w:r>
        <w:t xml:space="preserve">show</w:t>
      </w:r>
      <w:r>
        <w:t xml:space="preserve"> </w:t>
      </w:r>
      <w:r>
        <w:t xml:space="preserve">progressively</w:t>
      </w:r>
      <w:r>
        <w:t xml:space="preserve"> </w:t>
      </w:r>
      <w:r>
        <w:t xml:space="preserve">reduced</w:t>
      </w:r>
      <w:r>
        <w:t xml:space="preserve"> </w:t>
      </w:r>
      <w:r>
        <w:t xml:space="preserve">connectivity</w:t>
      </w:r>
      <w:r>
        <w:t xml:space="preserve"> </w:t>
      </w:r>
      <w:r>
        <w:t xml:space="preserve">and</w:t>
      </w:r>
      <w:r>
        <w:t xml:space="preserve"> </w:t>
      </w:r>
      <w:r>
        <w:t xml:space="preserve">more</w:t>
      </w:r>
      <w:r>
        <w:t xml:space="preserve"> </w:t>
      </w:r>
      <w:r>
        <w:t xml:space="preserve">localised</w:t>
      </w:r>
      <w:r>
        <w:t xml:space="preserve"> </w:t>
      </w:r>
      <w:r>
        <w:t xml:space="preserve">interaction.</w:t>
      </w:r>
      <w:r>
        <w:t xml:space="preserve"> </w:t>
      </w:r>
      <w:r>
        <w:t xml:space="preserve">Conversely,</w:t>
      </w:r>
      <w:r>
        <w:t xml:space="preserve"> </w:t>
      </w:r>
      <w:r>
        <w:t xml:space="preserve">Mantel</w:t>
      </w:r>
      <w:r>
        <w:t xml:space="preserve"> </w:t>
      </w:r>
      <w:r>
        <w:t xml:space="preserve">tests</w:t>
      </w:r>
      <w:r>
        <w:t xml:space="preserve"> </w:t>
      </w:r>
      <w:r>
        <w:t xml:space="preserve">indicate</w:t>
      </w:r>
      <w:r>
        <w:t xml:space="preserve"> </w:t>
      </w:r>
      <w:r>
        <w:t xml:space="preserve">that</w:t>
      </w:r>
      <w:r>
        <w:t xml:space="preserve"> </w:t>
      </w:r>
      <w:r>
        <w:t xml:space="preserve">geographic</w:t>
      </w:r>
      <w:r>
        <w:t xml:space="preserve"> </w:t>
      </w:r>
      <w:r>
        <w:t xml:space="preserve">distance</w:t>
      </w:r>
      <w:r>
        <w:t xml:space="preserve"> </w:t>
      </w:r>
      <w:r>
        <w:t xml:space="preserve">alone</w:t>
      </w:r>
      <w:r>
        <w:t xml:space="preserve"> </w:t>
      </w:r>
      <w:r>
        <w:t xml:space="preserve">does</w:t>
      </w:r>
      <w:r>
        <w:t xml:space="preserve"> </w:t>
      </w:r>
      <w:r>
        <w:t xml:space="preserve">not</w:t>
      </w:r>
      <w:r>
        <w:t xml:space="preserve"> </w:t>
      </w:r>
      <w:r>
        <w:t xml:space="preserve">account</w:t>
      </w:r>
      <w:r>
        <w:t xml:space="preserve"> </w:t>
      </w:r>
      <w:r>
        <w:t xml:space="preserve">for</w:t>
      </w:r>
      <w:r>
        <w:t xml:space="preserve"> </w:t>
      </w:r>
      <w:r>
        <w:t xml:space="preserve">the</w:t>
      </w:r>
      <w:r>
        <w:t xml:space="preserve"> </w:t>
      </w:r>
      <w:r>
        <w:t xml:space="preserve">observed</w:t>
      </w:r>
      <w:r>
        <w:t xml:space="preserve"> </w:t>
      </w:r>
      <w:r>
        <w:t xml:space="preserve">patterns,</w:t>
      </w:r>
      <w:r>
        <w:t xml:space="preserve"> </w:t>
      </w:r>
      <w:r>
        <w:t xml:space="preserve">suggesting</w:t>
      </w:r>
      <w:r>
        <w:t xml:space="preserve"> </w:t>
      </w:r>
      <w:r>
        <w:t xml:space="preserve">social</w:t>
      </w:r>
      <w:r>
        <w:t xml:space="preserve"> </w:t>
      </w:r>
      <w:r>
        <w:t xml:space="preserve">processes</w:t>
      </w:r>
      <w:r>
        <w:t xml:space="preserve"> </w:t>
      </w:r>
      <w:r>
        <w:t xml:space="preserve">beyond</w:t>
      </w:r>
      <w:r>
        <w:t xml:space="preserve"> </w:t>
      </w:r>
      <w:r>
        <w:t xml:space="preserve">spatial</w:t>
      </w:r>
      <w:r>
        <w:t xml:space="preserve"> </w:t>
      </w:r>
      <w:r>
        <w:t xml:space="preserve">proximity</w:t>
      </w:r>
      <w:r>
        <w:t xml:space="preserve"> </w:t>
      </w:r>
      <w:r>
        <w:t xml:space="preserve">shaped</w:t>
      </w:r>
      <w:r>
        <w:t xml:space="preserve"> </w:t>
      </w:r>
      <w:r>
        <w:t xml:space="preserve">sign</w:t>
      </w:r>
      <w:r>
        <w:t xml:space="preserve"> </w:t>
      </w:r>
      <w:r>
        <w:t xml:space="preserve">distribution.</w:t>
      </w:r>
      <w:r>
        <w:t xml:space="preserve"> </w:t>
      </w:r>
      <w:r>
        <w:t xml:space="preserve">These</w:t>
      </w:r>
      <w:r>
        <w:t xml:space="preserve"> </w:t>
      </w:r>
      <w:r>
        <w:t xml:space="preserve">results</w:t>
      </w:r>
      <w:r>
        <w:t xml:space="preserve"> </w:t>
      </w:r>
      <w:r>
        <w:t xml:space="preserve">push</w:t>
      </w:r>
      <w:r>
        <w:t xml:space="preserve"> </w:t>
      </w:r>
      <w:r>
        <w:t xml:space="preserve">back</w:t>
      </w:r>
      <w:r>
        <w:t xml:space="preserve"> </w:t>
      </w:r>
      <w:r>
        <w:t xml:space="preserve">the</w:t>
      </w:r>
      <w:r>
        <w:t xml:space="preserve"> </w:t>
      </w:r>
      <w:r>
        <w:t xml:space="preserve">emergence</w:t>
      </w:r>
      <w:r>
        <w:t xml:space="preserve"> </w:t>
      </w:r>
      <w:r>
        <w:t xml:space="preserve">of</w:t>
      </w:r>
      <w:r>
        <w:t xml:space="preserve"> </w:t>
      </w:r>
      <w:r>
        <w:t xml:space="preserve">complex</w:t>
      </w:r>
      <w:r>
        <w:t xml:space="preserve"> </w:t>
      </w:r>
      <w:r>
        <w:t xml:space="preserve">inter-group</w:t>
      </w:r>
      <w:r>
        <w:t xml:space="preserve"> </w:t>
      </w:r>
      <w:r>
        <w:t xml:space="preserve">social</w:t>
      </w:r>
      <w:r>
        <w:t xml:space="preserve"> </w:t>
      </w:r>
      <w:r>
        <w:t xml:space="preserve">networks</w:t>
      </w:r>
      <w:r>
        <w:t xml:space="preserve"> </w:t>
      </w:r>
      <w:r>
        <w:t xml:space="preserve">to</w:t>
      </w:r>
      <w:r>
        <w:t xml:space="preserve"> </w:t>
      </w:r>
      <w:r>
        <w:t xml:space="preserve">approximately</w:t>
      </w:r>
      <w:r>
        <w:t xml:space="preserve"> </w:t>
      </w:r>
      <w:r>
        <w:t xml:space="preserve">41</w:t>
      </w:r>
      <w:r>
        <w:t xml:space="preserve"> </w:t>
      </w:r>
      <w:r>
        <w:t xml:space="preserve">ka</w:t>
      </w:r>
      <w:r>
        <w:t xml:space="preserve"> </w:t>
      </w:r>
      <w:r>
        <w:t xml:space="preserve">BP,</w:t>
      </w:r>
      <w:r>
        <w:t xml:space="preserve"> </w:t>
      </w:r>
      <w:r>
        <w:t xml:space="preserve">earlier</w:t>
      </w:r>
      <w:r>
        <w:t xml:space="preserve"> </w:t>
      </w:r>
      <w:r>
        <w:t xml:space="preserve">than</w:t>
      </w:r>
      <w:r>
        <w:t xml:space="preserve"> </w:t>
      </w:r>
      <w:r>
        <w:t xml:space="preserve">previously</w:t>
      </w:r>
      <w:r>
        <w:t xml:space="preserve"> </w:t>
      </w:r>
      <w:r>
        <w:t xml:space="preserve">proposed,</w:t>
      </w:r>
      <w:r>
        <w:t xml:space="preserve"> </w:t>
      </w:r>
      <w:r>
        <w:t xml:space="preserve">supporting</w:t>
      </w:r>
      <w:r>
        <w:t xml:space="preserve"> </w:t>
      </w:r>
      <w:r>
        <w:t xml:space="preserve">hypotheses</w:t>
      </w:r>
      <w:r>
        <w:t xml:space="preserve"> </w:t>
      </w:r>
      <w:r>
        <w:t xml:space="preserve">that</w:t>
      </w:r>
      <w:r>
        <w:t xml:space="preserve"> </w:t>
      </w:r>
      <w:r>
        <w:t xml:space="preserve">geometric</w:t>
      </w:r>
      <w:r>
        <w:t xml:space="preserve"> </w:t>
      </w:r>
      <w:r>
        <w:t xml:space="preserve">signs</w:t>
      </w:r>
      <w:r>
        <w:t xml:space="preserve"> </w:t>
      </w:r>
      <w:r>
        <w:t xml:space="preserve">may</w:t>
      </w:r>
      <w:r>
        <w:t xml:space="preserve"> </w:t>
      </w:r>
      <w:r>
        <w:t xml:space="preserve">have</w:t>
      </w:r>
      <w:r>
        <w:t xml:space="preserve"> </w:t>
      </w:r>
      <w:r>
        <w:t xml:space="preserve">functioned</w:t>
      </w:r>
      <w:r>
        <w:t xml:space="preserve"> </w:t>
      </w:r>
      <w:r>
        <w:t xml:space="preserve">as</w:t>
      </w:r>
      <w:r>
        <w:t xml:space="preserve"> </w:t>
      </w:r>
      <w:r>
        <w:t xml:space="preserve">information</w:t>
      </w:r>
      <w:r>
        <w:t xml:space="preserve"> </w:t>
      </w:r>
      <w:r>
        <w:t xml:space="preserve">technologies</w:t>
      </w:r>
      <w:r>
        <w:t xml:space="preserve"> </w:t>
      </w:r>
      <w:r>
        <w:t xml:space="preserve">to</w:t>
      </w:r>
      <w:r>
        <w:t xml:space="preserve"> </w:t>
      </w:r>
      <w:r>
        <w:t xml:space="preserve">navigate</w:t>
      </w:r>
      <w:r>
        <w:t xml:space="preserve"> </w:t>
      </w:r>
      <w:r>
        <w:t xml:space="preserve">environmental</w:t>
      </w:r>
      <w:r>
        <w:t xml:space="preserve"> </w:t>
      </w:r>
      <w:r>
        <w:t xml:space="preserve">instability</w:t>
      </w:r>
      <w:r>
        <w:t xml:space="preserve"> </w:t>
      </w:r>
      <w:r>
        <w:t xml:space="preserve">and</w:t>
      </w:r>
      <w:r>
        <w:t xml:space="preserve"> </w:t>
      </w:r>
      <w:r>
        <w:t xml:space="preserve">demographic</w:t>
      </w:r>
      <w:r>
        <w:t xml:space="preserve"> </w:t>
      </w:r>
      <w:r>
        <w:t xml:space="preserve">expansion.</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43 - 30 ka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We investigated human social organization dynamics implied by the distribution and variation of geometric sign types found on mobile objects in Europe across three phases of the Aurignacian period.</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[11]</w:t>
      </w:r>
      <w:r>
        <w:t xml:space="preserve">. Periodization of the Aurignacian is complicated by regional variation with phases starting and ending at different times</w:t>
      </w:r>
      <w:r>
        <w:t xml:space="preserve"> </w:t>
      </w:r>
      <w:r>
        <w:t xml:space="preserve">[12,13]</w:t>
      </w:r>
      <w:r>
        <w:t xml:space="preserve">, and a lack of compositional integrity over time</w:t>
      </w:r>
      <w:r>
        <w:t xml:space="preserve"> </w:t>
      </w:r>
      <w:r>
        <w:t xml:space="preserve">[14]</w:t>
      </w:r>
      <w:r>
        <w:t xml:space="preserve">, with supposed index fossils persisting through multiple phases</w:t>
      </w:r>
      <w:r>
        <w:t xml:space="preserve"> </w:t>
      </w:r>
      <w:r>
        <w:t xml:space="preserve">[15]</w:t>
      </w:r>
      <w:r>
        <w:t xml:space="preserve">. While earlier work on the Aquitaine/Périgord sequences proposed as many as five phases</w:t>
      </w:r>
      <w:r>
        <w:t xml:space="preserve"> </w:t>
      </w:r>
      <w:r>
        <w:t xml:space="preserve">[16]</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[17]</w:t>
      </w:r>
      <w:r>
        <w:t xml:space="preserve">. For example,</w:t>
      </w:r>
      <w:r>
        <w:t xml:space="preserve"> </w:t>
      </w:r>
      <w:r>
        <w:t xml:space="preserve">[18]</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w:t>
      </w:r>
      <w:r>
        <w:t xml:space="preserve"> </w:t>
      </w:r>
      <w:r>
        <w:t xml:space="preserve">[19]</w:t>
      </w:r>
      <w:r>
        <w:t xml:space="preserve">.</w:t>
      </w:r>
      <w:r>
        <w:t xml:space="preserve"> </w:t>
      </w:r>
      <w:r>
        <w:t xml:space="preserve">[20]</w:t>
      </w:r>
      <w:r>
        <w:t xml:space="preserve"> </w:t>
      </w:r>
      <w:r>
        <w:t xml:space="preserve">used Bayesian modeling methods to estimate the timing of the transition between the Proto and Early Aurignacian, placing the Proto-Aurignacian at 41.5 - 39.9 ka BP, and the early Aurignacian at 39.8 - 37.8 ka BP. They found that the Proto-Aurignacian occurs during the Greenland Interstadials (GI) 9 and 10, periods of climatic amelioration, while the Early Aurignacian began with the Henrich Stadial, which is characterized by dry and arid conditions, and ends with GI 8. The chronological and technological distinctness of the Proto and Early Aurignacian has been questioned, with some analyses suggesting they may represent coexisting facies rather than successive phases</w:t>
      </w:r>
      <w:r>
        <w:t xml:space="preserve"> </w:t>
      </w:r>
      <w:r>
        <w:t xml:space="preserve">[21]</w:t>
      </w:r>
      <w:r>
        <w:t xml:space="preserve">.</w:t>
      </w:r>
    </w:p>
    <w:p>
      <w:pPr>
        <w:pStyle w:val="BodyText"/>
      </w:pPr>
      <w:r>
        <w:t xml:space="preserve">We adopt a three-phase framework (Proto-Aurignacian, Early Aurignacian, Evolved/Late Aurignacian) as a first-order chronological scaffold</w:t>
      </w:r>
      <w:r>
        <w:t xml:space="preserve"> </w:t>
      </w:r>
      <w:hyperlink w:anchor="tbl-aur-table">
        <w:r>
          <w:rPr>
            <w:rStyle w:val="Hyperlink"/>
          </w:rPr>
          <w:t xml:space="preserve">Table 1</w:t>
        </w:r>
      </w:hyperlink>
      <w:r>
        <w:t xml:space="preserve">. This scheme preserves the two transitions of greatest relevance to our research question: the Proto to Early boundary, which broadly corresponds to the shift from initial dispersal to established populations, and the Early to Evolved/Late boundary, which coincides with the onset of pronounced regional diversification in material culture. We acknowledge that these phases are analytical conveniences rather than discrete cultural entities</w:t>
      </w:r>
      <w:r>
        <w:t xml:space="preserve"> </w:t>
      </w:r>
      <w:r>
        <w:t xml:space="preserve">[14,17]</w:t>
      </w:r>
      <w:r>
        <w:t xml:space="preserve">, and we test the sensitivity of our results to alternative periodisations (two-phase:</w:t>
      </w:r>
      <w:r>
        <w:t xml:space="preserve"> </w:t>
      </w:r>
      <w:r>
        <w:t xml:space="preserve">[18]</w:t>
      </w:r>
      <w:r>
        <w:t xml:space="preserve">; four-phase: Evolved/Late split; Supplement S4), including boundary-shift analyses that perturb the Proto/Early and Early/Evolved thresholds by ±500 and ±1000 years (Supplement S5.5). Phase assignments follow published site attributions, translated from legacy Périgord terminology where necessary.</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337"/>
              <w:gridCol w:w="229"/>
              <w:gridCol w:w="6717"/>
              <w:gridCol w:w="635"/>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Protoaurignacian</w:t>
                  </w:r>
                </w:p>
              </w:tc>
              <w:tc>
                <w:tcPr/>
                <w:p>
                  <w:pPr>
                    <w:pStyle w:val="Compact"/>
                    <w:jc w:val="left"/>
                    <w:jc w:val="center"/>
                  </w:pPr>
                  <w:r>
                    <w:t xml:space="preserve">43 - 39.8</w:t>
                  </w:r>
                </w:p>
              </w:tc>
              <w:tc>
                <w:tcPr/>
                <w:p>
                  <w:pPr>
                    <w:pStyle w:val="Compact"/>
                    <w:jc w:val="left"/>
                    <w:jc w:val="center"/>
                  </w:pPr>
                  <w:r>
                    <w:t xml:space="preserve">Blades and bladelets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absent/very rare</w:t>
                  </w:r>
                </w:p>
              </w:tc>
              <w:tc>
                <w:tcPr/>
                <w:p>
                  <w:pPr>
                    <w:pStyle w:val="Compact"/>
                    <w:jc w:val="left"/>
                    <w:jc w:val="center"/>
                  </w:pPr>
                  <w:r>
                    <w:t xml:space="preserve">Spans Greenland Stadial 12 to GI 10 and 9</w:t>
                  </w:r>
                </w:p>
              </w:tc>
            </w:tr>
            <w:tr>
              <w:tc>
                <w:tcPr/>
                <w:p>
                  <w:pPr>
                    <w:pStyle w:val="Compact"/>
                    <w:jc w:val="left"/>
                    <w:jc w:val="center"/>
                  </w:pPr>
                  <w:r>
                    <w:t xml:space="preserve">Early Aurignacian</w:t>
                  </w:r>
                </w:p>
              </w:tc>
              <w:tc>
                <w:tcPr/>
                <w:p>
                  <w:pPr>
                    <w:pStyle w:val="Compact"/>
                    <w:jc w:val="left"/>
                    <w:jc w:val="center"/>
                  </w:pPr>
                  <w:r>
                    <w:t xml:space="preserve">39.8 - 37.8</w:t>
                  </w:r>
                </w:p>
              </w:tc>
              <w:tc>
                <w:tcPr/>
                <w:p>
                  <w:pPr>
                    <w:pStyle w:val="Compact"/>
                    <w:jc w:val="left"/>
                    <w:jc w:val="center"/>
                  </w:pPr>
                  <w:r>
                    <w:t xml:space="preserve">Blade and bladelet production now run as separate reduction sequences, with carinated and nosed end-scrapers systematically used as bladelet cores; thick blades with invasive, scalar Aurignacian retouch, sometimes waisted/strangled; Dufour bladelets now include the smaller Roc-de-Combe subtype alongside Dufour; split-based antler/bone points (regionally variable)</w:t>
                  </w:r>
                </w:p>
              </w:tc>
              <w:tc>
                <w:tcPr/>
                <w:p>
                  <w:pPr>
                    <w:pStyle w:val="Compact"/>
                    <w:jc w:val="left"/>
                    <w:jc w:val="center"/>
                  </w:pPr>
                  <w:r>
                    <w:t xml:space="preserve">Begins with Heinrich Stadial 4, ends with GI 8</w:t>
                  </w:r>
                </w:p>
              </w:tc>
            </w:tr>
            <w:tr>
              <w:tc>
                <w:tcPr/>
                <w:p>
                  <w:pPr>
                    <w:pStyle w:val="Compact"/>
                    <w:jc w:val="left"/>
                    <w:jc w:val="center"/>
                  </w:pPr>
                  <w:r>
                    <w:t xml:space="preserve">Evolved/Late Aurignacian</w:t>
                  </w:r>
                </w:p>
              </w:tc>
              <w:tc>
                <w:tcPr/>
                <w:p>
                  <w:pPr>
                    <w:pStyle w:val="Compact"/>
                    <w:jc w:val="left"/>
                    <w:jc w:val="center"/>
                  </w:pPr>
                  <w:r>
                    <w:t xml:space="preserve">37.8 - 32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plus bipoint Font-Yves/Krems bladelets; split-based points disappear,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[11,18,20,22]</w:t>
            </w:r>
          </w:p>
          <w:bookmarkEnd w:id="22"/>
        </w:tc>
      </w:tr>
    </w:tbl>
    <w:p>
      <w:pPr>
        <w:pStyle w:val="BodyText"/>
      </w:pPr>
      <w:r>
        <w:t xml:space="preserve">We hypothesize that these phases, and the environmental changes across them, may correspond to changes in dynamics of cultural groups, as represented by patterns in the distribution of geometric signs. We aim to address the following questions: How do grouping dynamics of geometric signs change across the three phases of the Aurignacian? How do the groupings vary in diversity, size, connectivity, and distribution? What do these patterns tell us about dynamics of social organization throughout the Aurignacian?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seven sites from the sample: only Willendorf (one sign present); Riparo di Fontana Nuova, Muralovka, Shanidar Cave, and Hayonim Cave (extreme geographic distance from the other sites); Grotte De La Princesse Pauline and Šandalja II (dated much later than the rest of the assemblages). This resulted in a sample of 438 objects found at 30 sites in 7 countries, and 54 sign types used in this study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3714749"/>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[23]</w:t>
      </w:r>
      <w:r>
        <w:t xml:space="preserve">. The calibrated radiocarbon dates of the sampled data range from approximately 32,893 BP to 44,778 BP, spanning an overall time range of 11,885 years. We assigned each object to a chronological phase following the date ranges recorded in</w:t>
      </w:r>
      <w:r>
        <w:t xml:space="preserve"> </w:t>
      </w:r>
      <w:hyperlink w:anchor="tbl-aur-table">
        <w:r>
          <w:rPr>
            <w:rStyle w:val="Hyperlink"/>
          </w:rPr>
          <w:t xml:space="preserve">Table 1</w:t>
        </w:r>
      </w:hyperlink>
      <w:r>
        <w:t xml:space="preserve">. The Proto-Aurignacian has 15 sites and 24 sign types, the Early Aurignacian has 9 sites and 18 sign types, and the Evolved Aurignacian has 9 sites and 19 sign types. A Mantel test to evaluate the correlation between distance in time and distribution of sign types did not find a statistically significant correlation (R = 0.06, p = 0.01). This suggests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[25]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[26]</w:t>
      </w:r>
      <w:r>
        <w:t xml:space="preserve">. The test indicated that there was no significant correlation between object abundance and sign type distribution (R = 0.074, p = 0.09),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[27]</w:t>
      </w:r>
      <w:r>
        <w:t xml:space="preserve">. This relationship can be investigated using the isolation-by-distance framework, which proposes that cultural difference can be primarily explained by geographic distance</w:t>
      </w:r>
      <w:r>
        <w:t xml:space="preserve"> </w:t>
      </w:r>
      <w:r>
        <w:t xml:space="preserve">[24]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(Supplement S5.8). We further verify these results using geodesic distances in kilometres rather than flat-coordinate Euclidean distances (Supplement 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Proto-Aurignacian</w:t>
                  </w:r>
                </w:p>
              </w:tc>
              <w:tc>
                <w:tcPr/>
                <w:p>
                  <w:pPr>
                    <w:pStyle w:val="Compact"/>
                    <w:jc w:val="right"/>
                    <w:jc w:val="center"/>
                  </w:pPr>
                  <w:r>
                    <w:t xml:space="preserve">0.012</w:t>
                  </w:r>
                </w:p>
              </w:tc>
              <w:tc>
                <w:tcPr/>
                <w:p>
                  <w:pPr>
                    <w:pStyle w:val="Compact"/>
                    <w:jc w:val="right"/>
                    <w:jc w:val="center"/>
                  </w:pPr>
                  <w:r>
                    <w:t xml:space="preserve">0.439</w:t>
                  </w:r>
                </w:p>
              </w:tc>
            </w:tr>
            <w:tr>
              <w:tc>
                <w:tcPr/>
                <w:p>
                  <w:pPr>
                    <w:pStyle w:val="Compact"/>
                    <w:jc w:val="left"/>
                    <w:jc w:val="center"/>
                  </w:pPr>
                  <w:r>
                    <w:t xml:space="preserve">Early Aurignacian</w:t>
                  </w:r>
                </w:p>
              </w:tc>
              <w:tc>
                <w:tcPr/>
                <w:p>
                  <w:pPr>
                    <w:pStyle w:val="Compact"/>
                    <w:jc w:val="right"/>
                    <w:jc w:val="center"/>
                  </w:pPr>
                  <w:r>
                    <w:t xml:space="preserve">0.313</w:t>
                  </w:r>
                </w:p>
              </w:tc>
              <w:tc>
                <w:tcPr/>
                <w:p>
                  <w:pPr>
                    <w:pStyle w:val="Compact"/>
                    <w:jc w:val="right"/>
                    <w:jc w:val="center"/>
                  </w:pPr>
                  <w:r>
                    <w:t xml:space="preserve">0.031</w:t>
                  </w:r>
                </w:p>
              </w:tc>
            </w:tr>
            <w:tr>
              <w:tc>
                <w:tcPr/>
                <w:p>
                  <w:pPr>
                    <w:pStyle w:val="Compact"/>
                    <w:jc w:val="left"/>
                    <w:jc w:val="center"/>
                  </w:pPr>
                  <w:r>
                    <w:t xml:space="preserve">Evolved Aurignacian</w:t>
                  </w:r>
                </w:p>
              </w:tc>
              <w:tc>
                <w:tcPr/>
                <w:p>
                  <w:pPr>
                    <w:pStyle w:val="Compact"/>
                    <w:jc w:val="right"/>
                    <w:jc w:val="center"/>
                  </w:pPr>
                  <w:r>
                    <w:t xml:space="preserve">-0.062</w:t>
                  </w:r>
                </w:p>
              </w:tc>
              <w:tc>
                <w:tcPr/>
                <w:p>
                  <w:pPr>
                    <w:pStyle w:val="Compact"/>
                    <w:jc w:val="right"/>
                    <w:jc w:val="center"/>
                  </w:pPr>
                  <w:r>
                    <w:t xml:space="preserve">0.598</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[28]</w:t>
      </w:r>
      <w:r>
        <w:t xml:space="preserve">. We used the Brower-Kile</w:t>
      </w:r>
      <w:r>
        <w:t xml:space="preserve"> </w:t>
      </w:r>
      <w:r>
        <w:t xml:space="preserve">[29]</w:t>
      </w:r>
      <w:r>
        <w:t xml:space="preserve"> </w:t>
      </w:r>
      <w:r>
        <w:t xml:space="preserve">seriation algorithm from the seriation package</w:t>
      </w:r>
      <w:r>
        <w:t xml:space="preserve"> </w:t>
      </w:r>
      <w:r>
        <w:t xml:space="preserve">[28]</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[30]</w:t>
      </w:r>
      <w:r>
        <w:t xml:space="preserve">. Each node is a site, and each edge is a measure of sign type distribution similarity, each edge weight is the Jaccard similarity (1 − Jaccard dissimilarity).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(Supplement S1, S2, S5.2, S5.6). Results were plotted with the Fruchterman-Reingold layout</w:t>
      </w:r>
      <w:r>
        <w:t xml:space="preserve"> </w:t>
      </w:r>
      <w:r>
        <w:t xml:space="preserve">[31]</w:t>
      </w:r>
      <w:r>
        <w:t xml:space="preserve">, a force-directed graph layout for uniform edge lengths, and network analysis was performed using the vegan</w:t>
      </w:r>
      <w:r>
        <w:t xml:space="preserve"> </w:t>
      </w:r>
      <w:r>
        <w:t xml:space="preserve">[26]</w:t>
      </w:r>
      <w:r>
        <w:t xml:space="preserve">, statnet</w:t>
      </w:r>
      <w:r>
        <w:t xml:space="preserve"> </w:t>
      </w:r>
      <w:r>
        <w:t xml:space="preserve">[32]</w:t>
      </w:r>
      <w:r>
        <w:t xml:space="preserve"> </w:t>
      </w:r>
      <w:r>
        <w:t xml:space="preserve">and igraph</w:t>
      </w:r>
      <w:r>
        <w:t xml:space="preserve"> </w:t>
      </w:r>
      <w:r>
        <w:t xml:space="preserve">[33]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[34,35]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[26]</w:t>
      </w:r>
      <w:r>
        <w:t xml:space="preserve"> </w:t>
      </w:r>
      <w:r>
        <w:t xml:space="preserve">and igraph</w:t>
      </w:r>
      <w:r>
        <w:t xml:space="preserve"> </w:t>
      </w:r>
      <w:r>
        <w:t xml:space="preserve">[33]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(Supplement 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504749" cy="9174581"/>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504749" cy="91745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Brower-Kile seriation algorithm for (A) Proto-Aurignacian, (B) Early Aurignacian, and (C) Evolved Aurignacian phases. Rows represent sites and columns represent sign types. Blocks of co-occurring signs indicate culturally coherent groupings. Despite chronological turnover in specific sign types, two broad classes of assemblages—restricted-range and broad-range—recur across all phases, suggesting persistent structuring in symbolic signaling practices. Restricted group is in yellow, broader group is in blue.</w:t>
            </w:r>
          </w:p>
          <w:bookmarkEnd w:id="36"/>
        </w:tc>
      </w:tr>
    </w:tbl>
    <w:p>
      <w:pPr>
        <w:pStyle w:val="BodyText"/>
      </w:pPr>
      <w:r>
        <w:t xml:space="preserve">For each of the phases, our seriation analysis identifies two groups. One group has a restricted range of sign types (1-3 types), which tend to be visually simpler signs. A second group has a broader range (up to 14 types), which include more complex signs. Simpler signs composed of fewer components, like line and notch, are the most prevalent across all time periods. The number of sites in the restricted range group is less than the number of sites in the broader range group in the Early Aurignacian, while in the Proto- and Evolved Aurignacian the restricted range group is slightly larger. Bootstrap resampling of sites confirms that this two-group structure is stable to sampling variation, and stochastic block models independently select two blocks for the Early and Evolved Aurignacian and three for the Proto-Aurignacian, reproducing the manual restricted/broad split to differing degrees across phases; per-site robustness is quantified in Supplement S6.</w:t>
      </w:r>
    </w:p>
    <w:p>
      <w:pPr>
        <w:pStyle w:val="BodyText"/>
      </w:pPr>
      <w:r>
        <w:t xml:space="preserve">In the Proto-Aurignacian we see a relatively wide range of sign types, with an expansion in the number of sites compared to the earliest material. The restricted range group consists of Abri Pataud, Fumane, and Pod Hradem, which only have a notch, Labeko Koba, which only has a line, and Hohlenstein-Stadel, Mladeč, Gatzarria, and El Castillo, which have a slightly wider range of signs, including the dashline and maccaroni. The broader range group consists of Geissenklösterle, Spy, Vogelherd, Grotte du Renne, Hohle Fels, La Ferrassie, and Les Cottés, where we see a more diverse range of signs. In addition to line and notch, the obline, radial notch (radnotch), cross, hatching, and circumferential notch (circumnotch) are also frequently found in the broader range group. At first glance Les Cottés may appear miss-classified in the broader group with only two sign types, circumnotch and circumspiral. However group assignment is by sign composition as well as type diversity, and these two types are only shared with broader-group sites, justifying the assignment of Les Cottés to the broader group.</w:t>
      </w:r>
    </w:p>
    <w:p>
      <w:pPr>
        <w:pStyle w:val="BodyText"/>
      </w:pPr>
      <w:r>
        <w:t xml:space="preserve">In the Early Aurignacian, we see appearance of completely new sites with no overlap with the Proto-Aurignacian sites, as well as increased diversity of patterns within the groups. The restricted range group consists of Grottes de Fonds-de-Forêt (radnotch and notch), Riparo Bombrini (notch), and Grotte de la Verpillière I (notch and line). The broader range group consists of Solutré, Hohle Fels, Castanet, Cellier, and Blanchard which contain a wide range of signs in a variety of combinations. Trou al’Wesse contains only only type, maccaroni, which is only found in the broader group sites (similar to the situation with Les Cottés in the Proto-Aurignacian). In addition to line and notch, the obline, dot and vulva are also frequently found in the broader range group.</w:t>
      </w:r>
    </w:p>
    <w:p>
      <w:pPr>
        <w:pStyle w:val="BodyText"/>
      </w:pPr>
      <w:r>
        <w:t xml:space="preserve">Finally, in the Evolved Aurignacian, we see slightly more consistent groups, again with new sites with no overlap with the Early Aurignacian sites, except for Hohle Fels, which also appears in the Proto-Aurignacian. Vogelherd also reappears, having appeared earlier in the Proto-Aurignacian. The restricted range group consists of Les Rois, Gargas, La Viña, Sirgenstein Cave, and Vindija Cave, with the line, notch, and obline signs. The broader range group consists of Trou Magrite, Bockstein-Törle, Vogelherd, and Hohle Fels. Along with line, notch, and obline, the hatching, and oblique notch (obnotch) signs are also frequently found in the broader range group. While these seriation results hint at a two-member group structure,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dissimilarity of geometric sign presence/absence. Nodes represent sites and edges connect pairs with similarity ≥0.2. Node size reflects degree centrality, and edge thickness corresponds to similarity strength. The Early Aurignacian network shows the highest overall connectivity, whereas the Evolved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Networks statistics for the three phases. The grey lines are the null 95% confidence interval, the colored dot is the observed statistic value (orange = p&lt;0.05, blue =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supports the restricted-broad groupings identified in</w:t>
      </w:r>
      <w:r>
        <w:t xml:space="preserve"> </w:t>
      </w:r>
      <w:hyperlink w:anchor="fig-seriation">
        <w:r>
          <w:rPr>
            <w:rStyle w:val="Hyperlink"/>
          </w:rPr>
          <w:t xml:space="preserve">Figure 2</w:t>
        </w:r>
      </w:hyperlink>
      <w:r>
        <w:t xml:space="preserve">, and provide additional insights into the evolution of connectivity between groups. In the Proto-Aurignacian phase, which here combines the earliest Aurignacian material with the material previously attributed to the Proto-Aurignacian, the network analysis reveals two clearly defined groups. The broader range group consists of Geissenklösterle, Spy, Vogelherd, Grotte du Renne, Hohle Fels, Les Cottés, and La Ferrassie, and the restricted range group consists of Abri Pataud, Fumane, Pod Hradem, Hohlenstein-Stadel, Mladeč, Gatzarria, Labeko Koba, and El Castillo. However, it also displays some connectivity between the two groups of sites, with La Ferrassie connected to both Hohlenstein-Stadel and Mladeč, and Grotte du Renne connected to Labeko Koba. Les Cottés stands out with no connections to either group.</w:t>
      </w:r>
    </w:p>
    <w:p>
      <w:pPr>
        <w:pStyle w:val="BodyText"/>
      </w:pPr>
      <w:r>
        <w:t xml:space="preserve">The Early Aurignacian shows more strongly inter-connected groups – although two main groups remain evident – with Grotte de la Verpillière I in particular having multiple strong connections to both groups. Trou al’Wesse is an outlier, similar to Les Cottés in the Proto-Aurignacian, and similar to how both of these sites appeared in the seriation results.</w:t>
      </w:r>
    </w:p>
    <w:p>
      <w:pPr>
        <w:pStyle w:val="BodyText"/>
      </w:pPr>
      <w:r>
        <w:t xml:space="preserve">Lastly, the Evolved Aurignacian again shows two main groups, although intra-group connectivity has decreased, with the broad range group consisting of Hohle Fels, Trou Magrite, Vogelherd, and Bockstein-Törle, and the restricted range group consisting of Gargas, La Viña, Sirgenstein Cave, Vindija Cave, and Les Rois. As for the Early Aurignacian, inter-connectivity between groups continues to be evident in the Evolved Aurignacian, with connections between Trou Magrite (broad), Gargas (restricted), and Vindija Cave (restricted), and Bockstein-Törle (broad) and Gargas, however the strength of inter-connectivity is weaker than in the Early Aurignacian.</w:t>
      </w:r>
    </w:p>
    <w:p>
      <w:pPr>
        <w:pStyle w:val="BodyText"/>
      </w:pPr>
      <w:hyperlink w:anchor="fig-neighbor-net-stats">
        <w:r>
          <w:rPr>
            <w:rStyle w:val="Hyperlink"/>
          </w:rPr>
          <w:t xml:space="preserve">Figure 4</w:t>
        </w:r>
      </w:hyperlink>
      <w:r>
        <w:t xml:space="preserve"> </w:t>
      </w:r>
      <w:r>
        <w:t xml:space="preserve">shows the results of permutation tests (n = 10^{4}) to assess if the observed statistic is significantly different from a random distribution within each phase. Edge density, as a measure of overall connectedness in a network, does not significantly differ from random in any phase. Modularity, relating to the restricted/broad two-group split, is 0.3-0.4 in the Proto and Evolved phases, which can be interpreted as moderate community structure</w:t>
      </w:r>
      <w:r>
        <w:t xml:space="preserve"> </w:t>
      </w:r>
      <w:r>
        <w:t xml:space="preserve">[36]</w:t>
      </w:r>
      <w:r>
        <w:t xml:space="preserve">, and is significantly higher than expected from a random distribution of networks. However, null-benchmarked modularity tests indicate that these values do not exceed chance expectations when sign assemblages are randomly permuted across phases (Supplement S5.3), and bootstrap confidence intervals show substantial overlap between phases (Supplement S5.7). Furthermore, size-normalised comparisons using Erdős–Rényi random graphs confirm that the Proto and Evolved modularity values are approximately double the size-matched random expectation, while the Early Aurignacian shows a smaller excess (Supplement S5.9). The high mean betweenness for the Proto phase reflects the hub structures centred on La Ferrassie and Mladeč. The Early Aurignacian shows no network statistic outside of its null distribution, indicating that no values are significantly different from what would be expected by chance. Pairwise permutation tests with Benjamini–Hochberg multiple-testing corrections shows no significant differences in network statistics between the three phases</w:t>
      </w:r>
      <w:r>
        <w:t xml:space="preserve"> </w:t>
      </w:r>
      <w:hyperlink w:anchor="fig-neighbor-net-stats">
        <w:r>
          <w:rPr>
            <w:rStyle w:val="Hyperlink"/>
          </w:rPr>
          <w:t xml:space="preserve">Figure 4</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cultural groups across the three Aurignacian phases. Sites are colored according to their group membership (Restricted-range or Broader range) as identified by seriation and network analysis. The spatial arrangement shows that sites belonging to the same cultural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the Proto-Aurignacian, we see a relatively wide geographic distribution of sites across Western and Central Europe, and some overlapping of sites between groups, which may be associated with the connectivity indicated in the network analysis results. This phase is also associated with an increase in sites and sign types, which may be correlated with the increased proximity and population density. In the Early Aurignacian, we see a reduced distribution, with sites clustered closer together, which may be associated with the increased connectivity in that phase. In the Evolved Aurignacian, we see a wider distribution and more distance between sites, which may be associated with a shift to reduced connectivity seen in that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Proto-Aurignacian</w:t>
                  </w:r>
                </w:p>
              </w:tc>
              <w:tc>
                <w:tcPr/>
                <w:p>
                  <w:pPr>
                    <w:pStyle w:val="Compact"/>
                    <w:jc w:val="right"/>
                    <w:jc w:val="center"/>
                  </w:pPr>
                  <w:r>
                    <w:t xml:space="preserve">0.227</w:t>
                  </w:r>
                </w:p>
              </w:tc>
              <w:tc>
                <w:tcPr/>
                <w:p>
                  <w:pPr>
                    <w:pStyle w:val="Compact"/>
                    <w:jc w:val="right"/>
                    <w:jc w:val="center"/>
                  </w:pPr>
                  <w:r>
                    <w:t xml:space="preserve">3.816</w:t>
                  </w:r>
                </w:p>
              </w:tc>
              <w:tc>
                <w:tcPr/>
                <w:p>
                  <w:pPr>
                    <w:pStyle w:val="Compact"/>
                    <w:jc w:val="right"/>
                    <w:jc w:val="center"/>
                  </w:pPr>
                  <w:r>
                    <w:t xml:space="preserve">0.001</w:t>
                  </w:r>
                </w:p>
              </w:tc>
            </w:tr>
            <w:tr>
              <w:tc>
                <w:tcPr/>
                <w:p>
                  <w:pPr>
                    <w:pStyle w:val="Compact"/>
                    <w:jc w:val="left"/>
                    <w:jc w:val="center"/>
                  </w:pPr>
                  <w:r>
                    <w:t xml:space="preserve">Early Aurignacian</w:t>
                  </w:r>
                </w:p>
              </w:tc>
              <w:tc>
                <w:tcPr/>
                <w:p>
                  <w:pPr>
                    <w:pStyle w:val="Compact"/>
                    <w:jc w:val="right"/>
                    <w:jc w:val="center"/>
                  </w:pPr>
                  <w:r>
                    <w:t xml:space="preserve">0.215</w:t>
                  </w:r>
                </w:p>
              </w:tc>
              <w:tc>
                <w:tcPr/>
                <w:p>
                  <w:pPr>
                    <w:pStyle w:val="Compact"/>
                    <w:jc w:val="right"/>
                    <w:jc w:val="center"/>
                  </w:pPr>
                  <w:r>
                    <w:t xml:space="preserve">1.915</w:t>
                  </w:r>
                </w:p>
              </w:tc>
              <w:tc>
                <w:tcPr/>
                <w:p>
                  <w:pPr>
                    <w:pStyle w:val="Compact"/>
                    <w:jc w:val="right"/>
                    <w:jc w:val="center"/>
                  </w:pPr>
                  <w:r>
                    <w:t xml:space="preserve">0.013</w:t>
                  </w:r>
                </w:p>
              </w:tc>
            </w:tr>
            <w:tr>
              <w:tc>
                <w:tcPr/>
                <w:p>
                  <w:pPr>
                    <w:pStyle w:val="Compact"/>
                    <w:jc w:val="left"/>
                    <w:jc w:val="center"/>
                  </w:pPr>
                  <w:r>
                    <w:t xml:space="preserve">Evolved Aurignacian</w:t>
                  </w:r>
                </w:p>
              </w:tc>
              <w:tc>
                <w:tcPr/>
                <w:p>
                  <w:pPr>
                    <w:pStyle w:val="Compact"/>
                    <w:jc w:val="right"/>
                    <w:jc w:val="center"/>
                  </w:pPr>
                  <w:r>
                    <w:t xml:space="preserve">0.224</w:t>
                  </w:r>
                </w:p>
              </w:tc>
              <w:tc>
                <w:tcPr/>
                <w:p>
                  <w:pPr>
                    <w:pStyle w:val="Compact"/>
                    <w:jc w:val="right"/>
                    <w:jc w:val="center"/>
                  </w:pPr>
                  <w:r>
                    <w:t xml:space="preserve">2.020</w:t>
                  </w:r>
                </w:p>
              </w:tc>
              <w:tc>
                <w:tcPr/>
                <w:p>
                  <w:pPr>
                    <w:pStyle w:val="Compact"/>
                    <w:jc w:val="right"/>
                    <w:jc w:val="center"/>
                  </w:pPr>
                  <w:r>
                    <w:t xml:space="preserve">0.022</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0.227 of the variance in sign composition in the Proto-Aurignacian, compared to 0.215 in the Early Aurignacian and 0.224 in the Evolved Aurignacian (</w:t>
      </w:r>
      <w:hyperlink w:anchor="tbl-strength-table">
        <w:r>
          <w:rPr>
            <w:rStyle w:val="Hyperlink"/>
          </w:rPr>
          <w:t xml:space="preserve">Table 3</w:t>
        </w:r>
      </w:hyperlink>
      <w:r>
        <w:t xml:space="preserve">). While R^2 is stable across phases, the pseudo-F statistic differs markedly: the Proto-Aurignacian shows the greatest group separation (F = 3.816), declining by roughly half in the Early (F = 1.915) and Evolved (F = 2.02) phases. This suggests that although between-group differences account for a consistent share of the variation throughout the Aurignacian, the absolute separation between the restricted- and broad-range assemblages was sharpest during the earliest phase and declined in later phases, as inter-group overlap in sign repertoires increased.</w:t>
      </w:r>
    </w:p>
    <w:bookmarkEnd w:id="51"/>
    <w:bookmarkEnd w:id="52"/>
    <w:bookmarkStart w:id="59" w:name="discussion"/>
    <w:p>
      <w:pPr>
        <w:pStyle w:val="Heading1"/>
      </w:pPr>
      <w:r>
        <w:t xml:space="preserve">Discussion</w:t>
      </w:r>
    </w:p>
    <w:bookmarkStart w:id="57" w:name="X1719d531a7825ea9c928c564d7ba79284b3784c"/>
    <w:p>
      <w:pPr>
        <w:pStyle w:val="Heading2"/>
      </w:pPr>
      <w:r>
        <w:t xml:space="preserve">Group Dynamics Across the Three Phases of the Aurignacian</w:t>
      </w:r>
    </w:p>
    <w:p>
      <w:pPr>
        <w:pStyle w:val="FirstParagraph"/>
      </w:pPr>
      <w:r>
        <w:t xml:space="preserve">Our first aim was to determine how the grouping dynamics of geometric signs changed across three phases of the Aurignacian, specifically in terms of diversity, size, connectivity, and distribution. The results from</w:t>
      </w:r>
      <w:r>
        <w:t xml:space="preserve"> </w:t>
      </w:r>
      <w:hyperlink w:anchor="fig-seriation">
        <w:r>
          <w:rPr>
            <w:rStyle w:val="Hyperlink"/>
          </w:rPr>
          <w:t xml:space="preserve">Figure 2</w:t>
        </w:r>
      </w:hyperlink>
      <w:r>
        <w:t xml:space="preserve"> </w:t>
      </w:r>
      <w:r>
        <w:t xml:space="preserve">show that each phase can be divided into two main cultural groups, with sign type number and diversity serving as the major dividing factor. Group size varied from phase to phase, with the number of sites decreasing from the Proto-Aurignacian to the Early and Evolved Aurignacian. In the Proto-Aurignacian the restricted-range group (eight sites) was slightly larger than the broad-range group (seven sites), whereas in the Early Aurignacian the restricted-range group was considerably smaller than the broad-range group (three vs. six sites), before the two groups became more comparable in size in the Evolved Aurignacian (five vs. four sites).</w:t>
      </w:r>
      <w:r>
        <w:t xml:space="preserve"> </w:t>
      </w:r>
      <w:hyperlink w:anchor="fig-neighbor-net">
        <w:r>
          <w:rPr>
            <w:rStyle w:val="Hyperlink"/>
          </w:rPr>
          <w:t xml:space="preserve">Figure 3</w:t>
        </w:r>
      </w:hyperlink>
      <w:r>
        <w:t xml:space="preserve"> </w:t>
      </w:r>
      <w:r>
        <w:t xml:space="preserve">shows that connectivity also differed between phases, although these contrasts should be interpreted descriptively because pairwise permutation tests found no statistically significant differences in any network statistic between phases after correction for multiple testing. The Proto-Aurignacian network contained the most edges and the highest mean degree, with a hub structure centred on La Ferrassie and Mladeč, and a modularity and mean betweenness significantly higher than expected under a within-phase random null. The Early Aurignacian produced the most cohesive network, with the highest edge density and transitivity, while the Evolved Aurignacian network had the fewest edges, the lowest mean degree, and the lowest transitivity. The perMANOVA tests confirm that the restricted- and broad-range groups within each phase are significantly separated in sign composition, with the strongest separation in the Proto-Aurignacian and the weakest in the Early Aurignacian.</w:t>
      </w:r>
    </w:p>
    <w:p>
      <w:pPr>
        <w:pStyle w:val="BodyText"/>
      </w:pPr>
      <w:r>
        <w:t xml:space="preserve">One consistent grouping dynamic throughout all three phases is the restricted/broader range group divide, which may be influenced by variation in social structure. Variation in hunter-gatherer social structures is well-known from ethnographic and archaeological research</w:t>
      </w:r>
      <w:r>
        <w:t xml:space="preserve"> </w:t>
      </w:r>
      <w:r>
        <w:t xml:space="preserve">[37–44]</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[4,44–55]</w:t>
      </w:r>
      <w:r>
        <w:t xml:space="preserve">. Drawing on this work, we interpret the broader/restricted range grouping in the geometric sign data as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 Because the number of sign types recorded at a site is bounded by the number of objects recovered, we considered whether this divide is an artefact of sampling effort; across sites, object count and sign-type count are strongly correlated (Spearman ρ = 0.86, p &lt; 0.001). However, node degree within each phase is not correlated with sign-type richness (Supplement 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(Supplement 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[56]</w:t>
      </w:r>
      <w:r>
        <w:t xml:space="preserve">;</w:t>
      </w:r>
      <w:r>
        <w:t xml:space="preserve"> </w:t>
      </w:r>
      <w:r>
        <w:t xml:space="preserve">[57]</w:t>
      </w:r>
      <w:r>
        <w:t xml:space="preserve">;</w:t>
      </w:r>
      <w:r>
        <w:t xml:space="preserve"> </w:t>
      </w:r>
      <w:r>
        <w:t xml:space="preserve">[42]</w:t>
      </w:r>
      <w:r>
        <w:t xml:space="preserve">;</w:t>
      </w:r>
      <w:r>
        <w:t xml:space="preserve"> </w:t>
      </w:r>
      <w:r>
        <w:t xml:space="preserve">[58]</w:t>
      </w:r>
      <w:r>
        <w:t xml:space="preserve">;</w:t>
      </w:r>
      <w:r>
        <w:t xml:space="preserve"> </w:t>
      </w:r>
      <w:r>
        <w:t xml:space="preserve">[43]</w:t>
      </w:r>
      <w:r>
        <w:t xml:space="preserve">. Non-utilitarian mobility establishes regional social networks which facilitate the spread of information and the survival of hunter-gatherers in uncertain environments</w:t>
      </w:r>
      <w:r>
        <w:t xml:space="preserve"> </w:t>
      </w:r>
      <w:r>
        <w:t xml:space="preserve">[59]</w:t>
      </w:r>
      <w:r>
        <w:t xml:space="preserve">;</w:t>
      </w:r>
      <w:r>
        <w:t xml:space="preserve"> </w:t>
      </w:r>
      <w:r>
        <w:t xml:space="preserve">[60]</w:t>
      </w:r>
      <w:r>
        <w:t xml:space="preserve">;</w:t>
      </w:r>
      <w:r>
        <w:t xml:space="preserve"> </w:t>
      </w:r>
      <w:r>
        <w:t xml:space="preserve">[61]</w:t>
      </w:r>
      <w:r>
        <w:t xml:space="preserve">;</w:t>
      </w:r>
      <w:r>
        <w:t xml:space="preserve"> </w:t>
      </w:r>
      <w:r>
        <w:t xml:space="preserve">[62]</w:t>
      </w:r>
      <w:r>
        <w:t xml:space="preserve">;</w:t>
      </w:r>
      <w:r>
        <w:t xml:space="preserve"> </w:t>
      </w:r>
      <w:r>
        <w:t xml:space="preserve">[63]</w:t>
      </w:r>
      <w:r>
        <w:t xml:space="preserve">. The exchange and production of decorative items, such as objects with geometric signs, has been associated with non-utilitarian mobility and recognized as an indicator of social contact</w:t>
      </w:r>
      <w:r>
        <w:t xml:space="preserve"> </w:t>
      </w:r>
      <w:r>
        <w:t xml:space="preserve">[59]</w:t>
      </w:r>
      <w:r>
        <w:t xml:space="preserve">;</w:t>
      </w:r>
      <w:r>
        <w:t xml:space="preserve"> </w:t>
      </w:r>
      <w:r>
        <w:t xml:space="preserve">[64]</w:t>
      </w:r>
      <w:r>
        <w:t xml:space="preserve">;</w:t>
      </w:r>
      <w:r>
        <w:t xml:space="preserve"> </w:t>
      </w:r>
      <w:r>
        <w:t xml:space="preserve">[65]</w:t>
      </w:r>
      <w:r>
        <w:t xml:space="preserve">;</w:t>
      </w:r>
      <w:r>
        <w:t xml:space="preserve"> </w:t>
      </w:r>
      <w:r>
        <w:t xml:space="preserve">[66]</w:t>
      </w:r>
      <w:r>
        <w:t xml:space="preserve">;</w:t>
      </w:r>
      <w:r>
        <w:t xml:space="preserve"> </w:t>
      </w:r>
      <w:r>
        <w:t xml:space="preserve">[67]</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[68]</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[68]</w:t>
      </w:r>
      <w:r>
        <w:t xml:space="preserve">, including, in some cases, decorative objects</w:t>
      </w:r>
      <w:r>
        <w:t xml:space="preserve"> </w:t>
      </w:r>
      <w:r>
        <w:t xml:space="preserve">[64]</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[2,69–75]</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[76,77]</w:t>
      </w:r>
      <w:r>
        <w:t xml:space="preserve">. The sign-type pool — the number of distinct geometric signs recovered in each phase — was 24 in the Proto-Aurignacian, 18 in the Early Aurignacian, and 19 in the Evolved Aurignacian, indicating that the total repertoire contracted between the Proto and Early phases before stabilising.</w:t>
      </w:r>
    </w:p>
    <w:p>
      <w:pPr>
        <w:pStyle w:val="BodyText"/>
      </w:pPr>
      <w:r>
        <w:t xml:space="preserve">When each site’s observed diversity is compared with the expectation for its sample size, 5 of 15 Proto-Aurignacian sites, 4 of 9 Early Aurignacian sites, and 3 of 9 Evolved Aurignacian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except for La Ferrassie in the Proto-Aurignacian. These temporal dynamics do not track the phase-level pool size: the Evolved Aurignacian shows the largest mean excess of observed over expected diversity (-0.03), the Proto-Aurignacian an intermediate value (-0.13), and the Early Aurignacian the smallest (-0.21), so the sites’ relative diversity fluctuates independently of the shrinking and stabilising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significant negative correlation with network degree (ρ = -0.44, p = 0.0095267), indicating that aggregation candidates are less connected rather than merely decoupled from network hubs. The correlation with betweenness was not significant (ρ = -0.31, p = 0.0836175). Object count was unrelated to centrality (degree: ρ = 0.32, p = 0.0722216), suggesting that hubs are not simply well-sampled sites. The elevated diversity identifying aggregation candidates differs significantly between the restricted and broad-range groups (Wilcoxon W = 77.5, p = 0.0340447), confirming that this metric captures variation relevant to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Aggregation sites identified by elevated sign diversity. Observed geometric sign diversity at each site compared with expectations derived from randomized assemblages controlling for sample size. The blue expectation curve is the mean diversity index per sample size. The red lines enclose a band that is the 95% confidence interval. Sites above the blue expectation curve may be interpreted as aggregation sites, reflecting unusually diverse sign repertoires relative to regional norms.</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The second aim was to determine what these patterns reveal about the dynamics of social organization throughout the Aurignacian. The results suggest that the Proto-Aurignacian, which subsumes the earliest Aurignacian material culture, was characterised by the densest network of social connections, with the highest mean degree and a hub structure centred on key sites such as La Ferrassie and Mladeč. Despite this strong connectivity, geographic distance had the least influence on sign distribution (Mantel R = 0.012;</w:t>
      </w:r>
      <w:r>
        <w:t xml:space="preserve"> </w:t>
      </w:r>
      <w:hyperlink w:anchor="tbl-mantel-table">
        <w:r>
          <w:rPr>
            <w:rStyle w:val="Hyperlink"/>
          </w:rPr>
          <w:t xml:space="preserve">Table 2</w:t>
        </w:r>
      </w:hyperlink>
      <w:r>
        <w:t xml:space="preserve">), indicating that the observed interactions cannot be attributed to spatial proximity alone. The Early Aurignacian shows a shift toward more localised connectivity: mean degree decreases and edge density rises, while geographic distance exerts its strongest (though non-significant after multiple-testing correction) influence on sign distribution (Mantel R = 0.313). The Evolved Aurignacian experiences a further decline in between-group interaction, with the lowest mean degree and fewest edges, yet retains internal community structure as indicated by modularity comparable to the Proto Aurignacian.</w:t>
      </w:r>
    </w:p>
    <w:p>
      <w:pPr>
        <w:pStyle w:val="BodyText"/>
      </w:pPr>
      <w:r>
        <w:t xml:space="preserve">These results are consistent with previous work on the environmental and population change during these phases. From 45 - 43.25 ka BP, the population density in Europe was extremely low, due to the unfavorable environmental conditions of Greenland Stadial 12 (44 ka BP) and the slow westward expansion of early modern humans</w:t>
      </w:r>
      <w:r>
        <w:t xml:space="preserve"> </w:t>
      </w:r>
      <w:r>
        <w:t xml:space="preserve">[78]</w:t>
      </w:r>
      <w:r>
        <w:t xml:space="preserve">. This was followed by rapid expansion from 43.25-41 ka BP (Proto-Aurignacian), with the maximum extent of Proto/Early Aurignacian settlement being reached around 41 ka BP. This rapid population expansion could be what stimulated the emergence of signs as a marker of group membership. Other studies have also found similar associations in other regions and time periods between increases in quantity and diversity of art, and increases in population density</w:t>
      </w:r>
      <w:r>
        <w:t xml:space="preserve"> </w:t>
      </w:r>
      <w:r>
        <w:t xml:space="preserve">[79–87]</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all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and Moravia (Mladeč). This Core/Extended framework aligns with our finding that the Proto-Aurignacian hub structure centred on a small number of well-connected sites may reflect aggregation zones where inter-group interactions concentrated, while the lower-connectivity periphery may represent Extended Areas visited periodically. The shift from Proto to Early Aurignacian — with declining mean degree but rising transitivity — is consistent with a transition from wide-ranging interaction centred on Core Areas to more locally bounded, proximity-based interaction as populations consolidated during Heinrich Stadial 4. These demographic conditions have implications for how cultural information flowed through Aurignacian populations, which we explore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rather than an increase, mean degree declines from the Proto-Aurignacian (4.9°) to the Early Aurignacian (3.6°), and edge count drops from 37 to 16. What does increase is local clustering (transitivity rises from 0.706 to 0.75) and the correlation of sign distribution with geographic distance (Mantel R from 0.012 to 0.313), suggesting that Early Aurignacian interaction was more spatially structured and locally concentrated rather than expanding in overall reach. Similarly,</w:t>
      </w:r>
      <w:r>
        <w:t xml:space="preserve"> </w:t>
      </w:r>
      <w:r>
        <w:t xml:space="preserve">[18]</w:t>
      </w:r>
      <w:r>
        <w:t xml:space="preserve"> </w:t>
      </w:r>
      <w:r>
        <w:t xml:space="preserve">developed a human-existence probability model for the Aurignacian, finding an expanded, more dispersed settlement area for the Evolved/Late Aurignacian, and</w:t>
      </w:r>
      <w:r>
        <w:t xml:space="preserve"> </w:t>
      </w:r>
      <w:r>
        <w:t xml:space="preserve">[78]</w:t>
      </w:r>
      <w:r>
        <w:t xml:space="preserve"> </w:t>
      </w:r>
      <w:r>
        <w:t xml:space="preserve">also identifies increased expansion marking the beginning of the Evolved Aurignacian. This geographic expansion may explain our finding of weaker, more dispersed connections in the Evolved Aurignacian (mean degree 3.3°, 15 edges), where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with the exception of a suggestive but non-significant geographic signal in the Early Aurignacian (Mantel R = 0.313, p = 0.186 after Benjamini–Hochberg correction), our results do not identify geographically distinct cultural groups,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Evolved Aurignacian</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[88]</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[88]</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[89–91]</w:t>
      </w:r>
      <w:r>
        <w:t xml:space="preserve">. Smaller populations are predicted to experience greater drift and reduced capacity to maintain complex cultural repertoires</w:t>
      </w:r>
      <w:r>
        <w:t xml:space="preserve"> </w:t>
      </w:r>
      <w:r>
        <w:t xml:space="preserve">[92]</w:t>
      </w:r>
      <w:r>
        <w:t xml:space="preserve">, which is consistent with our observation that the sign-type pool contracts from the Proto-Aurignacian (24 types) to the Early (18 types) and Evolved (19 types) phases. Network structure also shapes cultural information flow: highly connected networks with hub structures facilitate rapid transmission and reduce drift</w:t>
      </w:r>
      <w:r>
        <w:t xml:space="preserve"> </w:t>
      </w:r>
      <w:r>
        <w:t xml:space="preserve">[93,94]</w:t>
      </w:r>
      <w:r>
        <w:t xml:space="preserve">, while more clustered networks promote localised conformist transmission and differentiation within subgroups</w:t>
      </w:r>
      <w:r>
        <w:t xml:space="preserve"> </w:t>
      </w:r>
      <w:r>
        <w:t xml:space="preserve">[95]</w:t>
      </w:r>
      <w:r>
        <w:t xml:space="preserve">. Our Proto-Aurignacian network, with the highest mean degree (4.93°) and hub structure centred on La Ferrassie and Mladeč, would be expected to show efficient sign-type transmission — consistent with the wide geographic spread of common signs. The Early Aurignacian shows higher transitivity (0.75) and a stronger geographic signal (Mantel R = 0.313, p = 0.031), suggesting more localised, proximity-based transmission. The reduced connectivity in the Early (3.6°) and Evolved (3.3°) phases may reflect population consolidation and more localised social structures. However, the lack of significant geographic structure in the Proto and Evolved phases contradicts simple isolation-by-distance models</w:t>
      </w:r>
      <w:r>
        <w:t xml:space="preserve"> </w:t>
      </w:r>
      <w:r>
        <w:t xml:space="preserve">[92,96]</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(except a suggestive Early signal: R = 0.313, p = 0.031). This suggests different material classes encode different identity dimensions: ornaments may signal ethnic affiliation, while geometric signs may serve other functions — speculatively ritual notation, calendrical recording, or information storage — not geographically structured. This aligns with work by</w:t>
      </w:r>
      <w:r>
        <w:t xml:space="preserve"> </w:t>
      </w:r>
      <w:r>
        <w:t xml:space="preserve">[97]</w:t>
      </w:r>
      <w:r>
        <w:t xml:space="preserve"> </w:t>
      </w:r>
      <w:r>
        <w:t xml:space="preserve">(sign sequences having protocuneiform-like information density, suggesting notational function) and</w:t>
      </w:r>
      <w:r>
        <w:t xml:space="preserve"> </w:t>
      </w:r>
      <w:r>
        <w:t xml:space="preserve">[98]</w:t>
      </w:r>
      <w:r>
        <w:t xml:space="preserve"> </w:t>
      </w:r>
      <w:r>
        <w:t xml:space="preserve">(some signs recording seasonal prey information). However, both hypotheses are contested:</w:t>
      </w:r>
      <w:r>
        <w:t xml:space="preserve"> </w:t>
      </w:r>
      <w:r>
        <w:t xml:space="preserve">[99]</w:t>
      </w:r>
      <w:r>
        <w:t xml:space="preserve"> </w:t>
      </w:r>
      <w:r>
        <w:t xml:space="preserve">note methodological issues in Bentz &amp; Dutkiewicz;</w:t>
      </w:r>
      <w:r>
        <w:t xml:space="preserve"> </w:t>
      </w:r>
      <w:r>
        <w:t xml:space="preserve">[100]</w:t>
      </w:r>
      <w:r>
        <w:t xml:space="preserve"> </w:t>
      </w:r>
      <w:r>
        <w:t xml:space="preserve">and</w:t>
      </w:r>
      <w:r>
        <w:t xml:space="preserve"> </w:t>
      </w:r>
      <w:r>
        <w:t xml:space="preserve">[101]</w:t>
      </w:r>
      <w:r>
        <w:t xml:space="preserve"> </w:t>
      </w:r>
      <w:r>
        <w:t xml:space="preserve">argue the lunar calendar hypothesis is untestable, circular, and selectively uses data;</w:t>
      </w:r>
      <w:r>
        <w:t xml:space="preserve"> </w:t>
      </w:r>
      <w:r>
        <w:t xml:space="preserve">[102]</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dynamic patterns of social exchange and connection. Previous work</w:t>
      </w:r>
      <w:r>
        <w:t xml:space="preserve"> </w:t>
      </w:r>
      <w:r>
        <w:t xml:space="preserve">[3,70,103–106]</w:t>
      </w:r>
      <w:r>
        <w:t xml:space="preserve"> </w:t>
      </w:r>
      <w:r>
        <w:t xml:space="preserve">has used material culture analysis to reconstruct Upper Palaeolithic social networks, which have been argued to be a driver of cultural and evolutionary change</w:t>
      </w:r>
      <w:r>
        <w:t xml:space="preserve"> </w:t>
      </w:r>
      <w:r>
        <w:t xml:space="preserve">[2,63,107–111]</w:t>
      </w:r>
      <w:r>
        <w:t xml:space="preserve">.</w:t>
      </w:r>
      <w:r>
        <w:t xml:space="preserve"> </w:t>
      </w:r>
      <w:r>
        <w:t xml:space="preserve">[112]</w:t>
      </w:r>
      <w:r>
        <w:t xml:space="preserve"> </w:t>
      </w:r>
      <w:r>
        <w:t xml:space="preserve">places the emergence of complex inter-group connectivity at around 30 ka BP, however, our results show evidence of inter-connectivity beginning at around 41 ka BP, perhaps suggesting an earlier emergence of complex inter-connectivity than previously predicted. We attempted to rectify the low temporal resolution that tends to affect network analysis results when analyzing older, more time-averaged data sets</w:t>
      </w:r>
      <w:r>
        <w:t xml:space="preserve"> </w:t>
      </w:r>
      <w:r>
        <w:t xml:space="preserve">[113]</w:t>
      </w:r>
      <w:r>
        <w:t xml:space="preserve"> </w:t>
      </w:r>
      <w:r>
        <w:t xml:space="preserve">by dividing the data up into smaller time periods. Additionally, by focusing on change over time, we are able to see social networks as fluid and dynamic, rather than static and bounded</w:t>
      </w:r>
      <w:r>
        <w:t xml:space="preserve"> </w:t>
      </w:r>
      <w:r>
        <w:t xml:space="preserve">[69]</w:t>
      </w:r>
      <w:r>
        <w:t xml:space="preserve">.Our results do not support the conclusions drawn in</w:t>
      </w:r>
      <w:r>
        <w:t xml:space="preserve"> </w:t>
      </w:r>
      <w:r>
        <w:t xml:space="preserve">[6]</w:t>
      </w:r>
      <w:r>
        <w:t xml:space="preserve"> </w:t>
      </w:r>
      <w:r>
        <w:t xml:space="preserve">, where Aurignacian artwork is found to be a symbolic marker of structured ethnic identity, but are supported by</w:t>
      </w:r>
      <w:r>
        <w:t xml:space="preserve"> </w:t>
      </w:r>
      <w:r>
        <w:t xml:space="preserve">[88]</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Aurigancian ornaments.</w:t>
      </w:r>
    </w:p>
    <w:p>
      <w:pPr>
        <w:pStyle w:val="BodyText"/>
      </w:pPr>
      <w:r>
        <w:t xml:space="preserve">One limitation is the potential ambiguity that arises with some of the sign types. While</w:t>
      </w:r>
      <w:r>
        <w:t xml:space="preserve"> </w:t>
      </w:r>
      <w:r>
        <w:t xml:space="preserve">[114]</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[115]</w:t>
      </w:r>
      <w:r>
        <w:t xml:space="preserve">, and additionally, greater quantities of included sign types serve to establish stronger connections</w:t>
      </w:r>
      <w:r>
        <w:t xml:space="preserve"> </w:t>
      </w:r>
      <w:r>
        <w:t xml:space="preserve">[113]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p>
    <w:p>
      <w:pPr>
        <w:pStyle w:val="BodyText"/>
      </w:pPr>
      <w:r>
        <w:t xml:space="preserve">A further limitation concerns the effects of time-averaging on our network reconstructions.</w:t>
      </w:r>
      <w:r>
        <w:t xml:space="preserve"> </w:t>
      </w:r>
      <w:r>
        <w:t xml:space="preserve">[116]</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three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[58]</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social organisation patterns discussed above.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processed dataset (</w:t>
      </w:r>
      <w:r>
        <w:rPr>
          <w:rStyle w:val="VerbatimChar"/>
        </w:rPr>
        <w:t xml:space="preserve">signBase_Version1.0.csv</w:t>
      </w:r>
      <w:r>
        <w:t xml:space="preserve">) is included with this paper as Supporting Information. The original unprocessed dataset is available from the SignBase repository (Dutkiewicz et al. 2020, https://doi.org/10.1038/s41597-020-00704-x). All analysis functions are defined in</w:t>
      </w:r>
      <w:r>
        <w:t xml:space="preserve"> </w:t>
      </w:r>
      <w:r>
        <w:rPr>
          <w:rStyle w:val="VerbatimChar"/>
        </w:rPr>
        <w:t xml:space="preserve">paper/functions.R</w:t>
      </w:r>
      <w:r>
        <w:t xml:space="preserve"> </w:t>
      </w:r>
      <w:r>
        <w:t xml:space="preserve">and sourced at the start of each rendering session. The following R packages were used: dplyr, ggplot2, igraph, knitr, MASS, purrr, readxl, reshape2, rnaturalearth, scales, sf, statnet, tidyr, vegan. Eight sites were excluded from analysis due to incomplete phase attribution, uncertain sign identification, or duplicate material: Abri du Gazel, Roc-de-Combe, La Viña, Isturitz, Spy, Grotte des Contrebandiers, Geissenklösterle, and Bajondillo Cave. The full analysis pipeline can be reproduced by rendering</w:t>
      </w:r>
      <w:r>
        <w:t xml:space="preserve"> </w:t>
      </w:r>
      <w:r>
        <w:rPr>
          <w:rStyle w:val="VerbatimChar"/>
        </w:rPr>
        <w:t xml:space="preserve">paper.qmd</w:t>
      </w:r>
      <w:r>
        <w:t xml:space="preserve"> </w:t>
      </w:r>
      <w:r>
        <w:t xml:space="preserve">and</w:t>
      </w:r>
      <w:r>
        <w:t xml:space="preserve"> </w:t>
      </w:r>
      <w:r>
        <w:rPr>
          <w:rStyle w:val="VerbatimChar"/>
        </w:rPr>
        <w:t xml:space="preserve">supplement.qmd</w:t>
      </w:r>
      <w:r>
        <w:t xml:space="preserve"> </w:t>
      </w:r>
      <w:r>
        <w:t xml:space="preserve">with Quarto.</w:t>
      </w:r>
    </w:p>
    <w:bookmarkEnd w:id="61"/>
    <w:bookmarkStart w:id="260" w:name="references"/>
    <w:p>
      <w:pPr>
        <w:pStyle w:val="Heading1"/>
      </w:pPr>
      <w:r>
        <w:t xml:space="preserve">References</w:t>
      </w:r>
    </w:p>
    <w:bookmarkStart w:id="259"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 aurignacian and gravettian personal ornaments support cultural continuity in the early upper palaeolithic.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 europe.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 Paleolithic 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 Aurignacian ethno-linguistic geography of europe 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 palaeolithic networks: The question of symbolic territories and their interpretation through magdalenian 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(balzi rossi, italy): Implications for the characterization of the aurignacian in south-western europe.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 aurignacian assemblages: Implications for understanding the appearance of osseous technology in europe.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 SignBase, a collection of geometric signs on mobile objects in the paleolithic. Scientific Data 2020;7:364.</w:t>
      </w:r>
      <w:r>
        <w:t xml:space="preserve"> </w:t>
      </w:r>
      <w:hyperlink r:id="rId79">
        <w:r>
          <w:rPr>
            <w:rStyle w:val="Hyperlink"/>
          </w:rPr>
          <w:t xml:space="preserve">https://doi.org/10.1038/s41597-020-00704-x</w:t>
        </w:r>
      </w:hyperlink>
      <w:r>
        <w:t xml:space="preserve">.</w:t>
      </w:r>
    </w:p>
    <w:bookmarkEnd w:id="80"/>
    <w:bookmarkStart w:id="82" w:name="ref-Chu_Richter_2020"/>
    <w:p>
      <w:pPr>
        <w:pStyle w:val="Bibliography"/>
      </w:pPr>
      <w:r>
        <w:t xml:space="preserve">[11]</w:t>
      </w:r>
      <w:r>
        <w:t xml:space="preserve"> </w:t>
      </w:r>
      <w:r>
        <w:t xml:space="preserve">	</w:t>
      </w:r>
      <w:r>
        <w:t xml:space="preserve">Chu W, Richter J. Aurignacian cultural unit. Encyclopedia of global archaeology, Cham: Springer International Publishing; 2020, p. 1–10.</w:t>
      </w:r>
      <w:r>
        <w:t xml:space="preserve"> </w:t>
      </w:r>
      <w:hyperlink r:id="rId81">
        <w:r>
          <w:rPr>
            <w:rStyle w:val="Hyperlink"/>
          </w:rPr>
          <w:t xml:space="preserve">https://doi.org/10.1007/978-3-319-51726-1_3441-1</w:t>
        </w:r>
      </w:hyperlink>
      <w:r>
        <w:t xml:space="preserve">.</w:t>
      </w:r>
    </w:p>
    <w:bookmarkEnd w:id="82"/>
    <w:bookmarkStart w:id="83" w:name="ref-dinnis2019thoughts"/>
    <w:p>
      <w:pPr>
        <w:pStyle w:val="Bibliography"/>
      </w:pPr>
      <w:r>
        <w:t xml:space="preserve">[12]</w:t>
      </w:r>
      <w:r>
        <w:t xml:space="preserve"> </w:t>
      </w:r>
      <w:r>
        <w:t xml:space="preserve">	</w:t>
      </w:r>
      <w:r>
        <w:t xml:space="preserve">Dinnis R, Bessudnov A, Chiotti L, Flas D, Michel A. Thoughts on the structure of the european aurignacian, with particular focus on hohle fels IV. Proceedings of the Prehistoric Society 2019;85:29–60.</w:t>
      </w:r>
    </w:p>
    <w:bookmarkEnd w:id="83"/>
    <w:bookmarkStart w:id="84" w:name="ref-falcucci2020breaking"/>
    <w:p>
      <w:pPr>
        <w:pStyle w:val="Bibliography"/>
      </w:pPr>
      <w:r>
        <w:t xml:space="preserve">[13]</w:t>
      </w:r>
      <w:r>
        <w:t xml:space="preserve"> </w:t>
      </w:r>
      <w:r>
        <w:t xml:space="preserve">	</w:t>
      </w:r>
      <w:r>
        <w:t xml:space="preserve">Falcucci A, Conard NJ, Peresani M, et al. Breaking through the aquitaine frame: A re-evaluation on the significance of regional variants during the aurignacian as seen from a key record in southern europe. Journal of Anthropological Sciences 2020;98:99–140.</w:t>
      </w:r>
    </w:p>
    <w:bookmarkEnd w:id="84"/>
    <w:bookmarkStart w:id="85" w:name="ref-clark200917"/>
    <w:p>
      <w:pPr>
        <w:pStyle w:val="Bibliography"/>
      </w:pPr>
      <w:r>
        <w:t xml:space="preserve">[14]</w:t>
      </w:r>
      <w:r>
        <w:t xml:space="preserve"> </w:t>
      </w:r>
      <w:r>
        <w:t xml:space="preserve">	</w:t>
      </w:r>
      <w:r>
        <w:t xml:space="preserve">Clark GA, Riel-Salvatore J. What’s in a name? Observations on the compositional integrity of the aurignacian. The mediterranean from 50 000 to 25 000 BP, vol. 323, Oxbow Books; 2009.</w:t>
      </w:r>
    </w:p>
    <w:bookmarkEnd w:id="85"/>
    <w:bookmarkStart w:id="86" w:name="ref-zilhao2024data"/>
    <w:p>
      <w:pPr>
        <w:pStyle w:val="Bibliography"/>
      </w:pPr>
      <w:r>
        <w:t xml:space="preserve">[15]</w:t>
      </w:r>
      <w:r>
        <w:t xml:space="preserve"> </w:t>
      </w:r>
      <w:r>
        <w:t xml:space="preserve">	</w:t>
      </w:r>
      <w:r>
        <w:t xml:space="preserve">Zilhão J, d’Errico F, Banks WE, Teyssandier N. A data-driven paradigm shift for the middle-to-upper palaeolithic transition and the neandertal debate. Quaternary Environments and Humans 2024;2:100037.</w:t>
      </w:r>
    </w:p>
    <w:bookmarkEnd w:id="86"/>
    <w:bookmarkStart w:id="87" w:name="ref-bordes2006news"/>
    <w:p>
      <w:pPr>
        <w:pStyle w:val="Bibliography"/>
      </w:pPr>
      <w:r>
        <w:t xml:space="preserve">[16]</w:t>
      </w:r>
      <w:r>
        <w:t xml:space="preserve"> </w:t>
      </w:r>
      <w:r>
        <w:t xml:space="preserve">	</w:t>
      </w:r>
      <w:r>
        <w:t xml:space="preserve">Bordes J-G. News from the west: A reevaluation of the classical aurignacian sequence of the p</w:t>
      </w:r>
      <w:r>
        <w:t xml:space="preserve">é</w:t>
      </w:r>
      <w:r>
        <w:t xml:space="preserve">rigord. Towards a Definition of the Aurignacian 2006;45:147–71.</w:t>
      </w:r>
    </w:p>
    <w:bookmarkEnd w:id="87"/>
    <w:bookmarkStart w:id="88" w:name="ref-canessa2026unpacking"/>
    <w:p>
      <w:pPr>
        <w:pStyle w:val="Bibliography"/>
      </w:pPr>
      <w:r>
        <w:t xml:space="preserve">[17]</w:t>
      </w:r>
      <w:r>
        <w:t xml:space="preserve"> </w:t>
      </w:r>
      <w:r>
        <w:t xml:space="preserve">	</w:t>
      </w:r>
      <w:r>
        <w:t xml:space="preserve">Canessa T, Peña P de la. Unpacking lithic assemblage variability in the early upper palaeolithic: A multivariate approach to the structure of the iberian aurignacian. Plos One 2026;21:e0345202.</w:t>
      </w:r>
    </w:p>
    <w:bookmarkEnd w:id="88"/>
    <w:bookmarkStart w:id="90" w:name="X68cdd7ba62fc5dd3e1e9b497937717305f7b9a0"/>
    <w:p>
      <w:pPr>
        <w:pStyle w:val="Bibliography"/>
      </w:pPr>
      <w:r>
        <w:t xml:space="preserve">[18]</w:t>
      </w:r>
      <w:r>
        <w:t xml:space="preserve"> </w:t>
      </w:r>
      <w:r>
        <w:t xml:space="preserve">	</w:t>
      </w:r>
      <w:r>
        <w:t xml:space="preserve">Shao Y, Limberg H, Klein K, Wegener C, Schmidt I, Weniger G-C, et al. Human-existence probability of the aurignacian techno-complex under extreme climate conditions. Quaternary Science Reviews 2021;263:106995. https://doi.org/</w:t>
      </w:r>
      <w:hyperlink r:id="rId89">
        <w:r>
          <w:rPr>
            <w:rStyle w:val="Hyperlink"/>
          </w:rPr>
          <w:t xml:space="preserve">https://doi.org/10.1016/j.quascirev.2021.106995</w:t>
        </w:r>
      </w:hyperlink>
      <w:r>
        <w:t xml:space="preserve">.</w:t>
      </w:r>
    </w:p>
    <w:bookmarkEnd w:id="90"/>
    <w:bookmarkStart w:id="92" w:name="ref-Schmidt_Zimmermann_2019"/>
    <w:p>
      <w:pPr>
        <w:pStyle w:val="Bibliography"/>
      </w:pPr>
      <w:r>
        <w:t xml:space="preserve">[19]</w:t>
      </w:r>
      <w:r>
        <w:t xml:space="preserve"> </w:t>
      </w:r>
      <w:r>
        <w:t xml:space="preserve">	</w:t>
      </w:r>
      <w:r>
        <w:t xml:space="preserve">Schmidt I, Zimmermann A. Population dynamics and socio-spatial organization of the aurignacian: Scalable quantitative demographic data for western and central europe. PLoS ONE 2019;14:e0211562.</w:t>
      </w:r>
      <w:r>
        <w:t xml:space="preserve"> </w:t>
      </w:r>
      <w:hyperlink r:id="rId91">
        <w:r>
          <w:rPr>
            <w:rStyle w:val="Hyperlink"/>
          </w:rPr>
          <w:t xml:space="preserve">https://doi.org/10.1371/journal.pone.0211562</w:t>
        </w:r>
      </w:hyperlink>
      <w:r>
        <w:t xml:space="preserve">.</w:t>
      </w:r>
    </w:p>
    <w:bookmarkEnd w:id="92"/>
    <w:bookmarkStart w:id="94" w:name="ref-Banks_dErrico_Zilhao_2013"/>
    <w:p>
      <w:pPr>
        <w:pStyle w:val="Bibliography"/>
      </w:pPr>
      <w:r>
        <w:t xml:space="preserve">[20]</w:t>
      </w:r>
      <w:r>
        <w:t xml:space="preserve"> </w:t>
      </w:r>
      <w:r>
        <w:t xml:space="preserve">	</w:t>
      </w:r>
      <w:r>
        <w:t xml:space="preserve">Banks WE, d’Errico F, Zilhão J. Human–climate interaction during the early upper paleolithic: Testing the hypothesis of an adaptive shift between the proto-aurignacian and the early aurignacian. Journal of Human Evolution 2013;64:39–55. https://doi.org/</w:t>
      </w:r>
      <w:hyperlink r:id="rId93">
        <w:r>
          <w:rPr>
            <w:rStyle w:val="Hyperlink"/>
          </w:rPr>
          <w:t xml:space="preserve">https://doi.org/10.1016/j.jhevol.2012.10.001</w:t>
        </w:r>
      </w:hyperlink>
      <w:r>
        <w:t xml:space="preserve">.</w:t>
      </w:r>
    </w:p>
    <w:bookmarkEnd w:id="94"/>
    <w:bookmarkStart w:id="96" w:name="ref-Falcucci_Peresani_2017"/>
    <w:p>
      <w:pPr>
        <w:pStyle w:val="Bibliography"/>
      </w:pPr>
      <w:r>
        <w:t xml:space="preserve">[21]</w:t>
      </w:r>
      <w:r>
        <w:t xml:space="preserve"> </w:t>
      </w:r>
      <w:r>
        <w:t xml:space="preserve">	</w:t>
      </w:r>
      <w:r>
        <w:t xml:space="preserve">Falcucci A, Conard NJ, Peresani M. A critical assessment of the protoaurignacian lithic technology at fumane cave and its implications for the definition of the earliest aurignacian. PLoS ONE 2017;12:e0189241.</w:t>
      </w:r>
      <w:r>
        <w:t xml:space="preserve"> </w:t>
      </w:r>
      <w:hyperlink r:id="rId95">
        <w:r>
          <w:rPr>
            <w:rStyle w:val="Hyperlink"/>
          </w:rPr>
          <w:t xml:space="preserve">https://doi.org/10.1371/journal.pone.0189241</w:t>
        </w:r>
      </w:hyperlink>
      <w:r>
        <w:t xml:space="preserve">.</w:t>
      </w:r>
    </w:p>
    <w:bookmarkEnd w:id="96"/>
    <w:bookmarkStart w:id="98" w:name="ref-Fletcher_Sánchez"/>
    <w:p>
      <w:pPr>
        <w:pStyle w:val="Bibliography"/>
      </w:pPr>
      <w:r>
        <w:t xml:space="preserve">[22]</w:t>
      </w:r>
      <w:r>
        <w:t xml:space="preserve"> </w:t>
      </w:r>
      <w:r>
        <w:t xml:space="preserve">	</w:t>
      </w:r>
      <w:r>
        <w:t xml:space="preserve">Fletcher WJ, Sánchez Goñi MF, Allen JRM, Cheddadi R, Combourieu-Nebout N, Huntley B, et al. Millennial-scale variability during the last glacial in vegetation records from europe. Quaternary Science Reviews 2010;29:2839–64.</w:t>
      </w:r>
      <w:r>
        <w:t xml:space="preserve"> </w:t>
      </w:r>
      <w:hyperlink r:id="rId97">
        <w:r>
          <w:rPr>
            <w:rStyle w:val="Hyperlink"/>
          </w:rPr>
          <w:t xml:space="preserve">https://doi.org/10.1016/j.quascirev.2009.11.015</w:t>
        </w:r>
      </w:hyperlink>
      <w:r>
        <w:t xml:space="preserve">.</w:t>
      </w:r>
    </w:p>
    <w:bookmarkEnd w:id="98"/>
    <w:bookmarkStart w:id="100" w:name="ref-Crema_Bevan_2021"/>
    <w:p>
      <w:pPr>
        <w:pStyle w:val="Bibliography"/>
      </w:pPr>
      <w:r>
        <w:t xml:space="preserve">[23]</w:t>
      </w:r>
      <w:r>
        <w:t xml:space="preserve"> </w:t>
      </w:r>
      <w:r>
        <w:t xml:space="preserve">	</w:t>
      </w:r>
      <w:r>
        <w:t xml:space="preserve">Crema ER, Bevan A. INFERENCE FROM LARGE SETS OF RADIOCARBON DATES: SOFTWARE AND METHODS. Radiocarbon 2021;63:23–39.</w:t>
      </w:r>
      <w:r>
        <w:t xml:space="preserve"> </w:t>
      </w:r>
      <w:hyperlink r:id="rId99">
        <w:r>
          <w:rPr>
            <w:rStyle w:val="Hyperlink"/>
          </w:rPr>
          <w:t xml:space="preserve">https://doi.org/10.1017/RDC.2020.95</w:t>
        </w:r>
      </w:hyperlink>
      <w:r>
        <w:t xml:space="preserve">.</w:t>
      </w:r>
    </w:p>
    <w:bookmarkEnd w:id="100"/>
    <w:bookmarkStart w:id="102" w:name="ref-Lycett_2019"/>
    <w:p>
      <w:pPr>
        <w:pStyle w:val="Bibliography"/>
      </w:pPr>
      <w:r>
        <w:t xml:space="preserve">[24]</w:t>
      </w:r>
      <w:r>
        <w:t xml:space="preserve"> </w:t>
      </w:r>
      <w:r>
        <w:t xml:space="preserve">	</w:t>
      </w:r>
      <w:r>
        <w:t xml:space="preserve">Lycett SJ. Confirmation of the role of geographic isolation by distance in among-tribe variations in beadwork designs and manufacture on the high plains. Archaeological and Anthropological Sciences 2019;11:2837–47.</w:t>
      </w:r>
      <w:r>
        <w:t xml:space="preserve"> </w:t>
      </w:r>
      <w:hyperlink r:id="rId101">
        <w:r>
          <w:rPr>
            <w:rStyle w:val="Hyperlink"/>
          </w:rPr>
          <w:t xml:space="preserve">https://doi.org/10.1007/s12520-018-0742-3</w:t>
        </w:r>
      </w:hyperlink>
      <w:r>
        <w:t xml:space="preserve">.</w:t>
      </w:r>
    </w:p>
    <w:bookmarkEnd w:id="102"/>
    <w:bookmarkStart w:id="104" w:name="ref-Mantel_Smouse"/>
    <w:p>
      <w:pPr>
        <w:pStyle w:val="Bibliography"/>
      </w:pPr>
      <w:r>
        <w:t xml:space="preserve">[25]</w:t>
      </w:r>
      <w:r>
        <w:t xml:space="preserve"> </w:t>
      </w:r>
      <w:r>
        <w:t xml:space="preserve">	</w:t>
      </w:r>
      <w:r>
        <w:t xml:space="preserve">Smouse PE, Long JC. Matrix correlation analysis in anthropology and genetics. American Journal of Physical Anthropology 1992;35:187–213. https://doi.org/</w:t>
      </w:r>
      <w:hyperlink r:id="rId103">
        <w:r>
          <w:rPr>
            <w:rStyle w:val="Hyperlink"/>
          </w:rPr>
          <w:t xml:space="preserve">https://doi.org/10.1002/ajpa.1330350608</w:t>
        </w:r>
      </w:hyperlink>
      <w:r>
        <w:t xml:space="preserve">.</w:t>
      </w:r>
    </w:p>
    <w:bookmarkEnd w:id="104"/>
    <w:bookmarkStart w:id="106" w:name="ref-Vegan2001"/>
    <w:p>
      <w:pPr>
        <w:pStyle w:val="Bibliography"/>
      </w:pPr>
      <w:r>
        <w:t xml:space="preserve">[26]</w:t>
      </w:r>
      <w:r>
        <w:t xml:space="preserve"> </w:t>
      </w:r>
      <w:r>
        <w:t xml:space="preserve">	</w:t>
      </w:r>
      <w:r>
        <w:t xml:space="preserve">Oksanen J, Simpson GL, Blanchet FG, Kindt R, Legendre P, Minchin PR, et al. Vegan: Community ecology package 2001:25–31.</w:t>
      </w:r>
      <w:r>
        <w:t xml:space="preserve"> </w:t>
      </w:r>
      <w:hyperlink r:id="rId105">
        <w:r>
          <w:rPr>
            <w:rStyle w:val="Hyperlink"/>
          </w:rPr>
          <w:t xml:space="preserve">https://doi.org/10.32614/CRAN.package.vegan</w:t>
        </w:r>
      </w:hyperlink>
      <w:r>
        <w:t xml:space="preserve">.</w:t>
      </w:r>
    </w:p>
    <w:bookmarkEnd w:id="106"/>
    <w:bookmarkStart w:id="108" w:name="ref-Rigaud_dErrico_Vanhaeren_2015"/>
    <w:p>
      <w:pPr>
        <w:pStyle w:val="Bibliography"/>
      </w:pPr>
      <w:r>
        <w:t xml:space="preserve">[27]</w:t>
      </w:r>
      <w:r>
        <w:t xml:space="preserve"> </w:t>
      </w:r>
      <w:r>
        <w:t xml:space="preserve">	</w:t>
      </w:r>
      <w:r>
        <w:t xml:space="preserve">Rigaud S, d’Errico F, Vanhaeren M. Ornaments reveal resistance of north european cultures to the spread of farming. PLOS ONE 2015;10:e0121166.</w:t>
      </w:r>
      <w:r>
        <w:t xml:space="preserve"> </w:t>
      </w:r>
      <w:hyperlink r:id="rId107">
        <w:r>
          <w:rPr>
            <w:rStyle w:val="Hyperlink"/>
          </w:rPr>
          <w:t xml:space="preserve">https://doi.org/10.1371/journal.pone.0121166</w:t>
        </w:r>
      </w:hyperlink>
      <w:r>
        <w:t xml:space="preserve">.</w:t>
      </w:r>
    </w:p>
    <w:bookmarkEnd w:id="108"/>
    <w:bookmarkStart w:id="110" w:name="ref-seriation_pckge"/>
    <w:p>
      <w:pPr>
        <w:pStyle w:val="Bibliography"/>
      </w:pPr>
      <w:r>
        <w:t xml:space="preserve">[28]</w:t>
      </w:r>
      <w:r>
        <w:t xml:space="preserve"> </w:t>
      </w:r>
      <w:r>
        <w:t xml:space="preserve">	</w:t>
      </w:r>
      <w:r>
        <w:t xml:space="preserve">Hahsler M, Hornik K, Buchta C. Getting things in order: An introduction to the r package seriation. Journal of Statistical Software 2008;25:1–34.</w:t>
      </w:r>
      <w:r>
        <w:t xml:space="preserve"> </w:t>
      </w:r>
      <w:hyperlink r:id="rId109">
        <w:r>
          <w:rPr>
            <w:rStyle w:val="Hyperlink"/>
          </w:rPr>
          <w:t xml:space="preserve">https://doi.org/10.18637/jss.v025.i03</w:t>
        </w:r>
      </w:hyperlink>
      <w:r>
        <w:t xml:space="preserve">.</w:t>
      </w:r>
    </w:p>
    <w:bookmarkEnd w:id="110"/>
    <w:bookmarkStart w:id="112" w:name="ref-Brower_Kile_1988"/>
    <w:p>
      <w:pPr>
        <w:pStyle w:val="Bibliography"/>
      </w:pPr>
      <w:r>
        <w:t xml:space="preserve">[29]</w:t>
      </w:r>
      <w:r>
        <w:t xml:space="preserve"> </w:t>
      </w:r>
      <w:r>
        <w:t xml:space="preserve">	</w:t>
      </w:r>
      <w:r>
        <w:t xml:space="preserve">Brower JC, Kile KM. Seriation of an original data matrix as applied to paleoecology. Lethaia 1988;21:79–93.</w:t>
      </w:r>
      <w:r>
        <w:t xml:space="preserve"> </w:t>
      </w:r>
      <w:hyperlink r:id="rId111">
        <w:r>
          <w:rPr>
            <w:rStyle w:val="Hyperlink"/>
          </w:rPr>
          <w:t xml:space="preserve">https://doi.org/10.1111/j.1502-3931.1988.tb01756.x</w:t>
        </w:r>
      </w:hyperlink>
      <w:r>
        <w:t xml:space="preserve">.</w:t>
      </w:r>
    </w:p>
    <w:bookmarkEnd w:id="112"/>
    <w:bookmarkStart w:id="114" w:name="ref-Mills_2017"/>
    <w:p>
      <w:pPr>
        <w:pStyle w:val="Bibliography"/>
      </w:pPr>
      <w:r>
        <w:t xml:space="preserve">[30]</w:t>
      </w:r>
      <w:r>
        <w:t xml:space="preserve"> </w:t>
      </w:r>
      <w:r>
        <w:t xml:space="preserve">	</w:t>
      </w:r>
      <w:r>
        <w:t xml:space="preserve">Mills BJ. Social network analysis in archaeology. Annual Review of Anthropology 2017;46:379–97.</w:t>
      </w:r>
      <w:r>
        <w:t xml:space="preserve"> </w:t>
      </w:r>
      <w:hyperlink r:id="rId113">
        <w:r>
          <w:rPr>
            <w:rStyle w:val="Hyperlink"/>
          </w:rPr>
          <w:t xml:space="preserve">https://doi.org/10.1146/annurev-anthro-102116-041423</w:t>
        </w:r>
      </w:hyperlink>
      <w:r>
        <w:t xml:space="preserve">.</w:t>
      </w:r>
    </w:p>
    <w:bookmarkEnd w:id="114"/>
    <w:bookmarkStart w:id="116" w:name="ref-Fruchterman_Reingold_1991"/>
    <w:p>
      <w:pPr>
        <w:pStyle w:val="Bibliography"/>
      </w:pPr>
      <w:r>
        <w:t xml:space="preserve">[31]</w:t>
      </w:r>
      <w:r>
        <w:t xml:space="preserve"> </w:t>
      </w:r>
      <w:r>
        <w:t xml:space="preserve">	</w:t>
      </w:r>
      <w:r>
        <w:t xml:space="preserve">Fruchterman TMJ, Reingold EM. Graph drawing by force-directed placement. Software: Practice and Experience 1991;21:1129–64.</w:t>
      </w:r>
      <w:r>
        <w:t xml:space="preserve"> </w:t>
      </w:r>
      <w:hyperlink r:id="rId115">
        <w:r>
          <w:rPr>
            <w:rStyle w:val="Hyperlink"/>
          </w:rPr>
          <w:t xml:space="preserve">https://doi.org/10.1002/spe.4380211102</w:t>
        </w:r>
      </w:hyperlink>
      <w:r>
        <w:t xml:space="preserve">.</w:t>
      </w:r>
    </w:p>
    <w:bookmarkEnd w:id="116"/>
    <w:bookmarkStart w:id="118" w:name="ref-statnet_package"/>
    <w:p>
      <w:pPr>
        <w:pStyle w:val="Bibliography"/>
      </w:pPr>
      <w:r>
        <w:t xml:space="preserve">[32]</w:t>
      </w:r>
      <w:r>
        <w:t xml:space="preserve"> </w:t>
      </w:r>
      <w:r>
        <w:t xml:space="preserve">	</w:t>
      </w:r>
      <w:r>
        <w:t xml:space="preserve">Pavel N. Krivitsky MSH, Hunter DR, Butts CT, Bojanowski M, Klumb C, Goodreau SM, et al.</w:t>
      </w:r>
      <w:r>
        <w:t xml:space="preserve"> </w:t>
      </w:r>
      <w:hyperlink r:id="rId117">
        <w:r>
          <w:rPr>
            <w:rStyle w:val="Hyperlink"/>
          </w:rPr>
          <w:t xml:space="preserve">Statnet: Tools for the statistical modeling of network data</w:t>
        </w:r>
      </w:hyperlink>
      <w:r>
        <w:t xml:space="preserve"> </w:t>
      </w:r>
      <w:r>
        <w:t xml:space="preserve">2003–2024.</w:t>
      </w:r>
    </w:p>
    <w:bookmarkEnd w:id="118"/>
    <w:bookmarkStart w:id="120" w:name="ref-igraph_package"/>
    <w:p>
      <w:pPr>
        <w:pStyle w:val="Bibliography"/>
      </w:pPr>
      <w:r>
        <w:t xml:space="preserve">[33]</w:t>
      </w:r>
      <w:r>
        <w:t xml:space="preserve"> </w:t>
      </w:r>
      <w:r>
        <w:t xml:space="preserve">	</w:t>
      </w:r>
      <w:r>
        <w:t xml:space="preserve">Csardi G, Nepusz T.</w:t>
      </w:r>
      <w:r>
        <w:t xml:space="preserve"> </w:t>
      </w:r>
      <w:hyperlink r:id="rId119">
        <w:r>
          <w:rPr>
            <w:rStyle w:val="Hyperlink"/>
          </w:rPr>
          <w:t xml:space="preserve">The igraph software package for complex network research</w:t>
        </w:r>
      </w:hyperlink>
      <w:r>
        <w:t xml:space="preserve">. InterJournal 2006;Complex Systems:1695.</w:t>
      </w:r>
    </w:p>
    <w:bookmarkEnd w:id="120"/>
    <w:bookmarkStart w:id="122" w:name="ref-Anderson_2017"/>
    <w:p>
      <w:pPr>
        <w:pStyle w:val="Bibliography"/>
      </w:pPr>
      <w:r>
        <w:t xml:space="preserve">[34]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21">
        <w:r>
          <w:rPr>
            <w:rStyle w:val="Hyperlink"/>
          </w:rPr>
          <w:t xml:space="preserve">https://doi.org/10.1002/9781118445112.stat07841</w:t>
        </w:r>
      </w:hyperlink>
      <w:r>
        <w:t xml:space="preserve">.</w:t>
      </w:r>
    </w:p>
    <w:bookmarkEnd w:id="122"/>
    <w:bookmarkStart w:id="124" w:name="ref-Shennan_Crema_Kerig_2015"/>
    <w:p>
      <w:pPr>
        <w:pStyle w:val="Bibliography"/>
      </w:pPr>
      <w:r>
        <w:t xml:space="preserve">[35]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 neolithic europe. Evolution and Human Behavior 2015;36:103–9.</w:t>
      </w:r>
      <w:r>
        <w:t xml:space="preserve"> </w:t>
      </w:r>
      <w:hyperlink r:id="rId123">
        <w:r>
          <w:rPr>
            <w:rStyle w:val="Hyperlink"/>
          </w:rPr>
          <w:t xml:space="preserve">https://doi.org/10.1016/j.evolhumbehav.2014.09.006</w:t>
        </w:r>
      </w:hyperlink>
      <w:r>
        <w:t xml:space="preserve">.</w:t>
      </w:r>
    </w:p>
    <w:bookmarkEnd w:id="124"/>
    <w:bookmarkStart w:id="125" w:name="ref-newman2004finding"/>
    <w:p>
      <w:pPr>
        <w:pStyle w:val="Bibliography"/>
      </w:pPr>
      <w:r>
        <w:t xml:space="preserve">[36]</w:t>
      </w:r>
      <w:r>
        <w:t xml:space="preserve"> </w:t>
      </w:r>
      <w:r>
        <w:t xml:space="preserve">	</w:t>
      </w:r>
      <w:r>
        <w:t xml:space="preserve">Newman ME, Girvan M. Finding and evaluating community structure in networks. Physical Review E 2004;69:026113.</w:t>
      </w:r>
    </w:p>
    <w:bookmarkEnd w:id="125"/>
    <w:bookmarkStart w:id="127" w:name="ref-Finlayson_Warren_2017"/>
    <w:p>
      <w:pPr>
        <w:pStyle w:val="Bibliography"/>
      </w:pPr>
      <w:r>
        <w:t xml:space="preserve">[37]</w:t>
      </w:r>
      <w:r>
        <w:t xml:space="preserve"> </w:t>
      </w:r>
      <w:r>
        <w:t xml:space="preserve">	</w:t>
      </w:r>
      <w:r>
        <w:t xml:space="preserve">Finlayson B, Warren G.</w:t>
      </w:r>
      <w:r>
        <w:t xml:space="preserve"> </w:t>
      </w:r>
      <w:hyperlink r:id="rId126">
        <w:r>
          <w:rPr>
            <w:rStyle w:val="Hyperlink"/>
          </w:rPr>
          <w:t xml:space="preserve">The diversity of hunter-gatherer pasts: An introduction</w:t>
        </w:r>
      </w:hyperlink>
      <w:r>
        <w:t xml:space="preserve">. In: Finlayson B, Warren G, editors. The diversity of hunter gatherer pasts. 1st ed., Oxbow Books; 2017, p. 1–14.</w:t>
      </w:r>
    </w:p>
    <w:bookmarkEnd w:id="127"/>
    <w:bookmarkStart w:id="129" w:name="ref-Riches_1995"/>
    <w:p>
      <w:pPr>
        <w:pStyle w:val="Bibliography"/>
      </w:pPr>
      <w:r>
        <w:t xml:space="preserve">[38]</w:t>
      </w:r>
      <w:r>
        <w:t xml:space="preserve"> </w:t>
      </w:r>
      <w:r>
        <w:t xml:space="preserve">	</w:t>
      </w:r>
      <w:r>
        <w:t xml:space="preserve">Riches D. Hunter-gatherer structural transformations. The Journal of the Royal Anthropological Institute 1995;1:679–701.</w:t>
      </w:r>
      <w:r>
        <w:t xml:space="preserve"> </w:t>
      </w:r>
      <w:hyperlink r:id="rId128">
        <w:r>
          <w:rPr>
            <w:rStyle w:val="Hyperlink"/>
          </w:rPr>
          <w:t xml:space="preserve">https://doi.org/10.2307/3034956</w:t>
        </w:r>
      </w:hyperlink>
      <w:r>
        <w:t xml:space="preserve">.</w:t>
      </w:r>
    </w:p>
    <w:bookmarkEnd w:id="129"/>
    <w:bookmarkStart w:id="131" w:name="ref-Price_Brown_1985"/>
    <w:p>
      <w:pPr>
        <w:pStyle w:val="Bibliography"/>
      </w:pPr>
      <w:r>
        <w:t xml:space="preserve">[39]</w:t>
      </w:r>
      <w:r>
        <w:t xml:space="preserve"> </w:t>
      </w:r>
      <w:r>
        <w:t xml:space="preserve">	</w:t>
      </w:r>
      <w:r>
        <w:t xml:space="preserve">Price TD, Brown JA. Aspects of hunter–gatherer complexity. In: Price TD, Brown JA, editors. Prehistoric hunters-gatherers, Academic Press; 1985, p. 3–20. https://doi.org/</w:t>
      </w:r>
      <w:hyperlink r:id="rId130">
        <w:r>
          <w:rPr>
            <w:rStyle w:val="Hyperlink"/>
          </w:rPr>
          <w:t xml:space="preserve">https://doi.org/10.1016/B978-0-12-564750-2.50006-8</w:t>
        </w:r>
      </w:hyperlink>
      <w:r>
        <w:t xml:space="preserve">.</w:t>
      </w:r>
    </w:p>
    <w:bookmarkEnd w:id="131"/>
    <w:bookmarkStart w:id="133" w:name="ref-Lane_2017"/>
    <w:p>
      <w:pPr>
        <w:pStyle w:val="Bibliography"/>
      </w:pPr>
      <w:r>
        <w:t xml:space="preserve">[40]</w:t>
      </w:r>
      <w:r>
        <w:t xml:space="preserve"> </w:t>
      </w:r>
      <w:r>
        <w:t xml:space="preserve">	</w:t>
      </w:r>
      <w:r>
        <w:t xml:space="preserve">Lane PJ.</w:t>
      </w:r>
      <w:r>
        <w:t xml:space="preserve"> </w:t>
      </w:r>
      <w:hyperlink r:id="rId13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33"/>
    <w:bookmarkStart w:id="134" w:name="ref-Pate_2006"/>
    <w:p>
      <w:pPr>
        <w:pStyle w:val="Bibliography"/>
      </w:pPr>
      <w:r>
        <w:t xml:space="preserve">[41]</w:t>
      </w:r>
      <w:r>
        <w:t xml:space="preserve"> </w:t>
      </w:r>
      <w:r>
        <w:t xml:space="preserve">	</w:t>
      </w:r>
      <w:r>
        <w:t xml:space="preserve">Pate F. Hunter-gatherer social complexity at roonka flat, south australia. The social archaeology of australian indigenous societies, Aboriginal Studies Press; 2006, p. 226–41.</w:t>
      </w:r>
    </w:p>
    <w:bookmarkEnd w:id="134"/>
    <w:bookmarkStart w:id="136" w:name="ref-Johnson_2014"/>
    <w:p>
      <w:pPr>
        <w:pStyle w:val="Bibliography"/>
      </w:pPr>
      <w:r>
        <w:t xml:space="preserve">[42]</w:t>
      </w:r>
      <w:r>
        <w:t xml:space="preserve"> </w:t>
      </w:r>
      <w:r>
        <w:t xml:space="preserve">	</w:t>
      </w:r>
      <w:r>
        <w:t xml:space="preserve">Johnson AL. Exploring adaptive variation among hunter-gatherers with binford’s frames of reference. Journal of Archaeological Research 2014;22:1–42.</w:t>
      </w:r>
      <w:r>
        <w:t xml:space="preserve"> </w:t>
      </w:r>
      <w:hyperlink r:id="rId135">
        <w:r>
          <w:rPr>
            <w:rStyle w:val="Hyperlink"/>
          </w:rPr>
          <w:t xml:space="preserve">https://doi.org/10.1007/s10814-013-9068-y</w:t>
        </w:r>
      </w:hyperlink>
      <w:r>
        <w:t xml:space="preserve">.</w:t>
      </w:r>
    </w:p>
    <w:bookmarkEnd w:id="136"/>
    <w:bookmarkStart w:id="138" w:name="ref-Singh_Glowacki_2022"/>
    <w:p>
      <w:pPr>
        <w:pStyle w:val="Bibliography"/>
      </w:pPr>
      <w:r>
        <w:t xml:space="preserve">[43]</w:t>
      </w:r>
      <w:r>
        <w:t xml:space="preserve"> </w:t>
      </w:r>
      <w:r>
        <w:t xml:space="preserve">	</w:t>
      </w:r>
      <w:r>
        <w:t xml:space="preserve">Singh M, Glowacki L. Human social organization during the late pleistocene: Beyond the nomadic-egalitarian model. Evolution and Human Behavior 2022;43:418–31. https://doi.org/</w:t>
      </w:r>
      <w:hyperlink r:id="rId137">
        <w:r>
          <w:rPr>
            <w:rStyle w:val="Hyperlink"/>
          </w:rPr>
          <w:t xml:space="preserve">https://doi.org/10.1016/j.evolhumbehav.2022.07.003</w:t>
        </w:r>
      </w:hyperlink>
      <w:r>
        <w:t xml:space="preserve">.</w:t>
      </w:r>
    </w:p>
    <w:bookmarkEnd w:id="138"/>
    <w:bookmarkStart w:id="140" w:name="ref-Schwendler_2012"/>
    <w:p>
      <w:pPr>
        <w:pStyle w:val="Bibliography"/>
      </w:pPr>
      <w:r>
        <w:t xml:space="preserve">[44]</w:t>
      </w:r>
      <w:r>
        <w:t xml:space="preserve"> </w:t>
      </w:r>
      <w:r>
        <w:t xml:space="preserve">	</w:t>
      </w:r>
      <w:r>
        <w:t xml:space="preserve">Schwendler RH. Diversity in social organization across magdalenian western europe ca. 17–12,000 BP. Quaternary International 2012;272–273:333–53. https://doi.org/</w:t>
      </w:r>
      <w:hyperlink r:id="rId139">
        <w:r>
          <w:rPr>
            <w:rStyle w:val="Hyperlink"/>
          </w:rPr>
          <w:t xml:space="preserve">https://doi.org/10.1016/j.quaint.2012.03.054</w:t>
        </w:r>
      </w:hyperlink>
      <w:r>
        <w:t xml:space="preserve">.</w:t>
      </w:r>
    </w:p>
    <w:bookmarkEnd w:id="140"/>
    <w:bookmarkStart w:id="142" w:name="ref-Morwood_1987"/>
    <w:p>
      <w:pPr>
        <w:pStyle w:val="Bibliography"/>
      </w:pPr>
      <w:r>
        <w:t xml:space="preserve">[45]</w:t>
      </w:r>
      <w:r>
        <w:t xml:space="preserve"> </w:t>
      </w:r>
      <w:r>
        <w:t xml:space="preserve">	</w:t>
      </w:r>
      <w:r>
        <w:t xml:space="preserve">Morwood MJ. The archaeology of social complexity in south-east queensland. Proceedings of the Prehistoric Society 1987;53:337–50.</w:t>
      </w:r>
      <w:r>
        <w:t xml:space="preserve"> </w:t>
      </w:r>
      <w:hyperlink r:id="rId141">
        <w:r>
          <w:rPr>
            <w:rStyle w:val="Hyperlink"/>
          </w:rPr>
          <w:t xml:space="preserve">https://doi.org/10.1017/S0079497X00006265</w:t>
        </w:r>
      </w:hyperlink>
      <w:r>
        <w:t xml:space="preserve">.</w:t>
      </w:r>
    </w:p>
    <w:bookmarkEnd w:id="142"/>
    <w:bookmarkStart w:id="144" w:name="ref-Mattson_2021"/>
    <w:p>
      <w:pPr>
        <w:pStyle w:val="Bibliography"/>
      </w:pPr>
      <w:r>
        <w:t xml:space="preserve">[46]</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43">
        <w:r>
          <w:rPr>
            <w:rStyle w:val="Hyperlink"/>
          </w:rPr>
          <w:t xml:space="preserve">https://doi.org/10.2307/j.ctv24q4z2g.5</w:t>
        </w:r>
      </w:hyperlink>
      <w:r>
        <w:t xml:space="preserve">.</w:t>
      </w:r>
    </w:p>
    <w:bookmarkEnd w:id="144"/>
    <w:bookmarkStart w:id="145" w:name="ref-Larsson_2006"/>
    <w:p>
      <w:pPr>
        <w:pStyle w:val="Bibliography"/>
      </w:pPr>
      <w:r>
        <w:t xml:space="preserve">[47]</w:t>
      </w:r>
      <w:r>
        <w:t xml:space="preserve"> </w:t>
      </w:r>
      <w:r>
        <w:t xml:space="preserve">	</w:t>
      </w:r>
      <w:r>
        <w:t xml:space="preserve">Larsson L. A tooth for a tooth: Tooth ornaments from the graves at the cemeteries of zvejnieki. Back to the origin: New research in the mesolithic-neolithic zvejnieki cemetery and environment, northern latvia, vol. 52, Almqvist &amp; Wiksell International; 2006, p. 253–87.</w:t>
      </w:r>
    </w:p>
    <w:bookmarkEnd w:id="145"/>
    <w:bookmarkStart w:id="147" w:name="ref-Moore_2010"/>
    <w:p>
      <w:pPr>
        <w:pStyle w:val="Bibliography"/>
      </w:pPr>
      <w:r>
        <w:t xml:space="preserve">[48]</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46">
        <w:r>
          <w:rPr>
            <w:rStyle w:val="Hyperlink"/>
          </w:rPr>
          <w:t xml:space="preserve">https://doi.org/10.1179/sea.2010.29.1.013</w:t>
        </w:r>
      </w:hyperlink>
      <w:r>
        <w:t xml:space="preserve">.</w:t>
      </w:r>
    </w:p>
    <w:bookmarkEnd w:id="147"/>
    <w:bookmarkStart w:id="149" w:name="ref-Alfonso-Durrruty_Giles_Misarti2015"/>
    <w:p>
      <w:pPr>
        <w:pStyle w:val="Bibliography"/>
      </w:pPr>
      <w:r>
        <w:t xml:space="preserve">[49]</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48">
        <w:r>
          <w:rPr>
            <w:rStyle w:val="Hyperlink"/>
          </w:rPr>
          <w:t xml:space="preserve">https://doi.org/10.1002/ajpa.22832</w:t>
        </w:r>
      </w:hyperlink>
      <w:r>
        <w:t xml:space="preserve">.</w:t>
      </w:r>
    </w:p>
    <w:bookmarkEnd w:id="149"/>
    <w:bookmarkStart w:id="150" w:name="ref-Vanhaeren_2005"/>
    <w:p>
      <w:pPr>
        <w:pStyle w:val="Bibliography"/>
      </w:pPr>
      <w:r>
        <w:t xml:space="preserve">[50]</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50"/>
    <w:bookmarkStart w:id="152" w:name="ref-Conkey_1985"/>
    <w:p>
      <w:pPr>
        <w:pStyle w:val="Bibliography"/>
      </w:pPr>
      <w:r>
        <w:t xml:space="preserve">[51]</w:t>
      </w:r>
      <w:r>
        <w:t xml:space="preserve"> </w:t>
      </w:r>
      <w:r>
        <w:t xml:space="preserve">	</w:t>
      </w:r>
      <w:r>
        <w:t xml:space="preserve">Conkey M. Ritual communication, social elaboration, and the variable trajectories of paleolithic material culture. In: Price TD, Brown JA, editors. Prehistoric hunters-gatherers, Academic Press; 1985, p. 299–323. https://doi.org/</w:t>
      </w:r>
      <w:hyperlink r:id="rId151">
        <w:r>
          <w:rPr>
            <w:rStyle w:val="Hyperlink"/>
          </w:rPr>
          <w:t xml:space="preserve">https://doi.org/10.1016/B978-0-12-564750-2.50016-0</w:t>
        </w:r>
      </w:hyperlink>
      <w:r>
        <w:t xml:space="preserve">.</w:t>
      </w:r>
    </w:p>
    <w:bookmarkEnd w:id="152"/>
    <w:bookmarkStart w:id="153" w:name="ref-Conkey_1978"/>
    <w:p>
      <w:pPr>
        <w:pStyle w:val="Bibliography"/>
      </w:pPr>
      <w:r>
        <w:t xml:space="preserve">[52]</w:t>
      </w:r>
      <w:r>
        <w:t xml:space="preserve"> </w:t>
      </w:r>
      <w:r>
        <w:t xml:space="preserve">	</w:t>
      </w:r>
      <w:r>
        <w:t xml:space="preserve">Conkey M. Style and information in cultural evolution: Toward a predictive model for the paleolithic. Social archaeology: Beyond subsistence and dating, New York: Academic Press; 1978, p. 61–85.</w:t>
      </w:r>
    </w:p>
    <w:bookmarkEnd w:id="153"/>
    <w:bookmarkStart w:id="155" w:name="ref-Tilley_1982"/>
    <w:p>
      <w:pPr>
        <w:pStyle w:val="Bibliography"/>
      </w:pPr>
      <w:r>
        <w:t xml:space="preserve">[53]</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54">
        <w:r>
          <w:rPr>
            <w:rStyle w:val="Hyperlink"/>
          </w:rPr>
          <w:t xml:space="preserve">https://doi.org/10.1017/CBO9780511558252.004</w:t>
        </w:r>
      </w:hyperlink>
      <w:r>
        <w:t xml:space="preserve">.</w:t>
      </w:r>
    </w:p>
    <w:bookmarkEnd w:id="155"/>
    <w:bookmarkStart w:id="157" w:name="ref-Hodder1979"/>
    <w:p>
      <w:pPr>
        <w:pStyle w:val="Bibliography"/>
      </w:pPr>
      <w:r>
        <w:t xml:space="preserve">[54]</w:t>
      </w:r>
      <w:r>
        <w:t xml:space="preserve"> </w:t>
      </w:r>
      <w:r>
        <w:t xml:space="preserve">	</w:t>
      </w:r>
      <w:r>
        <w:t xml:space="preserve">Hodder I.</w:t>
      </w:r>
      <w:r>
        <w:t xml:space="preserve"> </w:t>
      </w:r>
      <w:hyperlink r:id="rId156">
        <w:r>
          <w:rPr>
            <w:rStyle w:val="Hyperlink"/>
          </w:rPr>
          <w:t xml:space="preserve">Economic and social stress and material culture patterning</w:t>
        </w:r>
      </w:hyperlink>
      <w:r>
        <w:t xml:space="preserve">. American Antiquity 1979;44:446–54.</w:t>
      </w:r>
    </w:p>
    <w:bookmarkEnd w:id="157"/>
    <w:bookmarkStart w:id="159" w:name="ref-Hodder1977"/>
    <w:p>
      <w:pPr>
        <w:pStyle w:val="Bibliography"/>
      </w:pPr>
      <w:r>
        <w:t xml:space="preserve">[55]</w:t>
      </w:r>
      <w:r>
        <w:t xml:space="preserve"> </w:t>
      </w:r>
      <w:r>
        <w:t xml:space="preserve">	</w:t>
      </w:r>
      <w:r>
        <w:t xml:space="preserve">Hodder I.</w:t>
      </w:r>
      <w:r>
        <w:t xml:space="preserve"> </w:t>
      </w:r>
      <w:hyperlink r:id="rId158">
        <w:r>
          <w:rPr>
            <w:rStyle w:val="Hyperlink"/>
          </w:rPr>
          <w:t xml:space="preserve">The distribution of material culture items in the baringo district, western kenya</w:t>
        </w:r>
      </w:hyperlink>
      <w:r>
        <w:t xml:space="preserve">. Man 1977;12:239–69.</w:t>
      </w:r>
    </w:p>
    <w:bookmarkEnd w:id="159"/>
    <w:bookmarkStart w:id="160" w:name="ref-Binford_1990"/>
    <w:p>
      <w:pPr>
        <w:pStyle w:val="Bibliography"/>
      </w:pPr>
      <w:r>
        <w:t xml:space="preserve">[56]</w:t>
      </w:r>
      <w:r>
        <w:t xml:space="preserve"> </w:t>
      </w:r>
      <w:r>
        <w:t xml:space="preserve">	</w:t>
      </w:r>
      <w:r>
        <w:t xml:space="preserve">Binford LR. Mobility, housing, and environment: A comparative study. Journal of Anthropological Research 1990;46:119–52.</w:t>
      </w:r>
    </w:p>
    <w:bookmarkEnd w:id="160"/>
    <w:bookmarkStart w:id="161" w:name="ref-Kelly_1983"/>
    <w:p>
      <w:pPr>
        <w:pStyle w:val="Bibliography"/>
      </w:pPr>
      <w:r>
        <w:t xml:space="preserve">[57]</w:t>
      </w:r>
      <w:r>
        <w:t xml:space="preserve"> </w:t>
      </w:r>
      <w:r>
        <w:t xml:space="preserve">	</w:t>
      </w:r>
      <w:r>
        <w:t xml:space="preserve">Kelly RL. Hunter-gatherer mobility strategies. Journal of Anthropological Research 1983;39:277–306.</w:t>
      </w:r>
    </w:p>
    <w:bookmarkEnd w:id="161"/>
    <w:bookmarkStart w:id="163" w:name="ref-Padilla-Iglesias_Bischoff_2024"/>
    <w:p>
      <w:pPr>
        <w:pStyle w:val="Bibliography"/>
      </w:pPr>
      <w:r>
        <w:t xml:space="preserve">[58]</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62">
        <w:r>
          <w:rPr>
            <w:rStyle w:val="Hyperlink"/>
          </w:rPr>
          <w:t xml:space="preserve">https://doi.org/10.1016/j.jasrep.2024.104798</w:t>
        </w:r>
      </w:hyperlink>
      <w:r>
        <w:t xml:space="preserve">.</w:t>
      </w:r>
    </w:p>
    <w:bookmarkEnd w:id="163"/>
    <w:bookmarkStart w:id="165" w:name="ref-Whallon_2006"/>
    <w:p>
      <w:pPr>
        <w:pStyle w:val="Bibliography"/>
      </w:pPr>
      <w:r>
        <w:t xml:space="preserve">[59]</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64">
        <w:r>
          <w:rPr>
            <w:rStyle w:val="Hyperlink"/>
          </w:rPr>
          <w:t xml:space="preserve">https://doi.org/10.1016/j.jaa.2005.11.004</w:t>
        </w:r>
      </w:hyperlink>
      <w:r>
        <w:t xml:space="preserve">.</w:t>
      </w:r>
    </w:p>
    <w:bookmarkEnd w:id="165"/>
    <w:bookmarkStart w:id="166" w:name="ref-Fitzhugh_Phillips_Gjesfeld_2011"/>
    <w:p>
      <w:pPr>
        <w:pStyle w:val="Bibliography"/>
      </w:pPr>
      <w:r>
        <w:t xml:space="preserve">[60]</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66"/>
    <w:bookmarkStart w:id="168" w:name="ref-Lovis_Donahue_2011"/>
    <w:p>
      <w:pPr>
        <w:pStyle w:val="Bibliography"/>
      </w:pPr>
      <w:r>
        <w:t xml:space="preserve">[61]</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67">
        <w:r>
          <w:rPr>
            <w:rStyle w:val="Hyperlink"/>
          </w:rPr>
          <w:t xml:space="preserve">https://doi.org/10.2307/j.ctvdmwwz4.7</w:t>
        </w:r>
      </w:hyperlink>
      <w:r>
        <w:t xml:space="preserve">.</w:t>
      </w:r>
    </w:p>
    <w:bookmarkEnd w:id="168"/>
    <w:bookmarkStart w:id="170" w:name="ref-Hitchcock_Ebert_2011"/>
    <w:p>
      <w:pPr>
        <w:pStyle w:val="Bibliography"/>
      </w:pPr>
      <w:r>
        <w:t xml:space="preserve">[62]</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69">
        <w:r>
          <w:rPr>
            <w:rStyle w:val="Hyperlink"/>
          </w:rPr>
          <w:t xml:space="preserve">https://doi.org/10.2307/j.ctvdmwwz4.10</w:t>
        </w:r>
      </w:hyperlink>
      <w:r>
        <w:t xml:space="preserve">.</w:t>
      </w:r>
    </w:p>
    <w:bookmarkEnd w:id="170"/>
    <w:bookmarkStart w:id="172" w:name="ref-Romano_Lozano_Fern2022"/>
    <w:p>
      <w:pPr>
        <w:pStyle w:val="Bibliography"/>
      </w:pPr>
      <w:r>
        <w:t xml:space="preserve">[63]</w:t>
      </w:r>
      <w:r>
        <w:t xml:space="preserve"> </w:t>
      </w:r>
      <w:r>
        <w:t xml:space="preserve">	</w:t>
      </w:r>
      <w:r>
        <w:t xml:space="preserve">Romano V, Lozano S, Fernández-López de Pablo J. Reconstructing social networks of late glacial and holocene hunter–gatherers to understand cultural evolution. Philosophical Transactions of the Royal Society B 2022;377. https://doi.org/</w:t>
      </w:r>
      <w:hyperlink r:id="rId171">
        <w:r>
          <w:rPr>
            <w:rStyle w:val="Hyperlink"/>
          </w:rPr>
          <w:t xml:space="preserve">https://doi.org/10.1098/rstb.2020.0318</w:t>
        </w:r>
      </w:hyperlink>
      <w:r>
        <w:t xml:space="preserve">.</w:t>
      </w:r>
    </w:p>
    <w:bookmarkEnd w:id="172"/>
    <w:bookmarkStart w:id="174" w:name="ref-Kelly_2024"/>
    <w:p>
      <w:pPr>
        <w:pStyle w:val="Bibliography"/>
      </w:pPr>
      <w:r>
        <w:t xml:space="preserve">[64]</w:t>
      </w:r>
      <w:r>
        <w:t xml:space="preserve"> </w:t>
      </w:r>
      <w:r>
        <w:t xml:space="preserve">	</w:t>
      </w:r>
      <w:r>
        <w:t xml:space="preserve">Kelly P. Comparing australian message sticks and sequentially marked objects of the upper palaeolithic: Problems and opportunities. Topics in Cognitive Science 2024.</w:t>
      </w:r>
      <w:r>
        <w:t xml:space="preserve"> </w:t>
      </w:r>
      <w:hyperlink r:id="rId173">
        <w:r>
          <w:rPr>
            <w:rStyle w:val="Hyperlink"/>
          </w:rPr>
          <w:t xml:space="preserve">https://doi.org/10.1111/tops.12762</w:t>
        </w:r>
      </w:hyperlink>
      <w:r>
        <w:t xml:space="preserve">.</w:t>
      </w:r>
    </w:p>
    <w:bookmarkEnd w:id="174"/>
    <w:bookmarkStart w:id="176" w:name="ref-Kinahan_2013"/>
    <w:p>
      <w:pPr>
        <w:pStyle w:val="Bibliography"/>
      </w:pPr>
      <w:r>
        <w:t xml:space="preserve">[65]</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75">
        <w:r>
          <w:rPr>
            <w:rStyle w:val="Hyperlink"/>
          </w:rPr>
          <w:t xml:space="preserve">https://doi.org/10.3213/2191-5784-10243</w:t>
        </w:r>
      </w:hyperlink>
      <w:r>
        <w:t xml:space="preserve">.</w:t>
      </w:r>
    </w:p>
    <w:bookmarkEnd w:id="176"/>
    <w:bookmarkStart w:id="178" w:name="ref-Newlander_2012"/>
    <w:p>
      <w:pPr>
        <w:pStyle w:val="Bibliography"/>
      </w:pPr>
      <w:r>
        <w:t xml:space="preserve">[66]</w:t>
      </w:r>
      <w:r>
        <w:t xml:space="preserve"> </w:t>
      </w:r>
      <w:r>
        <w:t xml:space="preserve">	</w:t>
      </w:r>
      <w:r>
        <w:t xml:space="preserve">Newlander KS.</w:t>
      </w:r>
      <w:r>
        <w:t xml:space="preserve"> </w:t>
      </w:r>
      <w:hyperlink r:id="rId177">
        <w:r>
          <w:rPr>
            <w:rStyle w:val="Hyperlink"/>
          </w:rPr>
          <w:t xml:space="preserve">Exchange, embedded procurement, and hunter-gatherer mobility: A case study from the north american great basin</w:t>
        </w:r>
      </w:hyperlink>
      <w:r>
        <w:t xml:space="preserve">. Ph.D. University of Michigan, 2012.</w:t>
      </w:r>
    </w:p>
    <w:bookmarkEnd w:id="178"/>
    <w:bookmarkStart w:id="180" w:name="ref-Iizuka_Ferguson_Izuho_2022"/>
    <w:p>
      <w:pPr>
        <w:pStyle w:val="Bibliography"/>
      </w:pPr>
      <w:r>
        <w:t xml:space="preserve">[67]</w:t>
      </w:r>
      <w:r>
        <w:t xml:space="preserve"> </w:t>
      </w:r>
      <w:r>
        <w:t xml:space="preserve">	</w:t>
      </w:r>
      <w:r>
        <w:t xml:space="preserve">Iizuka F, Ferguson JR, Izuho M. Late pleistocene pottery production and exchange: Provenance studies of hunter-gatherer wares from southern kyushu, japan by neutron activation analysis. PLOS ONE 2022;17:e0265329.</w:t>
      </w:r>
      <w:r>
        <w:t xml:space="preserve"> </w:t>
      </w:r>
      <w:hyperlink r:id="rId179">
        <w:r>
          <w:rPr>
            <w:rStyle w:val="Hyperlink"/>
          </w:rPr>
          <w:t xml:space="preserve">https://doi.org/10.1371/journal.pone.0265329</w:t>
        </w:r>
      </w:hyperlink>
      <w:r>
        <w:t xml:space="preserve">.</w:t>
      </w:r>
    </w:p>
    <w:bookmarkEnd w:id="180"/>
    <w:bookmarkStart w:id="182" w:name="ref-conkley_agg"/>
    <w:p>
      <w:pPr>
        <w:pStyle w:val="Bibliography"/>
      </w:pPr>
      <w:r>
        <w:t xml:space="preserve">[68]</w:t>
      </w:r>
      <w:r>
        <w:t xml:space="preserve"> </w:t>
      </w:r>
      <w:r>
        <w:t xml:space="preserve">	</w:t>
      </w:r>
      <w:r>
        <w:t xml:space="preserve">Conkey M, Beltran A, Beltrán A, Clark GA, Echegaray JG, Echegaray JG, et al.</w:t>
      </w:r>
      <w:r>
        <w:t xml:space="preserve"> </w:t>
      </w:r>
      <w:hyperlink r:id="rId181">
        <w:r>
          <w:rPr>
            <w:rStyle w:val="Hyperlink"/>
          </w:rPr>
          <w:t xml:space="preserve">The identification of prehistoric hunter-gatherer aggregation sites: The case of altamira [and comments and reply]</w:t>
        </w:r>
      </w:hyperlink>
      <w:r>
        <w:t xml:space="preserve">. Current Anthropology 1980;21:609–30.</w:t>
      </w:r>
    </w:p>
    <w:bookmarkEnd w:id="182"/>
    <w:bookmarkStart w:id="184" w:name="ref-Maher_Conkey_2019"/>
    <w:p>
      <w:pPr>
        <w:pStyle w:val="Bibliography"/>
      </w:pPr>
      <w:r>
        <w:t xml:space="preserve">[69]</w:t>
      </w:r>
      <w:r>
        <w:t xml:space="preserve"> </w:t>
      </w:r>
      <w:r>
        <w:t xml:space="preserve">	</w:t>
      </w:r>
      <w:r>
        <w:t xml:space="preserve">Maher LA, Conkey M. Homes for hunters?: Exploring the concept of home at hunter-gatherer sites in upper paleolithic europe and epipaleolithic southwest asia. Current Anthropology 2019;60:91–137.</w:t>
      </w:r>
      <w:r>
        <w:t xml:space="preserve"> </w:t>
      </w:r>
      <w:hyperlink r:id="rId183">
        <w:r>
          <w:rPr>
            <w:rStyle w:val="Hyperlink"/>
          </w:rPr>
          <w:t xml:space="preserve">https://doi.org/10.1086/701523</w:t>
        </w:r>
      </w:hyperlink>
      <w:r>
        <w:t xml:space="preserve">.</w:t>
      </w:r>
    </w:p>
    <w:bookmarkEnd w:id="184"/>
    <w:bookmarkStart w:id="185" w:name="ref-bahn1982inter"/>
    <w:p>
      <w:pPr>
        <w:pStyle w:val="Bibliography"/>
      </w:pPr>
      <w:r>
        <w:t xml:space="preserve">[70]</w:t>
      </w:r>
      <w:r>
        <w:t xml:space="preserve"> </w:t>
      </w:r>
      <w:r>
        <w:t xml:space="preserve">	</w:t>
      </w:r>
      <w:r>
        <w:t xml:space="preserve">Bahn PG. Inter-site and inter-regional links during the upper palaeolithic: The pyrenean evidence. Oxford Journal of Archaeology 1982;1:247–68.</w:t>
      </w:r>
    </w:p>
    <w:bookmarkEnd w:id="185"/>
    <w:bookmarkStart w:id="187" w:name="ref-Bourdier_2013"/>
    <w:p>
      <w:pPr>
        <w:pStyle w:val="Bibliography"/>
      </w:pPr>
      <w:r>
        <w:t xml:space="preserve">[71]</w:t>
      </w:r>
      <w:r>
        <w:t xml:space="preserve"> </w:t>
      </w:r>
      <w:r>
        <w:t xml:space="preserve">	</w:t>
      </w:r>
      <w:r>
        <w:t xml:space="preserve">Bourdier C. Rock art and social geography in the upper paleolithic. Contribution to the socio-cultural function of the roc-aux-sorciers rock-shelter (angles-sur-l’anglin, france) from the viewpoint of its sculpted frieze. Journal of Anthropological Archaeology 2013;32:368–82.</w:t>
      </w:r>
      <w:r>
        <w:t xml:space="preserve"> </w:t>
      </w:r>
      <w:hyperlink r:id="rId186">
        <w:r>
          <w:rPr>
            <w:rStyle w:val="Hyperlink"/>
          </w:rPr>
          <w:t xml:space="preserve">https://doi.org/10.1016/j.jaa.2013.05.005</w:t>
        </w:r>
      </w:hyperlink>
      <w:r>
        <w:t xml:space="preserve">.</w:t>
      </w:r>
    </w:p>
    <w:bookmarkEnd w:id="187"/>
    <w:bookmarkStart w:id="189" w:name="ref-Svoboda_2013"/>
    <w:p>
      <w:pPr>
        <w:pStyle w:val="Bibliography"/>
      </w:pPr>
      <w:r>
        <w:t xml:space="preserve">[72]</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188">
        <w:r>
          <w:rPr>
            <w:rStyle w:val="Hyperlink"/>
          </w:rPr>
          <w:t xml:space="preserve">https://doi.org/10.4000/palethnologie.4945</w:t>
        </w:r>
      </w:hyperlink>
      <w:r>
        <w:t xml:space="preserve">.</w:t>
      </w:r>
    </w:p>
    <w:bookmarkEnd w:id="189"/>
    <w:bookmarkStart w:id="190" w:name="ref-white1992rethinking"/>
    <w:p>
      <w:pPr>
        <w:pStyle w:val="Bibliography"/>
      </w:pPr>
      <w:r>
        <w:t xml:space="preserve">[73]</w:t>
      </w:r>
      <w:r>
        <w:t xml:space="preserve"> </w:t>
      </w:r>
      <w:r>
        <w:t xml:space="preserve">	</w:t>
      </w:r>
      <w:r>
        <w:t xml:space="preserve">White R. Rethinking the middle/upper paleolithic transition. Current Anthropology 1992;33:85–108.</w:t>
      </w:r>
    </w:p>
    <w:bookmarkEnd w:id="190"/>
    <w:bookmarkStart w:id="191" w:name="X79d7c52b9cdbe72fc1b94e51c6ee6057d0c4a50"/>
    <w:p>
      <w:pPr>
        <w:pStyle w:val="Bibliography"/>
      </w:pPr>
      <w:r>
        <w:t xml:space="preserve">[74]</w:t>
      </w:r>
      <w:r>
        <w:t xml:space="preserve"> </w:t>
      </w:r>
      <w:r>
        <w:t xml:space="preserve">	</w:t>
      </w:r>
      <w:r>
        <w:t xml:space="preserve">Soffer O, Adovasio JM, Enloe JG, Audouze F, Zubrow EBW. The roles of perishable technologies in upper paleolithic lives. The magdalenian household, SUNY Press; 2010, p. 235–44.</w:t>
      </w:r>
    </w:p>
    <w:bookmarkEnd w:id="191"/>
    <w:bookmarkStart w:id="193" w:name="ref-montet-white1994"/>
    <w:p>
      <w:pPr>
        <w:pStyle w:val="Bibliography"/>
      </w:pPr>
      <w:r>
        <w:t xml:space="preserve">[75]</w:t>
      </w:r>
      <w:r>
        <w:t xml:space="preserve"> </w:t>
      </w:r>
      <w:r>
        <w:t xml:space="preserve">	</w:t>
      </w:r>
      <w:r>
        <w:t xml:space="preserve">Montet-White A.</w:t>
      </w:r>
      <w:r>
        <w:t xml:space="preserve"> </w:t>
      </w:r>
      <w:hyperlink r:id="rId192">
        <w:r>
          <w:rPr>
            <w:rStyle w:val="Hyperlink"/>
          </w:rPr>
          <w:t xml:space="preserve">Alternative interpretations of the late upper paleolithic in central europe</w:t>
        </w:r>
      </w:hyperlink>
      <w:r>
        <w:t xml:space="preserve">. Annual Review of Anthropology 1994;23:483–508.</w:t>
      </w:r>
    </w:p>
    <w:bookmarkEnd w:id="193"/>
    <w:bookmarkStart w:id="195" w:name="ref-Frerebeau_2025"/>
    <w:p>
      <w:pPr>
        <w:pStyle w:val="Bibliography"/>
      </w:pPr>
      <w:r>
        <w:t xml:space="preserve">[76]</w:t>
      </w:r>
      <w:r>
        <w:t xml:space="preserve"> </w:t>
      </w:r>
      <w:r>
        <w:t xml:space="preserve">	</w:t>
      </w:r>
      <w:r>
        <w:t xml:space="preserve">Frerebeau N. Tabula: Analysis and visualization of archaeological count data 2025.</w:t>
      </w:r>
      <w:r>
        <w:t xml:space="preserve"> </w:t>
      </w:r>
      <w:hyperlink r:id="rId194">
        <w:r>
          <w:rPr>
            <w:rStyle w:val="Hyperlink"/>
          </w:rPr>
          <w:t xml:space="preserve">https://doi.org/10.5281/zenodo.15397990</w:t>
        </w:r>
      </w:hyperlink>
      <w:r>
        <w:t xml:space="preserve">.</w:t>
      </w:r>
    </w:p>
    <w:bookmarkEnd w:id="195"/>
    <w:bookmarkStart w:id="197" w:name="ref-Kintigh_1984"/>
    <w:p>
      <w:pPr>
        <w:pStyle w:val="Bibliography"/>
      </w:pPr>
      <w:r>
        <w:t xml:space="preserve">[77]</w:t>
      </w:r>
      <w:r>
        <w:t xml:space="preserve"> </w:t>
      </w:r>
      <w:r>
        <w:t xml:space="preserve">	</w:t>
      </w:r>
      <w:r>
        <w:t xml:space="preserve">Kintigh KW. Measuring archaeological diversity by comparison with simulated assemblages. American Antiquity 1984;49:44–54.</w:t>
      </w:r>
      <w:r>
        <w:t xml:space="preserve"> </w:t>
      </w:r>
      <w:hyperlink r:id="rId196">
        <w:r>
          <w:rPr>
            <w:rStyle w:val="Hyperlink"/>
          </w:rPr>
          <w:t xml:space="preserve">https://doi.org/10.2307/280511</w:t>
        </w:r>
      </w:hyperlink>
      <w:r>
        <w:t xml:space="preserve">.</w:t>
      </w:r>
    </w:p>
    <w:bookmarkEnd w:id="197"/>
    <w:bookmarkStart w:id="199" w:name="X8c17deb08b87fbfa26556dda630532ff62c8bd1"/>
    <w:p>
      <w:pPr>
        <w:pStyle w:val="Bibliography"/>
      </w:pPr>
      <w:r>
        <w:t xml:space="preserve">[78]</w:t>
      </w:r>
      <w:r>
        <w:t xml:space="preserve"> </w:t>
      </w:r>
      <w:r>
        <w:t xml:space="preserve">	</w:t>
      </w:r>
      <w:r>
        <w:t xml:space="preserve">Shao Y, Wegener C, Klein K, Schmidt I, Weniger G-C. Reconstruction of human dispersal during aurignacian on pan-european scale. Nature Communications 2024;15:7406.</w:t>
      </w:r>
      <w:r>
        <w:t xml:space="preserve"> </w:t>
      </w:r>
      <w:hyperlink r:id="rId198">
        <w:r>
          <w:rPr>
            <w:rStyle w:val="Hyperlink"/>
          </w:rPr>
          <w:t xml:space="preserve">https://doi.org/10.1038/s41467-024-51349-y</w:t>
        </w:r>
      </w:hyperlink>
      <w:r>
        <w:t xml:space="preserve">.</w:t>
      </w:r>
    </w:p>
    <w:bookmarkEnd w:id="199"/>
    <w:bookmarkStart w:id="201" w:name="ref-smith1992Design"/>
    <w:p>
      <w:pPr>
        <w:pStyle w:val="Bibliography"/>
      </w:pPr>
      <w:r>
        <w:t xml:space="preserve">[79]</w:t>
      </w:r>
      <w:r>
        <w:t xml:space="preserve"> </w:t>
      </w:r>
      <w:r>
        <w:t xml:space="preserve">	</w:t>
      </w:r>
      <w:r>
        <w:t xml:space="preserve">Smith C.</w:t>
      </w:r>
      <w:r>
        <w:t xml:space="preserve"> </w:t>
      </w:r>
      <w:hyperlink r:id="rId200">
        <w:r>
          <w:rPr>
            <w:rStyle w:val="Hyperlink"/>
          </w:rPr>
          <w:t xml:space="preserve">Designed dreaming: Assessing the relationship between style, social structure and environment in aboriginal australia</w:t>
        </w:r>
      </w:hyperlink>
      <w:r>
        <w:t xml:space="preserve">. Australian Archaeology 1992:51–1.</w:t>
      </w:r>
    </w:p>
    <w:bookmarkEnd w:id="201"/>
    <w:bookmarkStart w:id="202" w:name="ref-hays1993symbol"/>
    <w:p>
      <w:pPr>
        <w:pStyle w:val="Bibliography"/>
      </w:pPr>
      <w:r>
        <w:t xml:space="preserve">[80]</w:t>
      </w:r>
      <w:r>
        <w:t xml:space="preserve"> </w:t>
      </w:r>
      <w:r>
        <w:t xml:space="preserve">	</w:t>
      </w:r>
      <w:r>
        <w:t xml:space="preserve">Hays KA. When is a symbol archaeologically meaningful? Meaning, function, and prehistoric visual arts. Archaeological Theory: Who Sets the Agenda 1993:81–92.</w:t>
      </w:r>
    </w:p>
    <w:bookmarkEnd w:id="202"/>
    <w:bookmarkStart w:id="203" w:name="ref-McDonald_Veth_Lilley_2006"/>
    <w:p>
      <w:pPr>
        <w:pStyle w:val="Bibliography"/>
      </w:pPr>
      <w:r>
        <w:t xml:space="preserve">[81]</w:t>
      </w:r>
      <w:r>
        <w:t xml:space="preserve"> </w:t>
      </w:r>
      <w:r>
        <w:t xml:space="preserve">	</w:t>
      </w:r>
      <w:r>
        <w:t xml:space="preserve">McDonald J, Veth P, Lilley I. Rock art and social identity: A comparison of holocene graphic systems in arid and fertile environments. Archaeology of oceania: Australia and the pacific islands, Malden, Mass: Blackwell Publishing; 2006, p. 96–115.</w:t>
      </w:r>
    </w:p>
    <w:bookmarkEnd w:id="203"/>
    <w:bookmarkStart w:id="205" w:name="ref-Lourandos_1985"/>
    <w:p>
      <w:pPr>
        <w:pStyle w:val="Bibliography"/>
      </w:pPr>
      <w:r>
        <w:t xml:space="preserve">[82]</w:t>
      </w:r>
      <w:r>
        <w:t xml:space="preserve"> </w:t>
      </w:r>
      <w:r>
        <w:t xml:space="preserve">	</w:t>
      </w:r>
      <w:r>
        <w:t xml:space="preserve">Lourandos H. 15 - intensification and australian prehistory. In: Price TD, Brown JA, editors. Prehistoric hunters-gatherers, Academic Press; 1985, p. 385–423. https://doi.org/</w:t>
      </w:r>
      <w:hyperlink r:id="rId204">
        <w:r>
          <w:rPr>
            <w:rStyle w:val="Hyperlink"/>
          </w:rPr>
          <w:t xml:space="preserve">https://doi.org/10.1016/B978-0-12-564750-2.50020-2</w:t>
        </w:r>
      </w:hyperlink>
      <w:r>
        <w:t xml:space="preserve">.</w:t>
      </w:r>
    </w:p>
    <w:bookmarkEnd w:id="205"/>
    <w:bookmarkStart w:id="207" w:name="ref-barton_clark_cohen1994"/>
    <w:p>
      <w:pPr>
        <w:pStyle w:val="Bibliography"/>
      </w:pPr>
      <w:r>
        <w:t xml:space="preserve">[83]</w:t>
      </w:r>
      <w:r>
        <w:t xml:space="preserve"> </w:t>
      </w:r>
      <w:r>
        <w:t xml:space="preserve">	</w:t>
      </w:r>
      <w:r>
        <w:t xml:space="preserve">Barton CM, Clark GA, Cohen AE.</w:t>
      </w:r>
      <w:r>
        <w:t xml:space="preserve"> </w:t>
      </w:r>
      <w:hyperlink r:id="rId206">
        <w:r>
          <w:rPr>
            <w:rStyle w:val="Hyperlink"/>
          </w:rPr>
          <w:t xml:space="preserve">Art as information: Explaining upper palaeolithic art in western europe</w:t>
        </w:r>
      </w:hyperlink>
      <w:r>
        <w:t xml:space="preserve">. World Archaeology 1994;26:185–207.</w:t>
      </w:r>
    </w:p>
    <w:bookmarkEnd w:id="207"/>
    <w:bookmarkStart w:id="208" w:name="ref-mcdonald2012social"/>
    <w:p>
      <w:pPr>
        <w:pStyle w:val="Bibliography"/>
      </w:pPr>
      <w:r>
        <w:t xml:space="preserve">[84]</w:t>
      </w:r>
      <w:r>
        <w:t xml:space="preserve"> </w:t>
      </w:r>
      <w:r>
        <w:t xml:space="preserve">	</w:t>
      </w:r>
      <w:r>
        <w:t xml:space="preserve">McDonald J, Veth P. The social dynamics of aggregation and dispersal in the western desert. A Companion to Rock Art 2012:90–102.</w:t>
      </w:r>
    </w:p>
    <w:bookmarkEnd w:id="208"/>
    <w:bookmarkStart w:id="209" w:name="ref-bernardini2005reconsidering"/>
    <w:p>
      <w:pPr>
        <w:pStyle w:val="Bibliography"/>
      </w:pPr>
      <w:r>
        <w:t xml:space="preserve">[85]</w:t>
      </w:r>
      <w:r>
        <w:t xml:space="preserve"> </w:t>
      </w:r>
      <w:r>
        <w:t xml:space="preserve">	</w:t>
      </w:r>
      <w:r>
        <w:t xml:space="preserve">Bernardini W. Reconsidering spatial and temporal aspects of prehistoric cultural identity: A case study from the american southwest. American Antiquity 2005;70:31–54.</w:t>
      </w:r>
    </w:p>
    <w:bookmarkEnd w:id="209"/>
    <w:bookmarkStart w:id="210" w:name="ref-wiessner1984reconsidering"/>
    <w:p>
      <w:pPr>
        <w:pStyle w:val="Bibliography"/>
      </w:pPr>
      <w:r>
        <w:t xml:space="preserve">[86]</w:t>
      </w:r>
      <w:r>
        <w:t xml:space="preserve"> </w:t>
      </w:r>
      <w:r>
        <w:t xml:space="preserve">	</w:t>
      </w:r>
      <w:r>
        <w:t xml:space="preserve">Wiessner P. Reconsidering the behavioral basis for style: A case study among the kalahari san. Journal of Anthropological Archaeology 1984;3:190–234.</w:t>
      </w:r>
    </w:p>
    <w:bookmarkEnd w:id="210"/>
    <w:bookmarkStart w:id="212" w:name="ref-smith1992"/>
    <w:p>
      <w:pPr>
        <w:pStyle w:val="Bibliography"/>
      </w:pPr>
      <w:r>
        <w:t xml:space="preserve">[87]</w:t>
      </w:r>
      <w:r>
        <w:t xml:space="preserve"> </w:t>
      </w:r>
      <w:r>
        <w:t xml:space="preserve">	</w:t>
      </w:r>
      <w:r>
        <w:t xml:space="preserve">Smith C.</w:t>
      </w:r>
      <w:r>
        <w:t xml:space="preserve"> </w:t>
      </w:r>
      <w:hyperlink r:id="rId211">
        <w:r>
          <w:rPr>
            <w:rStyle w:val="Hyperlink"/>
          </w:rPr>
          <w:t xml:space="preserve">Colonising with style: Reviewing the nexus between rock art, territorially and the colonisation and occupation of sahul</w:t>
        </w:r>
      </w:hyperlink>
      <w:r>
        <w:t xml:space="preserve">. Australian Archaeology 1992:34–42.</w:t>
      </w:r>
    </w:p>
    <w:bookmarkEnd w:id="212"/>
    <w:bookmarkStart w:id="214" w:name="X4fed35d53d406ce17aea32f9d6f163fcb563519"/>
    <w:p>
      <w:pPr>
        <w:pStyle w:val="Bibliography"/>
      </w:pPr>
      <w:r>
        <w:t xml:space="preserve">[88]</w:t>
      </w:r>
      <w:r>
        <w:t xml:space="preserve"> </w:t>
      </w:r>
      <w:r>
        <w:t xml:space="preserve">	</w:t>
      </w:r>
      <w:r>
        <w:t xml:space="preserve">Kovacevic M, Shennan S, Vanhaeren M, d’Errico F, Thomas MG. Simulating geographical variation in material culture: Were early modern humans in europe ethnically structured? In: Mesoudi A, Aoki K, editors. Learning strategies and cultural evolution during the palaeolithic, Springer Japan; 2015, p. 103–20.</w:t>
      </w:r>
      <w:r>
        <w:t xml:space="preserve"> </w:t>
      </w:r>
      <w:hyperlink r:id="rId213">
        <w:r>
          <w:rPr>
            <w:rStyle w:val="Hyperlink"/>
          </w:rPr>
          <w:t xml:space="preserve">https://doi.org/10.1007/978-4-431-55363-2_8</w:t>
        </w:r>
      </w:hyperlink>
      <w:r>
        <w:t xml:space="preserve">.</w:t>
      </w:r>
    </w:p>
    <w:bookmarkEnd w:id="214"/>
    <w:bookmarkStart w:id="215" w:name="ref-Cavalli_Sforza_Feldman_1981"/>
    <w:p>
      <w:pPr>
        <w:pStyle w:val="Bibliography"/>
      </w:pPr>
      <w:r>
        <w:t xml:space="preserve">[89]</w:t>
      </w:r>
      <w:r>
        <w:t xml:space="preserve"> </w:t>
      </w:r>
      <w:r>
        <w:t xml:space="preserve">	</w:t>
      </w:r>
      <w:r>
        <w:t xml:space="preserve">Cavalli-Sforza LL, Feldman MW. Cultural transmission and evolution: A quantitative approach. Princeton University Press; 1981.</w:t>
      </w:r>
    </w:p>
    <w:bookmarkEnd w:id="215"/>
    <w:bookmarkStart w:id="216" w:name="ref-Boyd_Richerson_1985"/>
    <w:p>
      <w:pPr>
        <w:pStyle w:val="Bibliography"/>
      </w:pPr>
      <w:r>
        <w:t xml:space="preserve">[90]</w:t>
      </w:r>
      <w:r>
        <w:t xml:space="preserve"> </w:t>
      </w:r>
      <w:r>
        <w:t xml:space="preserve">	</w:t>
      </w:r>
      <w:r>
        <w:t xml:space="preserve">Boyd R, Richerson PJ. Culture and the evolutionary process. University of Chicago Press; 1985.</w:t>
      </w:r>
    </w:p>
    <w:bookmarkEnd w:id="216"/>
    <w:bookmarkStart w:id="217" w:name="ref-Richerson_Boyd_2005"/>
    <w:p>
      <w:pPr>
        <w:pStyle w:val="Bibliography"/>
      </w:pPr>
      <w:r>
        <w:t xml:space="preserve">[91]</w:t>
      </w:r>
      <w:r>
        <w:t xml:space="preserve"> </w:t>
      </w:r>
      <w:r>
        <w:t xml:space="preserve">	</w:t>
      </w:r>
      <w:r>
        <w:t xml:space="preserve">Richerson PJ, Boyd R. Not by genes alone: How culture transformed human evolution. University of Chicago Press; 2005.</w:t>
      </w:r>
    </w:p>
    <w:bookmarkEnd w:id="217"/>
    <w:bookmarkStart w:id="218" w:name="ref-Henrich_2004"/>
    <w:p>
      <w:pPr>
        <w:pStyle w:val="Bibliography"/>
      </w:pPr>
      <w:r>
        <w:t xml:space="preserve">[92]</w:t>
      </w:r>
      <w:r>
        <w:t xml:space="preserve"> </w:t>
      </w:r>
      <w:r>
        <w:t xml:space="preserve">	</w:t>
      </w:r>
      <w:r>
        <w:t xml:space="preserve">Henrich J. Demography and cultural evolution: How adaptive cultural processes can produce maladaptive losses—the tasmanian case. American Antiquity 2004;44:185–201.</w:t>
      </w:r>
    </w:p>
    <w:bookmarkEnd w:id="218"/>
    <w:bookmarkStart w:id="219" w:name="ref-Migliano_2020"/>
    <w:p>
      <w:pPr>
        <w:pStyle w:val="Bibliography"/>
      </w:pPr>
      <w:r>
        <w:t xml:space="preserve">[93]</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19"/>
    <w:bookmarkStart w:id="220" w:name="ref-Allen_2020"/>
    <w:p>
      <w:pPr>
        <w:pStyle w:val="Bibliography"/>
      </w:pPr>
      <w:r>
        <w:t xml:space="preserve">[94]</w:t>
      </w:r>
      <w:r>
        <w:t xml:space="preserve"> </w:t>
      </w:r>
      <w:r>
        <w:t xml:space="preserve">	</w:t>
      </w:r>
      <w:r>
        <w:t xml:space="preserve">Allen J. A multilevel analytical framework for studying cultural evolution in prehistoric hunter–gatherer societies. Biological Reviews 2020;59:2527–46.</w:t>
      </w:r>
    </w:p>
    <w:bookmarkEnd w:id="220"/>
    <w:bookmarkStart w:id="221" w:name="ref-Buchanan_Hamilton_2023"/>
    <w:p>
      <w:pPr>
        <w:pStyle w:val="Bibliography"/>
      </w:pPr>
      <w:r>
        <w:t xml:space="preserve">[95]</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21"/>
    <w:bookmarkStart w:id="222" w:name="ref-Eerkens_Lipo_2005"/>
    <w:p>
      <w:pPr>
        <w:pStyle w:val="Bibliography"/>
      </w:pPr>
      <w:r>
        <w:t xml:space="preserve">[96]</w:t>
      </w:r>
      <w:r>
        <w:t xml:space="preserve"> </w:t>
      </w:r>
      <w:r>
        <w:t xml:space="preserve">	</w:t>
      </w:r>
      <w:r>
        <w:t xml:space="preserve">Eerkens JW, Lipo CP. Cultural transmission and the evolution of material culture: Modeling the coefficient of variation. American Antiquity 2005;48:1–21.</w:t>
      </w:r>
    </w:p>
    <w:bookmarkEnd w:id="222"/>
    <w:bookmarkStart w:id="223" w:name="ref-Bentz_Dutkiewicz_2025"/>
    <w:p>
      <w:pPr>
        <w:pStyle w:val="Bibliography"/>
      </w:pPr>
      <w:r>
        <w:t xml:space="preserve">[97]</w:t>
      </w:r>
      <w:r>
        <w:t xml:space="preserve"> </w:t>
      </w:r>
      <w:r>
        <w:t xml:space="preserve">	</w:t>
      </w:r>
      <w:r>
        <w:t xml:space="preserve">Bentz C, Dutkiewicz E. Humans 40,000 y ago developed a system of conventional signs. Proceedings of the National Academy of Sciences 2025:1–8.</w:t>
      </w:r>
    </w:p>
    <w:bookmarkEnd w:id="223"/>
    <w:bookmarkStart w:id="224" w:name="ref-Bacon_2023"/>
    <w:p>
      <w:pPr>
        <w:pStyle w:val="Bibliography"/>
      </w:pPr>
      <w:r>
        <w:t xml:space="preserve">[98]</w:t>
      </w:r>
      <w:r>
        <w:t xml:space="preserve"> </w:t>
      </w:r>
      <w:r>
        <w:t xml:space="preserve">	</w:t>
      </w:r>
      <w:r>
        <w:t xml:space="preserve">Bacon B, Khatiri A, Palmer J, Freeth T, Pettitt P, Kentridge RW. An upper palaeolithic proto-writing system and phenological calendar. Cambridge Archaeological Journal 2023;100:371–89.</w:t>
      </w:r>
    </w:p>
    <w:bookmarkEnd w:id="224"/>
    <w:bookmarkStart w:id="226" w:name="Xa4990169aeb885a690070ab4fd90972c31994f8"/>
    <w:p>
      <w:pPr>
        <w:pStyle w:val="Bibliography"/>
      </w:pPr>
      <w:r>
        <w:t xml:space="preserve">[99]</w:t>
      </w:r>
      <w:r>
        <w:t xml:space="preserve"> </w:t>
      </w:r>
      <w:r>
        <w:t xml:space="preserve">	</w:t>
      </w:r>
      <w:r>
        <w:t xml:space="preserve">d’Errico F, Courtenay LA, Núñez R, Santos da Rosa N, Sproat R, Blasi D. Inferring conventional sign systems from paleolithic engravings: Methodological and theoretical challenges. SSRN Electronic Journal 2026.</w:t>
      </w:r>
      <w:r>
        <w:t xml:space="preserve"> </w:t>
      </w:r>
      <w:hyperlink r:id="rId225">
        <w:r>
          <w:rPr>
            <w:rStyle w:val="Hyperlink"/>
          </w:rPr>
          <w:t xml:space="preserve">https://doi.org/10.2139/ssrn.7053279</w:t>
        </w:r>
      </w:hyperlink>
      <w:r>
        <w:t xml:space="preserve">.</w:t>
      </w:r>
    </w:p>
    <w:bookmarkEnd w:id="226"/>
    <w:bookmarkStart w:id="228" w:name="X8ea620419c64d551554c48b7075c9934881930b"/>
    <w:p>
      <w:pPr>
        <w:pStyle w:val="Bibliography"/>
      </w:pPr>
      <w:r>
        <w:t xml:space="preserve">[100]</w:t>
      </w:r>
      <w:r>
        <w:t xml:space="preserve"> </w:t>
      </w:r>
      <w:r>
        <w:t xml:space="preserve">	</w:t>
      </w:r>
      <w:r>
        <w:t xml:space="preserve">Garcı́a-Bustos M, Rivero O, Sauvet G, Garcı́a-Bustos P. Discussion:</w:t>
      </w:r>
      <w:r>
        <w:t xml:space="preserve"> </w:t>
      </w:r>
      <w:r>
        <w:t xml:space="preserve">“An upper palaeolithic proto-writing system and phenological calendar”</w:t>
      </w:r>
      <w:r>
        <w:t xml:space="preserve"> </w:t>
      </w:r>
      <w:r>
        <w:t xml:space="preserve">by bennett bacon et al. (2023). Journal of Paleolithic Archaeology 2023;6:32.</w:t>
      </w:r>
      <w:r>
        <w:t xml:space="preserve"> </w:t>
      </w:r>
      <w:hyperlink r:id="rId227">
        <w:r>
          <w:rPr>
            <w:rStyle w:val="Hyperlink"/>
          </w:rPr>
          <w:t xml:space="preserve">https://doi.org/10.1007/s41982-023-00158-8</w:t>
        </w:r>
      </w:hyperlink>
      <w:r>
        <w:t xml:space="preserve">.</w:t>
      </w:r>
    </w:p>
    <w:bookmarkEnd w:id="228"/>
    <w:bookmarkStart w:id="230" w:name="ref-Magli_2024"/>
    <w:p>
      <w:pPr>
        <w:pStyle w:val="Bibliography"/>
      </w:pPr>
      <w:r>
        <w:t xml:space="preserve">[101]</w:t>
      </w:r>
      <w:r>
        <w:t xml:space="preserve"> </w:t>
      </w:r>
      <w:r>
        <w:t xml:space="preserve">	</w:t>
      </w:r>
      <w:r>
        <w:t xml:space="preserve">Magli G. The alleged phenological calendar in palaeolithic art: Critical analysis from the viewpoint of statistics and cultural astronomy. Mind 2024;133:1–15.</w:t>
      </w:r>
      <w:r>
        <w:t xml:space="preserve"> </w:t>
      </w:r>
      <w:hyperlink r:id="rId229">
        <w:r>
          <w:rPr>
            <w:rStyle w:val="Hyperlink"/>
          </w:rPr>
          <w:t xml:space="preserve">https://doi.org/10.1093/mind/fzae011</w:t>
        </w:r>
      </w:hyperlink>
      <w:r>
        <w:t xml:space="preserve">.</w:t>
      </w:r>
    </w:p>
    <w:bookmarkEnd w:id="230"/>
    <w:bookmarkStart w:id="232" w:name="ref-Nowell_2024_evidence"/>
    <w:p>
      <w:pPr>
        <w:pStyle w:val="Bibliography"/>
      </w:pPr>
      <w:r>
        <w:t xml:space="preserve">[102]</w:t>
      </w:r>
      <w:r>
        <w:t xml:space="preserve"> </w:t>
      </w:r>
      <w:r>
        <w:t xml:space="preserve">	</w:t>
      </w:r>
      <w:r>
        <w:t xml:space="preserve">Nowell A, Bahn P, Quellec J-L. Evaluating the evidence for lunar calendars in upper palaeolithic parietal art. Cambridge Archaeological Journal 2024:1–18.</w:t>
      </w:r>
      <w:r>
        <w:t xml:space="preserve"> </w:t>
      </w:r>
      <w:hyperlink r:id="rId231">
        <w:r>
          <w:rPr>
            <w:rStyle w:val="Hyperlink"/>
          </w:rPr>
          <w:t xml:space="preserve">https://doi.org/10.1017/S0959774324000155</w:t>
        </w:r>
      </w:hyperlink>
      <w:r>
        <w:t xml:space="preserve">.</w:t>
      </w:r>
    </w:p>
    <w:bookmarkEnd w:id="232"/>
    <w:bookmarkStart w:id="234" w:name="ref-Horiuchi_Takakura_2019"/>
    <w:p>
      <w:pPr>
        <w:pStyle w:val="Bibliography"/>
      </w:pPr>
      <w:r>
        <w:t xml:space="preserve">[103]</w:t>
      </w:r>
      <w:r>
        <w:t xml:space="preserve"> </w:t>
      </w:r>
      <w:r>
        <w:t xml:space="preserve">	</w:t>
      </w:r>
      <w:r>
        <w:t xml:space="preserve">Horiuchi S, Takakura J. Modeling learning strategies and the expansion of the social network in the beginning of upper palaeolithic europe: Analysis by agent-based simulation. In: Nishiaki Y, Jöris O, editors. Learning among neanderthals and palaeolithic modern humans: Archaeological evidence, Springer Nature Singapore; 2019, p. 179–91.</w:t>
      </w:r>
      <w:r>
        <w:t xml:space="preserve"> </w:t>
      </w:r>
      <w:hyperlink r:id="rId233">
        <w:r>
          <w:rPr>
            <w:rStyle w:val="Hyperlink"/>
          </w:rPr>
          <w:t xml:space="preserve">https://doi.org/10.1007/978-981-13-8980-1_12</w:t>
        </w:r>
      </w:hyperlink>
      <w:r>
        <w:t xml:space="preserve">.</w:t>
      </w:r>
    </w:p>
    <w:bookmarkEnd w:id="234"/>
    <w:bookmarkStart w:id="235" w:name="ref-Rogers_2013"/>
    <w:p>
      <w:pPr>
        <w:pStyle w:val="Bibliography"/>
      </w:pPr>
      <w:r>
        <w:t xml:space="preserve">[104]</w:t>
      </w:r>
      <w:r>
        <w:t xml:space="preserve"> </w:t>
      </w:r>
      <w:r>
        <w:t xml:space="preserve">	</w:t>
      </w:r>
      <w:r>
        <w:t xml:space="preserve">Rogers L. Human-material interaction in the aurignacian of europe, 35,000-27,000 BP: An analysis of marine shell ornament distribution. PhD thesis. University of Victoria, 2013.</w:t>
      </w:r>
    </w:p>
    <w:bookmarkEnd w:id="235"/>
    <w:bookmarkStart w:id="237" w:name="X94f875be1b7e5d23641daff5d53857bec24e739"/>
    <w:p>
      <w:pPr>
        <w:pStyle w:val="Bibliography"/>
      </w:pPr>
      <w:r>
        <w:t xml:space="preserve">[105]</w:t>
      </w:r>
      <w:r>
        <w:t xml:space="preserve"> </w:t>
      </w:r>
      <w:r>
        <w:t xml:space="preserve">	</w:t>
      </w:r>
      <w:r>
        <w:t xml:space="preserve">Golovanova LV, Doronichev VB, Doronicheva EV, Sapega VF, Shackley MS. Long-distance contacts and social networks of the upper palaeolithic humans in the north-western caucasus (on data from mezmaiskaya cave, russia). Journal of Archaeological Science: Reports 2021;39:103118. https://doi.org/</w:t>
      </w:r>
      <w:hyperlink r:id="rId236">
        <w:r>
          <w:rPr>
            <w:rStyle w:val="Hyperlink"/>
          </w:rPr>
          <w:t xml:space="preserve">https://doi.org/10.1016/j.jasrep.2021.103118</w:t>
        </w:r>
      </w:hyperlink>
      <w:r>
        <w:t xml:space="preserve">.</w:t>
      </w:r>
    </w:p>
    <w:bookmarkEnd w:id="237"/>
    <w:bookmarkStart w:id="239" w:name="ref-Gamble_1982"/>
    <w:p>
      <w:pPr>
        <w:pStyle w:val="Bibliography"/>
      </w:pPr>
      <w:r>
        <w:t xml:space="preserve">[106]</w:t>
      </w:r>
      <w:r>
        <w:t xml:space="preserve"> </w:t>
      </w:r>
      <w:r>
        <w:t xml:space="preserve">	</w:t>
      </w:r>
      <w:r>
        <w:t xml:space="preserve">Gamble C. Interaction and alliance in palaeolithic society. Man 1982;17:92–107.</w:t>
      </w:r>
      <w:r>
        <w:t xml:space="preserve"> </w:t>
      </w:r>
      <w:hyperlink r:id="rId238">
        <w:r>
          <w:rPr>
            <w:rStyle w:val="Hyperlink"/>
          </w:rPr>
          <w:t xml:space="preserve">https://doi.org/10.2307/2802103</w:t>
        </w:r>
      </w:hyperlink>
      <w:r>
        <w:t xml:space="preserve">.</w:t>
      </w:r>
    </w:p>
    <w:bookmarkEnd w:id="239"/>
    <w:bookmarkStart w:id="241" w:name="Xba346573845225b1b1d5ef358e2fea0d893a789"/>
    <w:p>
      <w:pPr>
        <w:pStyle w:val="Bibliography"/>
      </w:pPr>
      <w:r>
        <w:t xml:space="preserve">[107]</w:t>
      </w:r>
      <w:r>
        <w:t xml:space="preserve"> </w:t>
      </w:r>
      <w:r>
        <w:t xml:space="preserve">	</w:t>
      </w:r>
      <w:r>
        <w:t xml:space="preserve">Greenbaum G, Friesem DE, Hovers E, Feldman MW, Kolodny O. Was inter-population connectivity of neanderthals and modern humans the driver of the upper paleolithic transition rather than its product? Quaternary Science Reviews 2019;217:316–29. https://doi.org/</w:t>
      </w:r>
      <w:hyperlink r:id="rId240">
        <w:r>
          <w:rPr>
            <w:rStyle w:val="Hyperlink"/>
          </w:rPr>
          <w:t xml:space="preserve">https://doi.org/10.1016/j.quascirev.2018.12.011</w:t>
        </w:r>
      </w:hyperlink>
      <w:r>
        <w:t xml:space="preserve">.</w:t>
      </w:r>
    </w:p>
    <w:bookmarkEnd w:id="241"/>
    <w:bookmarkStart w:id="243" w:name="ref-Creanza_Kolodny_Feldman_2017"/>
    <w:p>
      <w:pPr>
        <w:pStyle w:val="Bibliography"/>
      </w:pPr>
      <w:r>
        <w:t xml:space="preserve">[108]</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42">
        <w:r>
          <w:rPr>
            <w:rStyle w:val="Hyperlink"/>
          </w:rPr>
          <w:t xml:space="preserve">https://doi.org/10.1098/rsif.2017.0171</w:t>
        </w:r>
      </w:hyperlink>
      <w:r>
        <w:t xml:space="preserve">.</w:t>
      </w:r>
    </w:p>
    <w:bookmarkEnd w:id="243"/>
    <w:bookmarkStart w:id="245" w:name="ref-Cullen_1996"/>
    <w:p>
      <w:pPr>
        <w:pStyle w:val="Bibliography"/>
      </w:pPr>
      <w:r>
        <w:t xml:space="preserve">[109]</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44">
        <w:r>
          <w:rPr>
            <w:rStyle w:val="Hyperlink"/>
          </w:rPr>
          <w:t xml:space="preserve">https://doi.org/10.1007/978-1-4757-9945-3_4</w:t>
        </w:r>
      </w:hyperlink>
      <w:r>
        <w:t xml:space="preserve">.</w:t>
      </w:r>
    </w:p>
    <w:bookmarkEnd w:id="245"/>
    <w:bookmarkStart w:id="247" w:name="ref-Hill_Wood_Baggio_Hurtado_Boyd_2014"/>
    <w:p>
      <w:pPr>
        <w:pStyle w:val="Bibliography"/>
      </w:pPr>
      <w:r>
        <w:t xml:space="preserve">[110]</w:t>
      </w:r>
      <w:r>
        <w:t xml:space="preserve"> </w:t>
      </w:r>
      <w:r>
        <w:t xml:space="preserve">	</w:t>
      </w:r>
      <w:r>
        <w:t xml:space="preserve">Hill KR, Wood BM, Baggio J, Hurtado AM, Boyd RT. Hunter-gatherer inter-band interaction rates: Implications for cumulative culture. PLOS ONE 2014;9:1–9.</w:t>
      </w:r>
      <w:r>
        <w:t xml:space="preserve"> </w:t>
      </w:r>
      <w:hyperlink r:id="rId246">
        <w:r>
          <w:rPr>
            <w:rStyle w:val="Hyperlink"/>
          </w:rPr>
          <w:t xml:space="preserve">https://doi.org/10.1371/journal.pone.0102806</w:t>
        </w:r>
      </w:hyperlink>
      <w:r>
        <w:t xml:space="preserve">.</w:t>
      </w:r>
    </w:p>
    <w:bookmarkEnd w:id="247"/>
    <w:bookmarkStart w:id="249" w:name="ref-Derex_Boyd_2016"/>
    <w:p>
      <w:pPr>
        <w:pStyle w:val="Bibliography"/>
      </w:pPr>
      <w:r>
        <w:t xml:space="preserve">[111]</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48">
        <w:r>
          <w:rPr>
            <w:rStyle w:val="Hyperlink"/>
          </w:rPr>
          <w:t xml:space="preserve">https://doi.org/10.1073/pnas.1518798113</w:t>
        </w:r>
      </w:hyperlink>
      <w:r>
        <w:t xml:space="preserve">.</w:t>
      </w:r>
    </w:p>
    <w:bookmarkEnd w:id="249"/>
    <w:bookmarkStart w:id="251" w:name="ref-Foley_Gamble_2009"/>
    <w:p>
      <w:pPr>
        <w:pStyle w:val="Bibliography"/>
      </w:pPr>
      <w:r>
        <w:t xml:space="preserve">[112]</w:t>
      </w:r>
      <w:r>
        <w:t xml:space="preserve"> </w:t>
      </w:r>
      <w:r>
        <w:t xml:space="preserve">	</w:t>
      </w:r>
      <w:r>
        <w:t xml:space="preserve">Foley R, Gamble C. The ecology of social transitions in human evolution. Philosophical Transactions of the Royal Society B: Biological Sciences 2009;364:3267–79.</w:t>
      </w:r>
      <w:r>
        <w:t xml:space="preserve"> </w:t>
      </w:r>
      <w:hyperlink r:id="rId250">
        <w:r>
          <w:rPr>
            <w:rStyle w:val="Hyperlink"/>
          </w:rPr>
          <w:t xml:space="preserve">https://doi.org/10.1098/rstb.2009.0136</w:t>
        </w:r>
      </w:hyperlink>
      <w:r>
        <w:t xml:space="preserve">.</w:t>
      </w:r>
    </w:p>
    <w:bookmarkEnd w:id="251"/>
    <w:bookmarkStart w:id="253" w:name="ref-Gravel-Miguel_Coward_2023"/>
    <w:p>
      <w:pPr>
        <w:pStyle w:val="Bibliography"/>
      </w:pPr>
      <w:r>
        <w:t xml:space="preserve">[113]</w:t>
      </w:r>
      <w:r>
        <w:t xml:space="preserve"> </w:t>
      </w:r>
      <w:r>
        <w:t xml:space="preserve">	</w:t>
      </w:r>
      <w:r>
        <w:t xml:space="preserve">Gravel-Miguel C, Coward F. Paleolithic social networks and behavioral modernity. The oxford handbook of archaeological network research, Oxford University Press; 2023.</w:t>
      </w:r>
      <w:r>
        <w:t xml:space="preserve"> </w:t>
      </w:r>
      <w:hyperlink r:id="rId252">
        <w:r>
          <w:rPr>
            <w:rStyle w:val="Hyperlink"/>
          </w:rPr>
          <w:t xml:space="preserve">https://doi.org/10.1093/oxfordhb/9780198854265.013.31</w:t>
        </w:r>
      </w:hyperlink>
      <w:r>
        <w:t xml:space="preserve">.</w:t>
      </w:r>
    </w:p>
    <w:bookmarkEnd w:id="253"/>
    <w:bookmarkStart w:id="254" w:name="ref-Von_Petzinger_2009"/>
    <w:p>
      <w:pPr>
        <w:pStyle w:val="Bibliography"/>
      </w:pPr>
      <w:r>
        <w:t xml:space="preserve">[114]</w:t>
      </w:r>
      <w:r>
        <w:t xml:space="preserve"> </w:t>
      </w:r>
      <w:r>
        <w:t xml:space="preserve">	</w:t>
      </w:r>
      <w:r>
        <w:t xml:space="preserve">Von Petzinger G. Making the abstract concrete: The place of geometric signs in french upper paleolithic parietal art. Master of Arts in Anthropology. University of Victoria, 2009.</w:t>
      </w:r>
    </w:p>
    <w:bookmarkEnd w:id="254"/>
    <w:bookmarkStart w:id="256" w:name="ref-Herskind2023"/>
    <w:p>
      <w:pPr>
        <w:pStyle w:val="Bibliography"/>
      </w:pPr>
      <w:r>
        <w:t xml:space="preserve">[115]</w:t>
      </w:r>
      <w:r>
        <w:t xml:space="preserve"> </w:t>
      </w:r>
      <w:r>
        <w:t xml:space="preserve">	</w:t>
      </w:r>
      <w:r>
        <w:t xml:space="preserve">Platz HLL. A case for idle graffiti. Hunter Gatherer Research 2023;9:59–93.</w:t>
      </w:r>
      <w:r>
        <w:t xml:space="preserve"> </w:t>
      </w:r>
      <w:hyperlink r:id="rId255">
        <w:r>
          <w:rPr>
            <w:rStyle w:val="Hyperlink"/>
          </w:rPr>
          <w:t xml:space="preserve">https://doi.org/10.3828/hgr.2023.12</w:t>
        </w:r>
      </w:hyperlink>
      <w:r>
        <w:t xml:space="preserve">.</w:t>
      </w:r>
    </w:p>
    <w:bookmarkEnd w:id="256"/>
    <w:bookmarkStart w:id="258" w:name="X42e36537dda68556aeacf852410efd6ac3bb1ca"/>
    <w:p>
      <w:pPr>
        <w:pStyle w:val="Bibliography"/>
      </w:pPr>
      <w:r>
        <w:t xml:space="preserve">[116]</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57">
        <w:r>
          <w:rPr>
            <w:rStyle w:val="Hyperlink"/>
          </w:rPr>
          <w:t xml:space="preserve">https://doi.org/10.1007/s10816-023-09608-7</w:t>
        </w:r>
      </w:hyperlink>
      <w:r>
        <w:t xml:space="preserve">.</w:t>
      </w:r>
    </w:p>
    <w:bookmarkEnd w:id="258"/>
    <w:bookmarkEnd w:id="259"/>
    <w:bookmarkEnd w:id="260"/>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32" Target="http://www.jstor.org.offcampus.lib.washington.edu/stable/j.ctt1pk86rr.16" TargetMode="External" /><Relationship Type="http://schemas.openxmlformats.org/officeDocument/2006/relationships/hyperlink" Id="rId126" Target="http://www.jstor.org.offcampus.lib.washington.edu/stable/j.ctt1pk86rr.5" TargetMode="External" /><Relationship Type="http://schemas.openxmlformats.org/officeDocument/2006/relationships/hyperlink" Id="rId206" Target="http://www.jstor.org/stable/124852" TargetMode="External" /><Relationship Type="http://schemas.openxmlformats.org/officeDocument/2006/relationships/hyperlink" Id="rId192" Target="http://www.jstor.org/stable/2156023" TargetMode="External" /><Relationship Type="http://schemas.openxmlformats.org/officeDocument/2006/relationships/hyperlink" Id="rId181" Target="http://www.jstor.org/stable/2741828" TargetMode="External" /><Relationship Type="http://schemas.openxmlformats.org/officeDocument/2006/relationships/hyperlink" Id="rId156" Target="http://www.jstor.org/stable/279544" TargetMode="External" /><Relationship Type="http://schemas.openxmlformats.org/officeDocument/2006/relationships/hyperlink" Id="rId158" Target="http://www.jstor.org/stable/2800797" TargetMode="External" /><Relationship Type="http://schemas.openxmlformats.org/officeDocument/2006/relationships/hyperlink" Id="rId211" Target="http://www.jstor.org/stable/40287092" TargetMode="External" /><Relationship Type="http://schemas.openxmlformats.org/officeDocument/2006/relationships/hyperlink" Id="rId200"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21" Target="https://doi.org/10.1002/9781118445112.stat07841" TargetMode="External" /><Relationship Type="http://schemas.openxmlformats.org/officeDocument/2006/relationships/hyperlink" Id="rId103" Target="https://doi.org/10.1002/ajpa.1330350608" TargetMode="External" /><Relationship Type="http://schemas.openxmlformats.org/officeDocument/2006/relationships/hyperlink" Id="rId148" Target="https://doi.org/10.1002/ajpa.22832" TargetMode="External" /><Relationship Type="http://schemas.openxmlformats.org/officeDocument/2006/relationships/hyperlink" Id="rId115" Target="https://doi.org/10.1002/spe.4380211102" TargetMode="External" /><Relationship Type="http://schemas.openxmlformats.org/officeDocument/2006/relationships/hyperlink" Id="rId244" Target="https://doi.org/10.1007/978-1-4757-9945-3_4" TargetMode="External" /><Relationship Type="http://schemas.openxmlformats.org/officeDocument/2006/relationships/hyperlink" Id="rId81" Target="https://doi.org/10.1007/978-3-319-51726-1_3441-1" TargetMode="External" /><Relationship Type="http://schemas.openxmlformats.org/officeDocument/2006/relationships/hyperlink" Id="rId213" Target="https://doi.org/10.1007/978-4-431-55363-2_8" TargetMode="External" /><Relationship Type="http://schemas.openxmlformats.org/officeDocument/2006/relationships/hyperlink" Id="rId233" Target="https://doi.org/10.1007/978-981-13-8980-1_12" TargetMode="External" /><Relationship Type="http://schemas.openxmlformats.org/officeDocument/2006/relationships/hyperlink" Id="rId135" Target="https://doi.org/10.1007/s10814-013-9068-y" TargetMode="External" /><Relationship Type="http://schemas.openxmlformats.org/officeDocument/2006/relationships/hyperlink" Id="rId257" Target="https://doi.org/10.1007/s10816-023-09608-7" TargetMode="External" /><Relationship Type="http://schemas.openxmlformats.org/officeDocument/2006/relationships/hyperlink" Id="rId101" Target="https://doi.org/10.1007/s12520-018-0742-3" TargetMode="External" /><Relationship Type="http://schemas.openxmlformats.org/officeDocument/2006/relationships/hyperlink" Id="rId227" Target="https://doi.org/10.1007/s41982-023-00158-8" TargetMode="External" /><Relationship Type="http://schemas.openxmlformats.org/officeDocument/2006/relationships/hyperlink" Id="rId130" Target="https://doi.org/10.1016/B978-0-12-564750-2.50006-8" TargetMode="External" /><Relationship Type="http://schemas.openxmlformats.org/officeDocument/2006/relationships/hyperlink" Id="rId151" Target="https://doi.org/10.1016/B978-0-12-564750-2.50016-0" TargetMode="External" /><Relationship Type="http://schemas.openxmlformats.org/officeDocument/2006/relationships/hyperlink" Id="rId204" Target="https://doi.org/10.1016/B978-0-12-564750-2.50020-2" TargetMode="External" /><Relationship Type="http://schemas.openxmlformats.org/officeDocument/2006/relationships/hyperlink" Id="rId123" Target="https://doi.org/10.1016/j.evolhumbehav.2014.09.006" TargetMode="External" /><Relationship Type="http://schemas.openxmlformats.org/officeDocument/2006/relationships/hyperlink" Id="rId137" Target="https://doi.org/10.1016/j.evolhumbehav.2022.07.003" TargetMode="External" /><Relationship Type="http://schemas.openxmlformats.org/officeDocument/2006/relationships/hyperlink" Id="rId164" Target="https://doi.org/10.1016/j.jaa.2005.11.004" TargetMode="External" /><Relationship Type="http://schemas.openxmlformats.org/officeDocument/2006/relationships/hyperlink" Id="rId186"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36" Target="https://doi.org/10.1016/j.jasrep.2021.103118" TargetMode="External" /><Relationship Type="http://schemas.openxmlformats.org/officeDocument/2006/relationships/hyperlink" Id="rId162" Target="https://doi.org/10.1016/j.jasrep.2024.104798" TargetMode="External" /><Relationship Type="http://schemas.openxmlformats.org/officeDocument/2006/relationships/hyperlink" Id="rId93" Target="https://doi.org/10.1016/j.jhevol.2012.10.001" TargetMode="External" /><Relationship Type="http://schemas.openxmlformats.org/officeDocument/2006/relationships/hyperlink" Id="rId139"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97" Target="https://doi.org/10.1016/j.quascirev.2009.11.015" TargetMode="External" /><Relationship Type="http://schemas.openxmlformats.org/officeDocument/2006/relationships/hyperlink" Id="rId240" Target="https://doi.org/10.1016/j.quascirev.2018.12.011" TargetMode="External" /><Relationship Type="http://schemas.openxmlformats.org/officeDocument/2006/relationships/hyperlink" Id="rId89" Target="https://doi.org/10.1016/j.quascirev.2021.106995" TargetMode="External" /><Relationship Type="http://schemas.openxmlformats.org/officeDocument/2006/relationships/hyperlink" Id="rId154" Target="https://doi.org/10.1017/CBO9780511558252.004" TargetMode="External" /><Relationship Type="http://schemas.openxmlformats.org/officeDocument/2006/relationships/hyperlink" Id="rId99" Target="https://doi.org/10.1017/RDC.2020.95" TargetMode="External" /><Relationship Type="http://schemas.openxmlformats.org/officeDocument/2006/relationships/hyperlink" Id="rId141" Target="https://doi.org/10.1017/S0079497X00006265" TargetMode="External" /><Relationship Type="http://schemas.openxmlformats.org/officeDocument/2006/relationships/hyperlink" Id="rId231" Target="https://doi.org/10.1017/S0959774324000155" TargetMode="External" /><Relationship Type="http://schemas.openxmlformats.org/officeDocument/2006/relationships/hyperlink" Id="rId198"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248" Target="https://doi.org/10.1073/pnas.1518798113" TargetMode="External" /><Relationship Type="http://schemas.openxmlformats.org/officeDocument/2006/relationships/hyperlink" Id="rId183" Target="https://doi.org/10.1086/701523" TargetMode="External" /><Relationship Type="http://schemas.openxmlformats.org/officeDocument/2006/relationships/hyperlink" Id="rId229" Target="https://doi.org/10.1093/mind/fzae011" TargetMode="External" /><Relationship Type="http://schemas.openxmlformats.org/officeDocument/2006/relationships/hyperlink" Id="rId252" Target="https://doi.org/10.1093/oxfordhb/9780198854265.013.31" TargetMode="External" /><Relationship Type="http://schemas.openxmlformats.org/officeDocument/2006/relationships/hyperlink" Id="rId242" Target="https://doi.org/10.1098/rsif.2017.0171" TargetMode="External" /><Relationship Type="http://schemas.openxmlformats.org/officeDocument/2006/relationships/hyperlink" Id="rId250" Target="https://doi.org/10.1098/rstb.2009.0136" TargetMode="External" /><Relationship Type="http://schemas.openxmlformats.org/officeDocument/2006/relationships/hyperlink" Id="rId171" Target="https://doi.org/10.1098/rstb.2020.0318" TargetMode="External" /><Relationship Type="http://schemas.openxmlformats.org/officeDocument/2006/relationships/hyperlink" Id="rId111" Target="https://doi.org/10.1111/j.1502-3931.1988.tb01756.x" TargetMode="External" /><Relationship Type="http://schemas.openxmlformats.org/officeDocument/2006/relationships/hyperlink" Id="rId173" Target="https://doi.org/10.1111/tops.12762" TargetMode="External" /><Relationship Type="http://schemas.openxmlformats.org/officeDocument/2006/relationships/hyperlink" Id="rId113"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46" Target="https://doi.org/10.1179/sea.2010.29.1.013" TargetMode="External" /><Relationship Type="http://schemas.openxmlformats.org/officeDocument/2006/relationships/hyperlink" Id="rId246" Target="https://doi.org/10.1371/journal.pone.0102806" TargetMode="External" /><Relationship Type="http://schemas.openxmlformats.org/officeDocument/2006/relationships/hyperlink" Id="rId107" Target="https://doi.org/10.1371/journal.pone.0121166" TargetMode="External" /><Relationship Type="http://schemas.openxmlformats.org/officeDocument/2006/relationships/hyperlink" Id="rId95" Target="https://doi.org/10.1371/journal.pone.0189241" TargetMode="External" /><Relationship Type="http://schemas.openxmlformats.org/officeDocument/2006/relationships/hyperlink" Id="rId91" Target="https://doi.org/10.1371/journal.pone.0211562" TargetMode="External" /><Relationship Type="http://schemas.openxmlformats.org/officeDocument/2006/relationships/hyperlink" Id="rId179"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09" Target="https://doi.org/10.18637/jss.v025.i03" TargetMode="External" /><Relationship Type="http://schemas.openxmlformats.org/officeDocument/2006/relationships/hyperlink" Id="rId225" Target="https://doi.org/10.2139/ssrn.7053279" TargetMode="External" /><Relationship Type="http://schemas.openxmlformats.org/officeDocument/2006/relationships/hyperlink" Id="rId238" Target="https://doi.org/10.2307/2802103" TargetMode="External" /><Relationship Type="http://schemas.openxmlformats.org/officeDocument/2006/relationships/hyperlink" Id="rId196" Target="https://doi.org/10.2307/280511" TargetMode="External" /><Relationship Type="http://schemas.openxmlformats.org/officeDocument/2006/relationships/hyperlink" Id="rId128" Target="https://doi.org/10.2307/3034956" TargetMode="External" /><Relationship Type="http://schemas.openxmlformats.org/officeDocument/2006/relationships/hyperlink" Id="rId143" Target="https://doi.org/10.2307/j.ctv24q4z2g.5" TargetMode="External" /><Relationship Type="http://schemas.openxmlformats.org/officeDocument/2006/relationships/hyperlink" Id="rId169" Target="https://doi.org/10.2307/j.ctvdmwwz4.10" TargetMode="External" /><Relationship Type="http://schemas.openxmlformats.org/officeDocument/2006/relationships/hyperlink" Id="rId167" Target="https://doi.org/10.2307/j.ctvdmwwz4.7" TargetMode="External" /><Relationship Type="http://schemas.openxmlformats.org/officeDocument/2006/relationships/hyperlink" Id="rId175" Target="https://doi.org/10.3213/2191-5784-10243" TargetMode="External" /><Relationship Type="http://schemas.openxmlformats.org/officeDocument/2006/relationships/hyperlink" Id="rId105" Target="https://doi.org/10.32614/CRAN.package.vegan" TargetMode="External" /><Relationship Type="http://schemas.openxmlformats.org/officeDocument/2006/relationships/hyperlink" Id="rId255" Target="https://doi.org/10.3828/hgr.2023.12" TargetMode="External" /><Relationship Type="http://schemas.openxmlformats.org/officeDocument/2006/relationships/hyperlink" Id="rId188" Target="https://doi.org/10.4000/palethnologie.4945" TargetMode="External" /><Relationship Type="http://schemas.openxmlformats.org/officeDocument/2006/relationships/hyperlink" Id="rId194" Target="https://doi.org/10.5281/zenodo.15397990" TargetMode="External" /><Relationship Type="http://schemas.openxmlformats.org/officeDocument/2006/relationships/hyperlink" Id="rId119" Target="https://igraph.org" TargetMode="External" /><Relationship Type="http://schemas.openxmlformats.org/officeDocument/2006/relationships/hyperlink" Id="rId117" Target="https://statnet.org" TargetMode="External" /><Relationship Type="http://schemas.openxmlformats.org/officeDocument/2006/relationships/hyperlink" Id="rId177"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32" Target="http://www.jstor.org.offcampus.lib.washington.edu/stable/j.ctt1pk86rr.16" TargetMode="External" /><Relationship Type="http://schemas.openxmlformats.org/officeDocument/2006/relationships/hyperlink" Id="rId126" Target="http://www.jstor.org.offcampus.lib.washington.edu/stable/j.ctt1pk86rr.5" TargetMode="External" /><Relationship Type="http://schemas.openxmlformats.org/officeDocument/2006/relationships/hyperlink" Id="rId206" Target="http://www.jstor.org/stable/124852" TargetMode="External" /><Relationship Type="http://schemas.openxmlformats.org/officeDocument/2006/relationships/hyperlink" Id="rId192" Target="http://www.jstor.org/stable/2156023" TargetMode="External" /><Relationship Type="http://schemas.openxmlformats.org/officeDocument/2006/relationships/hyperlink" Id="rId181" Target="http://www.jstor.org/stable/2741828" TargetMode="External" /><Relationship Type="http://schemas.openxmlformats.org/officeDocument/2006/relationships/hyperlink" Id="rId156" Target="http://www.jstor.org/stable/279544" TargetMode="External" /><Relationship Type="http://schemas.openxmlformats.org/officeDocument/2006/relationships/hyperlink" Id="rId158" Target="http://www.jstor.org/stable/2800797" TargetMode="External" /><Relationship Type="http://schemas.openxmlformats.org/officeDocument/2006/relationships/hyperlink" Id="rId211" Target="http://www.jstor.org/stable/40287092" TargetMode="External" /><Relationship Type="http://schemas.openxmlformats.org/officeDocument/2006/relationships/hyperlink" Id="rId200"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21" Target="https://doi.org/10.1002/9781118445112.stat07841" TargetMode="External" /><Relationship Type="http://schemas.openxmlformats.org/officeDocument/2006/relationships/hyperlink" Id="rId103" Target="https://doi.org/10.1002/ajpa.1330350608" TargetMode="External" /><Relationship Type="http://schemas.openxmlformats.org/officeDocument/2006/relationships/hyperlink" Id="rId148" Target="https://doi.org/10.1002/ajpa.22832" TargetMode="External" /><Relationship Type="http://schemas.openxmlformats.org/officeDocument/2006/relationships/hyperlink" Id="rId115" Target="https://doi.org/10.1002/spe.4380211102" TargetMode="External" /><Relationship Type="http://schemas.openxmlformats.org/officeDocument/2006/relationships/hyperlink" Id="rId244" Target="https://doi.org/10.1007/978-1-4757-9945-3_4" TargetMode="External" /><Relationship Type="http://schemas.openxmlformats.org/officeDocument/2006/relationships/hyperlink" Id="rId81" Target="https://doi.org/10.1007/978-3-319-51726-1_3441-1" TargetMode="External" /><Relationship Type="http://schemas.openxmlformats.org/officeDocument/2006/relationships/hyperlink" Id="rId213" Target="https://doi.org/10.1007/978-4-431-55363-2_8" TargetMode="External" /><Relationship Type="http://schemas.openxmlformats.org/officeDocument/2006/relationships/hyperlink" Id="rId233" Target="https://doi.org/10.1007/978-981-13-8980-1_12" TargetMode="External" /><Relationship Type="http://schemas.openxmlformats.org/officeDocument/2006/relationships/hyperlink" Id="rId135" Target="https://doi.org/10.1007/s10814-013-9068-y" TargetMode="External" /><Relationship Type="http://schemas.openxmlformats.org/officeDocument/2006/relationships/hyperlink" Id="rId257" Target="https://doi.org/10.1007/s10816-023-09608-7" TargetMode="External" /><Relationship Type="http://schemas.openxmlformats.org/officeDocument/2006/relationships/hyperlink" Id="rId101" Target="https://doi.org/10.1007/s12520-018-0742-3" TargetMode="External" /><Relationship Type="http://schemas.openxmlformats.org/officeDocument/2006/relationships/hyperlink" Id="rId227" Target="https://doi.org/10.1007/s41982-023-00158-8" TargetMode="External" /><Relationship Type="http://schemas.openxmlformats.org/officeDocument/2006/relationships/hyperlink" Id="rId130" Target="https://doi.org/10.1016/B978-0-12-564750-2.50006-8" TargetMode="External" /><Relationship Type="http://schemas.openxmlformats.org/officeDocument/2006/relationships/hyperlink" Id="rId151" Target="https://doi.org/10.1016/B978-0-12-564750-2.50016-0" TargetMode="External" /><Relationship Type="http://schemas.openxmlformats.org/officeDocument/2006/relationships/hyperlink" Id="rId204" Target="https://doi.org/10.1016/B978-0-12-564750-2.50020-2" TargetMode="External" /><Relationship Type="http://schemas.openxmlformats.org/officeDocument/2006/relationships/hyperlink" Id="rId123" Target="https://doi.org/10.1016/j.evolhumbehav.2014.09.006" TargetMode="External" /><Relationship Type="http://schemas.openxmlformats.org/officeDocument/2006/relationships/hyperlink" Id="rId137" Target="https://doi.org/10.1016/j.evolhumbehav.2022.07.003" TargetMode="External" /><Relationship Type="http://schemas.openxmlformats.org/officeDocument/2006/relationships/hyperlink" Id="rId164" Target="https://doi.org/10.1016/j.jaa.2005.11.004" TargetMode="External" /><Relationship Type="http://schemas.openxmlformats.org/officeDocument/2006/relationships/hyperlink" Id="rId186"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36" Target="https://doi.org/10.1016/j.jasrep.2021.103118" TargetMode="External" /><Relationship Type="http://schemas.openxmlformats.org/officeDocument/2006/relationships/hyperlink" Id="rId162" Target="https://doi.org/10.1016/j.jasrep.2024.104798" TargetMode="External" /><Relationship Type="http://schemas.openxmlformats.org/officeDocument/2006/relationships/hyperlink" Id="rId93" Target="https://doi.org/10.1016/j.jhevol.2012.10.001" TargetMode="External" /><Relationship Type="http://schemas.openxmlformats.org/officeDocument/2006/relationships/hyperlink" Id="rId139"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97" Target="https://doi.org/10.1016/j.quascirev.2009.11.015" TargetMode="External" /><Relationship Type="http://schemas.openxmlformats.org/officeDocument/2006/relationships/hyperlink" Id="rId240" Target="https://doi.org/10.1016/j.quascirev.2018.12.011" TargetMode="External" /><Relationship Type="http://schemas.openxmlformats.org/officeDocument/2006/relationships/hyperlink" Id="rId89" Target="https://doi.org/10.1016/j.quascirev.2021.106995" TargetMode="External" /><Relationship Type="http://schemas.openxmlformats.org/officeDocument/2006/relationships/hyperlink" Id="rId154" Target="https://doi.org/10.1017/CBO9780511558252.004" TargetMode="External" /><Relationship Type="http://schemas.openxmlformats.org/officeDocument/2006/relationships/hyperlink" Id="rId99" Target="https://doi.org/10.1017/RDC.2020.95" TargetMode="External" /><Relationship Type="http://schemas.openxmlformats.org/officeDocument/2006/relationships/hyperlink" Id="rId141" Target="https://doi.org/10.1017/S0079497X00006265" TargetMode="External" /><Relationship Type="http://schemas.openxmlformats.org/officeDocument/2006/relationships/hyperlink" Id="rId231" Target="https://doi.org/10.1017/S0959774324000155" TargetMode="External" /><Relationship Type="http://schemas.openxmlformats.org/officeDocument/2006/relationships/hyperlink" Id="rId198"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248" Target="https://doi.org/10.1073/pnas.1518798113" TargetMode="External" /><Relationship Type="http://schemas.openxmlformats.org/officeDocument/2006/relationships/hyperlink" Id="rId183" Target="https://doi.org/10.1086/701523" TargetMode="External" /><Relationship Type="http://schemas.openxmlformats.org/officeDocument/2006/relationships/hyperlink" Id="rId229" Target="https://doi.org/10.1093/mind/fzae011" TargetMode="External" /><Relationship Type="http://schemas.openxmlformats.org/officeDocument/2006/relationships/hyperlink" Id="rId252" Target="https://doi.org/10.1093/oxfordhb/9780198854265.013.31" TargetMode="External" /><Relationship Type="http://schemas.openxmlformats.org/officeDocument/2006/relationships/hyperlink" Id="rId242" Target="https://doi.org/10.1098/rsif.2017.0171" TargetMode="External" /><Relationship Type="http://schemas.openxmlformats.org/officeDocument/2006/relationships/hyperlink" Id="rId250" Target="https://doi.org/10.1098/rstb.2009.0136" TargetMode="External" /><Relationship Type="http://schemas.openxmlformats.org/officeDocument/2006/relationships/hyperlink" Id="rId171" Target="https://doi.org/10.1098/rstb.2020.0318" TargetMode="External" /><Relationship Type="http://schemas.openxmlformats.org/officeDocument/2006/relationships/hyperlink" Id="rId111" Target="https://doi.org/10.1111/j.1502-3931.1988.tb01756.x" TargetMode="External" /><Relationship Type="http://schemas.openxmlformats.org/officeDocument/2006/relationships/hyperlink" Id="rId173" Target="https://doi.org/10.1111/tops.12762" TargetMode="External" /><Relationship Type="http://schemas.openxmlformats.org/officeDocument/2006/relationships/hyperlink" Id="rId113"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46" Target="https://doi.org/10.1179/sea.2010.29.1.013" TargetMode="External" /><Relationship Type="http://schemas.openxmlformats.org/officeDocument/2006/relationships/hyperlink" Id="rId246" Target="https://doi.org/10.1371/journal.pone.0102806" TargetMode="External" /><Relationship Type="http://schemas.openxmlformats.org/officeDocument/2006/relationships/hyperlink" Id="rId107" Target="https://doi.org/10.1371/journal.pone.0121166" TargetMode="External" /><Relationship Type="http://schemas.openxmlformats.org/officeDocument/2006/relationships/hyperlink" Id="rId95" Target="https://doi.org/10.1371/journal.pone.0189241" TargetMode="External" /><Relationship Type="http://schemas.openxmlformats.org/officeDocument/2006/relationships/hyperlink" Id="rId91" Target="https://doi.org/10.1371/journal.pone.0211562" TargetMode="External" /><Relationship Type="http://schemas.openxmlformats.org/officeDocument/2006/relationships/hyperlink" Id="rId179"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09" Target="https://doi.org/10.18637/jss.v025.i03" TargetMode="External" /><Relationship Type="http://schemas.openxmlformats.org/officeDocument/2006/relationships/hyperlink" Id="rId225" Target="https://doi.org/10.2139/ssrn.7053279" TargetMode="External" /><Relationship Type="http://schemas.openxmlformats.org/officeDocument/2006/relationships/hyperlink" Id="rId238" Target="https://doi.org/10.2307/2802103" TargetMode="External" /><Relationship Type="http://schemas.openxmlformats.org/officeDocument/2006/relationships/hyperlink" Id="rId196" Target="https://doi.org/10.2307/280511" TargetMode="External" /><Relationship Type="http://schemas.openxmlformats.org/officeDocument/2006/relationships/hyperlink" Id="rId128" Target="https://doi.org/10.2307/3034956" TargetMode="External" /><Relationship Type="http://schemas.openxmlformats.org/officeDocument/2006/relationships/hyperlink" Id="rId143" Target="https://doi.org/10.2307/j.ctv24q4z2g.5" TargetMode="External" /><Relationship Type="http://schemas.openxmlformats.org/officeDocument/2006/relationships/hyperlink" Id="rId169" Target="https://doi.org/10.2307/j.ctvdmwwz4.10" TargetMode="External" /><Relationship Type="http://schemas.openxmlformats.org/officeDocument/2006/relationships/hyperlink" Id="rId167" Target="https://doi.org/10.2307/j.ctvdmwwz4.7" TargetMode="External" /><Relationship Type="http://schemas.openxmlformats.org/officeDocument/2006/relationships/hyperlink" Id="rId175" Target="https://doi.org/10.3213/2191-5784-10243" TargetMode="External" /><Relationship Type="http://schemas.openxmlformats.org/officeDocument/2006/relationships/hyperlink" Id="rId105" Target="https://doi.org/10.32614/CRAN.package.vegan" TargetMode="External" /><Relationship Type="http://schemas.openxmlformats.org/officeDocument/2006/relationships/hyperlink" Id="rId255" Target="https://doi.org/10.3828/hgr.2023.12" TargetMode="External" /><Relationship Type="http://schemas.openxmlformats.org/officeDocument/2006/relationships/hyperlink" Id="rId188" Target="https://doi.org/10.4000/palethnologie.4945" TargetMode="External" /><Relationship Type="http://schemas.openxmlformats.org/officeDocument/2006/relationships/hyperlink" Id="rId194" Target="https://doi.org/10.5281/zenodo.15397990" TargetMode="External" /><Relationship Type="http://schemas.openxmlformats.org/officeDocument/2006/relationships/hyperlink" Id="rId119" Target="https://igraph.org" TargetMode="External" /><Relationship Type="http://schemas.openxmlformats.org/officeDocument/2006/relationships/hyperlink" Id="rId117" Target="https://statnet.org" TargetMode="External" /><Relationship Type="http://schemas.openxmlformats.org/officeDocument/2006/relationships/hyperlink" Id="rId177"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2026-08-04T05:40:14Z</dcterms:created>
  <dcterms:modified xsi:type="dcterms:W3CDTF">2026-08-04T05:40:14Z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Aurignacian technocomplex (ca. 43–30 ka BP) marks a pivotal expansion of Homo sapiens into Western Eurasia, yet the evolution of social organization during this transition remains debated. Here we investigate social dynamics through the analysis of geometric signs on mobile objects across three chronological phases. Using seriation and network analysis, we investigate the potential for sign distribution to reflect cultural grouping rather than geographic isolation. We find that the Proto-Aurignacian was characterised by the densest network of social connections, with a hub structure centred on key sites, while subsequent phases show progressively reduced connectivity and more localised interaction. Conversely, Mantel tests indicate that geographic distance alone does not account for the observed patterns, suggesting social processes beyond spatial proximity shaped sign distribution. These results push back the emergence of complex inter-group social networks to approximately 41 ka BP, earlier than previously proposed, supporting hypotheses that geometric signs may have functioned as information technologies to navigate environmental instability and demographic expansion.</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sl">
    <vt:lpwstr>../templates/elsevier-vancouver.csl</vt:lpwstr>
  </property>
  <property fmtid="{D5CDD505-2E9C-101B-9397-08002B2CF9AE}" pid="8" name="date">
    <vt:lpwstr>August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title-block-published">
    <vt:lpwstr>Last updated</vt:lpwstr>
  </property>
  <property fmtid="{D5CDD505-2E9C-101B-9397-08002B2CF9AE}" pid="17" name="toc-title">
    <vt:lpwstr>Table of contents</vt:lpwstr>
  </property>
</Properties>
</file>