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99.png" ContentType="image/png"/>
  <Override PartName="/word/media/rId208.png" ContentType="image/png"/>
  <Override PartName="/word/media/rId50.png" ContentType="image/png"/>
  <Override PartName="/word/media/rId157.png" ContentType="image/png"/>
  <Override PartName="/word/media/rId46.png" ContentType="image/png"/>
  <Override PartName="/word/media/rId29.png" ContentType="image/png"/>
  <Override PartName="/word/media/rId130.png" ContentType="image/png"/>
  <Override PartName="/word/media/rId65.png" ContentType="image/png"/>
  <Override PartName="/word/media/rId221.png" ContentType="image/png"/>
  <Override PartName="/word/media/rId250.png" ContentType="image/png"/>
  <Override PartName="/word/media/rId271.png" ContentType="image/png"/>
  <Override PartName="/word/media/rId238.png" ContentType="image/png"/>
  <Override PartName="/word/media/rId230.png" ContentType="image/png"/>
  <Override PartName="/word/media/rId176.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September</w:t>
      </w:r>
      <w:r>
        <w:t xml:space="preserve"> </w:t>
      </w:r>
      <w:r>
        <w:t xml:space="preserve">7,</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5" w:name="sec-s1"/>
    <w:p>
      <w:pPr>
        <w:pStyle w:val="Heading1"/>
      </w:pPr>
      <w:r>
        <w:t xml:space="preserve">S1.1 Sample Foundation and Site Retention</w:t>
      </w:r>
    </w:p>
    <w:bookmarkStart w:id="21" w:name="sec-S1-1-rationale"/>
    <w:p>
      <w:pPr>
        <w:pStyle w:val="Heading2"/>
      </w:pPr>
      <w:r>
        <w:t xml:space="preserve">S1.1.1 Rationale</w:t>
      </w:r>
    </w:p>
    <w:p>
      <w:pPr>
        <w:pStyle w:val="FirstParagraph"/>
      </w:pPr>
      <w:r>
        <w:t xml:space="preserve">This section expands on the site rejection details notes in the main text. It answers two specific questions:</w:t>
      </w:r>
    </w:p>
    <w:p>
      <w:pPr>
        <w:pStyle w:val="BodyText"/>
      </w:pPr>
      <w:r>
        <w:rPr>
          <w:bCs/>
          <w:b/>
        </w:rPr>
        <w:t xml:space="preserve">Question: how many signed objects and sites are lost at each step of data cleaning?</w:t>
      </w:r>
    </w:p>
    <w:p>
      <w:pPr>
        <w:pStyle w:val="BodyText"/>
      </w:pPr>
      <w:r>
        <w:rPr>
          <w:bCs/>
          <w:b/>
        </w:rPr>
        <w:t xml:space="preserve">Question: does the loss fall disproportionately on the small Aur-P2 sample?</w:t>
      </w:r>
    </w:p>
    <w:bookmarkEnd w:id="21"/>
    <w:bookmarkStart w:id="23" w:name="sec-S1-1-analysis"/>
    <w:p>
      <w:pPr>
        <w:pStyle w:val="Heading2"/>
      </w:pPr>
      <w:r>
        <w:t xml:space="preserve">S1.1.2 Analysis</w:t>
      </w:r>
    </w:p>
    <w:p>
      <w:pPr>
        <w:pStyle w:val="FirstParagraph"/>
      </w:pPr>
      <w:r>
        <w:t xml:space="preserve">The raw extract contains 515 signed objects (objects with at least one presence in</w:t>
      </w:r>
      <w:r>
        <w:t xml:space="preserve"> </w:t>
      </w:r>
      <w:r>
        <w:rPr>
          <w:rStyle w:val="VerbatimChar"/>
        </w:rPr>
        <w:t xml:space="preserve">line:star</w:t>
      </w:r>
      <w:r>
        <w:t xml:space="preserve"> </w:t>
      </w:r>
      <w:r>
        <w:t xml:space="preserve">after dropping</w:t>
      </w:r>
      <w:r>
        <w:t xml:space="preserve"> </w:t>
      </w:r>
      <w:r>
        <w:rPr>
          <w:rStyle w:val="VerbatimChar"/>
        </w:rPr>
        <w:t xml:space="preserve">other</w:t>
      </w:r>
      <w:r>
        <w:t xml:space="preserve">/</w:t>
      </w:r>
      <w:r>
        <w:rPr>
          <w:rStyle w:val="VerbatimChar"/>
        </w:rPr>
        <w:t xml:space="preserve">rectangle</w:t>
      </w:r>
      <w:r>
        <w:t xml:space="preserve">, as in</w:t>
      </w:r>
      <w:r>
        <w:t xml:space="preserve"> </w:t>
      </w:r>
      <w:r>
        <w:rPr>
          <w:rStyle w:val="VerbatimChar"/>
        </w:rPr>
        <w:t xml:space="preserve">clean_signbase()</w:t>
      </w:r>
      <w:r>
        <w:t xml:space="preserve">) at 64 sites. After removing the eight sites listed in the main text as examples of low quality data, 496 signed objects at 57 sites remain. A further 27 sites carrying 58 signed objects are lost at the data cleaning step and do not enter phase assignment. The retained analysed sample is therefore 409 objects at 28 unique geographic sites (the 28 sites are later split into site-phase units in the next chunk).</w:t>
      </w:r>
    </w:p>
    <w:tbl>
      <w:tblPr>
        <w:tblStyle w:val="Table"/>
        <w:tblW w:type="pct" w:w="5000"/>
        <w:tblLook w:firstRow="0" w:lastRow="0" w:firstColumn="0" w:lastColumn="0" w:noHBand="0" w:noVBand="0" w:val="0000"/>
        <w:jc w:val="start"/>
        <w:tblLayout w:type="fixed"/>
      </w:tblPr>
      <w:tblGrid>
        <w:gridCol w:w="7920"/>
      </w:tblGrid>
      <w:tr>
        <w:tc>
          <w:tcPr/>
          <w:bookmarkStart w:id="22" w:name="tbl-dropped-sites"/>
          <w:tbl>
            <w:tblPr>
              <w:tblStyle w:val="Table"/>
              <w:tblW w:type="pct" w:w="5000"/>
              <w:tblLook w:firstRow="1" w:lastRow="0" w:firstColumn="0" w:lastColumn="0" w:noHBand="0" w:noVBand="0" w:val="0020"/>
              <w:jc w:val="start"/>
              <w:tblLayout w:type="fixed"/>
            </w:tblPr>
            <w:tblGrid>
              <w:gridCol w:w="1724"/>
              <w:gridCol w:w="1021"/>
              <w:gridCol w:w="1980"/>
              <w:gridCol w:w="1596"/>
              <w:gridCol w:w="1596"/>
            </w:tblGrid>
            <w:tr>
              <w:trPr>
                <w:tblHeader w:val="true"/>
              </w:trPr>
              <w:tc>
                <w:tcPr/>
                <w:p>
                  <w:pPr>
                    <w:pStyle w:val="Compact"/>
                    <w:jc w:val="left"/>
                    <w:jc w:val="center"/>
                  </w:pPr>
                  <w:r>
                    <w:t xml:space="preserve">Site</w:t>
                  </w:r>
                </w:p>
              </w:tc>
              <w:tc>
                <w:tcPr/>
                <w:p>
                  <w:pPr>
                    <w:pStyle w:val="Compact"/>
                    <w:jc w:val="center"/>
                    <w:jc w:val="center"/>
                  </w:pPr>
                  <w:r>
                    <w:t xml:space="preserve">Signed objects</w:t>
                  </w:r>
                </w:p>
              </w:tc>
              <w:tc>
                <w:tcPr/>
                <w:p>
                  <w:pPr>
                    <w:pStyle w:val="Compact"/>
                    <w:jc w:val="left"/>
                    <w:jc w:val="center"/>
                  </w:pPr>
                  <w:r>
                    <w:t xml:space="preserve">date_bp_max_min (example)</w:t>
                  </w:r>
                </w:p>
              </w:tc>
              <w:tc>
                <w:tcPr/>
                <w:p>
                  <w:pPr>
                    <w:pStyle w:val="Compact"/>
                    <w:jc w:val="center"/>
                    <w:jc w:val="center"/>
                  </w:pPr>
                  <w:r>
                    <w:t xml:space="preserve">dating_method (example)</w:t>
                  </w:r>
                </w:p>
              </w:tc>
              <w:tc>
                <w:tcPr/>
                <w:p>
                  <w:pPr>
                    <w:pStyle w:val="Compact"/>
                    <w:jc w:val="left"/>
                    <w:jc w:val="center"/>
                  </w:pPr>
                  <w:r>
                    <w:t xml:space="preserve">Reason</w:t>
                  </w:r>
                </w:p>
              </w:tc>
            </w:tr>
            <w:tr>
              <w:tc>
                <w:tcPr/>
                <w:p>
                  <w:pPr>
                    <w:pStyle w:val="Compact"/>
                    <w:jc w:val="left"/>
                    <w:jc w:val="center"/>
                  </w:pPr>
                  <w:r>
                    <w:t xml:space="preserve">Grotte de Goyet</w:t>
                  </w:r>
                </w:p>
              </w:tc>
              <w:tc>
                <w:tcPr/>
                <w:p>
                  <w:pPr>
                    <w:pStyle w:val="Compact"/>
                    <w:jc w:val="center"/>
                    <w:jc w:val="center"/>
                  </w:pPr>
                  <w:r>
                    <w:t xml:space="preserve">12</w:t>
                  </w:r>
                </w:p>
              </w:tc>
              <w:tc>
                <w:tcPr/>
                <w:p>
                  <w:pPr>
                    <w:pStyle w:val="Compact"/>
                    <w:jc w:val="left"/>
                    <w:jc w:val="center"/>
                  </w:pPr>
                  <w:r>
                    <w:t xml:space="preserve">35160 - 33140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Maisières-Canal</w:t>
                  </w:r>
                </w:p>
              </w:tc>
              <w:tc>
                <w:tcPr/>
                <w:p>
                  <w:pPr>
                    <w:pStyle w:val="Compact"/>
                    <w:jc w:val="center"/>
                    <w:jc w:val="center"/>
                  </w:pPr>
                  <w:r>
                    <w:t xml:space="preserve">5</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de Laussel</w:t>
                  </w:r>
                </w:p>
              </w:tc>
              <w:tc>
                <w:tcPr/>
                <w:p>
                  <w:pPr>
                    <w:pStyle w:val="Compact"/>
                    <w:jc w:val="center"/>
                    <w:jc w:val="center"/>
                  </w:pPr>
                  <w:r>
                    <w:t xml:space="preserve">4</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Brassempouy</w:t>
                  </w:r>
                </w:p>
              </w:tc>
              <w:tc>
                <w:tcPr/>
                <w:p>
                  <w:pPr>
                    <w:pStyle w:val="Compact"/>
                    <w:jc w:val="center"/>
                    <w:jc w:val="center"/>
                  </w:pPr>
                  <w:r>
                    <w:t xml:space="preserve">3</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Istállóskő Cave</w:t>
                  </w:r>
                </w:p>
              </w:tc>
              <w:tc>
                <w:tcPr/>
                <w:p>
                  <w:pPr>
                    <w:pStyle w:val="Compact"/>
                    <w:jc w:val="center"/>
                    <w:jc w:val="center"/>
                  </w:pPr>
                  <w:r>
                    <w:t xml:space="preserve">3</w:t>
                  </w:r>
                </w:p>
              </w:tc>
              <w:tc>
                <w:tcPr/>
                <w:p>
                  <w:pPr>
                    <w:pStyle w:val="Compact"/>
                    <w:jc w:val="left"/>
                    <w:jc w:val="center"/>
                  </w:pPr>
                  <w:r>
                    <w:t xml:space="preserve">35000 - 32000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Nová Dědina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Žlutava</w:t>
                  </w:r>
                </w:p>
              </w:tc>
              <w:tc>
                <w:tcPr/>
                <w:p>
                  <w:pPr>
                    <w:pStyle w:val="Compact"/>
                    <w:jc w:val="center"/>
                    <w:jc w:val="center"/>
                  </w:pPr>
                  <w:r>
                    <w:t xml:space="preserve">3</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Abri Lartet/Gorge d’Enfer</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La Souquette</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Trou Du Renard</w:t>
                  </w:r>
                </w:p>
              </w:tc>
              <w:tc>
                <w:tcPr/>
                <w:p>
                  <w:pPr>
                    <w:pStyle w:val="Compact"/>
                    <w:jc w:val="center"/>
                    <w:jc w:val="center"/>
                  </w:pPr>
                  <w:r>
                    <w:t xml:space="preserve">2</w:t>
                  </w:r>
                </w:p>
              </w:tc>
              <w:tc>
                <w:tcPr/>
                <w:p>
                  <w:pPr>
                    <w:pStyle w:val="Compact"/>
                    <w:jc w:val="left"/>
                    <w:jc w:val="center"/>
                  </w:pPr>
                  <w:r>
                    <w:t xml:space="preserve">33000 - 32000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Menton/Grottes du Grimaldi</w:t>
                  </w:r>
                </w:p>
              </w:tc>
              <w:tc>
                <w:tcPr/>
                <w:p>
                  <w:pPr>
                    <w:pStyle w:val="Compact"/>
                    <w:jc w:val="center"/>
                    <w:jc w:val="center"/>
                  </w:pPr>
                  <w:r>
                    <w:t xml:space="preserve">2</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Tuto de Camalhot</w:t>
                  </w:r>
                </w:p>
              </w:tc>
              <w:tc>
                <w:tcPr/>
                <w:p>
                  <w:pPr>
                    <w:pStyle w:val="Compact"/>
                    <w:jc w:val="center"/>
                    <w:jc w:val="center"/>
                  </w:pPr>
                  <w:r>
                    <w:t xml:space="preserve">2</w:t>
                  </w:r>
                </w:p>
              </w:tc>
              <w:tc>
                <w:tcPr/>
                <w:p>
                  <w:pPr>
                    <w:pStyle w:val="Compact"/>
                    <w:jc w:val="left"/>
                    <w:jc w:val="center"/>
                  </w:pPr>
                  <w:r>
                    <w:t xml:space="preserve">34750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Abri du Poisson</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Aurignac</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Breitenbach</w:t>
                  </w:r>
                </w:p>
              </w:tc>
              <w:tc>
                <w:tcPr/>
                <w:p>
                  <w:pPr>
                    <w:pStyle w:val="Compact"/>
                    <w:jc w:val="center"/>
                    <w:jc w:val="center"/>
                  </w:pPr>
                  <w:r>
                    <w:t xml:space="preserve">1</w:t>
                  </w:r>
                </w:p>
              </w:tc>
              <w:tc>
                <w:tcPr/>
                <w:p>
                  <w:pPr>
                    <w:pStyle w:val="Compact"/>
                    <w:jc w:val="left"/>
                    <w:jc w:val="center"/>
                  </w:pPr>
                  <w:r>
                    <w:t xml:space="preserve">30000 - 27000</w:t>
                  </w:r>
                </w:p>
              </w:tc>
              <w:tc>
                <w:tcPr/>
                <w:p>
                  <w:pPr>
                    <w:pStyle w:val="Compact"/>
                  </w:pPr>
                </w:p>
              </w:tc>
              <w:tc>
                <w:tcPr/>
                <w:p>
                  <w:pPr>
                    <w:pStyle w:val="Compact"/>
                  </w:pPr>
                </w:p>
              </w:tc>
            </w:tr>
            <w:tr>
              <w:tc>
                <w:tcPr/>
                <w:p>
                  <w:pPr>
                    <w:pStyle w:val="Compact"/>
                    <w:jc w:val="left"/>
                    <w:jc w:val="center"/>
                  </w:pPr>
                  <w:r>
                    <w:t xml:space="preserve">26000 - 28 000 BP</w:t>
                  </w:r>
                </w:p>
              </w:tc>
              <w:tc>
                <w:tcPr/>
                <w:p>
                  <w:pPr>
                    <w:pStyle w:val="Compact"/>
                    <w:jc w:val="center"/>
                    <w:jc w:val="center"/>
                  </w:pPr>
                  <w:r>
                    <w:t xml:space="preserve">C14</w:t>
                  </w:r>
                </w:p>
              </w:tc>
              <w:tc>
                <w:tcPr/>
                <w:p>
                  <w:pPr>
                    <w:pStyle w:val="Compact"/>
                    <w:jc w:val="left"/>
                    <w:jc w:val="center"/>
                  </w:pPr>
                  <w:r>
                    <w:t xml:space="preserve">plain interval without ±</w:t>
                  </w:r>
                </w:p>
              </w:tc>
              <w:tc>
                <w:tcPr/>
                <w:p>
                  <w:pPr>
                    <w:pStyle w:val="Compact"/>
                  </w:pPr>
                </w:p>
              </w:tc>
              <w:tc>
                <w:tcPr/>
                <w:p>
                  <w:pPr>
                    <w:pStyle w:val="Compact"/>
                  </w:pPr>
                </w:p>
              </w:tc>
            </w:tr>
            <w:tr>
              <w:tc>
                <w:tcPr/>
                <w:p>
                  <w:pPr>
                    <w:pStyle w:val="Compact"/>
                    <w:jc w:val="left"/>
                    <w:jc w:val="center"/>
                  </w:pPr>
                  <w:r>
                    <w:t xml:space="preserve">El Rascaño</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Göpfelsteinhöhle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C14</w:t>
                  </w:r>
                </w:p>
              </w:tc>
              <w:tc>
                <w:tcPr/>
                <w:p>
                  <w:pPr>
                    <w:pStyle w:val="Compact"/>
                    <w:jc w:val="left"/>
                    <w:jc w:val="center"/>
                  </w:pPr>
                  <w:r>
                    <w:t xml:space="preserve">no date</w:t>
                  </w:r>
                </w:p>
              </w:tc>
            </w:tr>
            <w:tr>
              <w:tc>
                <w:tcPr/>
                <w:p>
                  <w:pPr>
                    <w:pStyle w:val="Compact"/>
                    <w:jc w:val="left"/>
                    <w:jc w:val="center"/>
                  </w:pPr>
                  <w:r>
                    <w:t xml:space="preserve">Hornos de la Pena</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Kvasice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Le Terme Pialat</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Lhotka</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Otaslavice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Peskő Cave</w:t>
                  </w:r>
                </w:p>
              </w:tc>
              <w:tc>
                <w:tcPr/>
                <w:p>
                  <w:pPr>
                    <w:pStyle w:val="Compact"/>
                    <w:jc w:val="center"/>
                    <w:jc w:val="center"/>
                  </w:pPr>
                  <w:r>
                    <w:t xml:space="preserve">1</w:t>
                  </w:r>
                </w:p>
              </w:tc>
              <w:tc>
                <w:tcPr/>
                <w:p>
                  <w:pPr>
                    <w:pStyle w:val="Compact"/>
                    <w:jc w:val="left"/>
                    <w:jc w:val="center"/>
                  </w:pPr>
                  <w:r>
                    <w:t xml:space="preserve">38300 - 33500</w:t>
                  </w:r>
                </w:p>
              </w:tc>
              <w:tc>
                <w:tcPr/>
                <w:p>
                  <w:pPr>
                    <w:pStyle w:val="Compact"/>
                    <w:jc w:val="center"/>
                    <w:jc w:val="center"/>
                  </w:pPr>
                  <w:r>
                    <w:t xml:space="preserve">AMS</w:t>
                  </w:r>
                </w:p>
              </w:tc>
              <w:tc>
                <w:tcPr/>
                <w:p>
                  <w:pPr>
                    <w:pStyle w:val="Compact"/>
                    <w:jc w:val="left"/>
                    <w:jc w:val="center"/>
                  </w:pPr>
                  <w:r>
                    <w:t xml:space="preserve">plain interval without ±</w:t>
                  </w:r>
                </w:p>
              </w:tc>
            </w:tr>
            <w:tr>
              <w:tc>
                <w:tcPr/>
                <w:p>
                  <w:pPr>
                    <w:pStyle w:val="Compact"/>
                    <w:jc w:val="left"/>
                    <w:jc w:val="center"/>
                  </w:pPr>
                  <w:r>
                    <w:t xml:space="preserve">Shelter Birów IV</w:t>
                  </w:r>
                </w:p>
              </w:tc>
              <w:tc>
                <w:tcPr/>
                <w:p>
                  <w:pPr>
                    <w:pStyle w:val="Compact"/>
                    <w:jc w:val="center"/>
                    <w:jc w:val="center"/>
                  </w:pPr>
                  <w:r>
                    <w:t xml:space="preserve">1</w:t>
                  </w:r>
                </w:p>
              </w:tc>
              <w:tc>
                <w:tcPr/>
                <w:p>
                  <w:pPr>
                    <w:pStyle w:val="Compact"/>
                    <w:jc w:val="left"/>
                    <w:jc w:val="center"/>
                  </w:pPr>
                  <w:r>
                    <w:t xml:space="preserve">34000 - 30000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Slatinice</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r>
              <w:tc>
                <w:tcPr/>
                <w:p>
                  <w:pPr>
                    <w:pStyle w:val="Compact"/>
                    <w:jc w:val="left"/>
                    <w:jc w:val="center"/>
                  </w:pPr>
                  <w:r>
                    <w:t xml:space="preserve">Wildscheuer</w:t>
                  </w:r>
                </w:p>
              </w:tc>
              <w:tc>
                <w:tcPr/>
                <w:p>
                  <w:pPr>
                    <w:pStyle w:val="Compact"/>
                    <w:jc w:val="center"/>
                    <w:jc w:val="center"/>
                  </w:pPr>
                  <w:r>
                    <w:t xml:space="preserve">1</w:t>
                  </w:r>
                </w:p>
              </w:tc>
              <w:tc>
                <w:tcPr/>
                <w:p>
                  <w:pPr>
                    <w:pStyle w:val="Compact"/>
                    <w:jc w:val="left"/>
                    <w:jc w:val="center"/>
                  </w:pPr>
                  <w:r>
                    <w:t xml:space="preserve">34300 - 30000</w:t>
                  </w:r>
                </w:p>
              </w:tc>
              <w:tc>
                <w:tcPr/>
                <w:p>
                  <w:pPr>
                    <w:pStyle w:val="Compact"/>
                    <w:jc w:val="center"/>
                    <w:jc w:val="center"/>
                  </w:pPr>
                  <w:r>
                    <w:t xml:space="preserve">C14</w:t>
                  </w:r>
                </w:p>
              </w:tc>
              <w:tc>
                <w:tcPr/>
                <w:p>
                  <w:pPr>
                    <w:pStyle w:val="Compact"/>
                    <w:jc w:val="left"/>
                    <w:jc w:val="center"/>
                  </w:pPr>
                  <w:r>
                    <w:t xml:space="preserve">plain interval without ±</w:t>
                  </w:r>
                </w:p>
              </w:tc>
            </w:tr>
            <w:tr>
              <w:tc>
                <w:tcPr/>
                <w:p>
                  <w:pPr>
                    <w:pStyle w:val="Compact"/>
                    <w:jc w:val="left"/>
                    <w:jc w:val="center"/>
                  </w:pPr>
                  <w:r>
                    <w:t xml:space="preserve">d’Engihoul</w:t>
                  </w:r>
                </w:p>
              </w:tc>
              <w:tc>
                <w:tcPr/>
                <w:p>
                  <w:pPr>
                    <w:pStyle w:val="Compact"/>
                    <w:jc w:val="center"/>
                    <w:jc w:val="center"/>
                  </w:pPr>
                  <w:r>
                    <w:t xml:space="preserve">1</w:t>
                  </w:r>
                </w:p>
              </w:tc>
              <w:tc>
                <w:tcPr/>
                <w:p>
                  <w:pPr>
                    <w:pStyle w:val="Compact"/>
                    <w:jc w:val="left"/>
                    <w:jc w:val="center"/>
                  </w:pPr>
                  <w:r>
                    <w:t xml:space="preserve">NA</w:t>
                  </w:r>
                </w:p>
              </w:tc>
              <w:tc>
                <w:tcPr/>
                <w:p>
                  <w:pPr>
                    <w:pStyle w:val="Compact"/>
                    <w:jc w:val="center"/>
                    <w:jc w:val="center"/>
                  </w:pPr>
                  <w:r>
                    <w:t xml:space="preserve">NA</w:t>
                  </w:r>
                </w:p>
              </w:tc>
              <w:tc>
                <w:tcPr/>
                <w:p>
                  <w:pPr>
                    <w:pStyle w:val="Compact"/>
                    <w:jc w:val="left"/>
                    <w:jc w:val="center"/>
                  </w:pPr>
                  <w:r>
                    <w:t xml:space="preserve">no date</w:t>
                  </w:r>
                </w:p>
              </w:tc>
            </w:tr>
          </w:tbl>
          <w:p>
            <w:pPr>
              <w:jc w:val="center"/>
            </w:pPr>
            <w:pPr>
              <w:jc w:val="start"/>
              <w:spacing w:before="200"/>
              <w:pStyle w:val="ImageCaption"/>
            </w:pPr>
            <w:r>
              <w:t xml:space="preserve">Table S 1: Sites omitted for data quality reasons. Archaeological phase rationale is in Supplement 2.</w:t>
            </w:r>
          </w:p>
          <w:bookmarkEnd w:id="22"/>
        </w:tc>
      </w:tr>
    </w:tbl>
    <w:p>
      <w:pPr>
        <w:pStyle w:val="BodyText"/>
      </w:pPr>
      <w:r>
        <w:rPr>
          <w:bCs/>
          <w:b/>
        </w:rPr>
        <w:t xml:space="preserve">Analysis-ready phase data for downstream sections.</w:t>
      </w:r>
      <w:r>
        <w:t xml:space="preserve"> </w:t>
      </w:r>
      <w:r>
        <w:t xml:space="preserve">The chunk below builds the technology-based Aur-P1 and Aur-P2 site tables used in</w:t>
      </w:r>
      <w:r>
        <w:t xml:space="preserve"> </w:t>
      </w:r>
      <w:r>
        <w:t xml:space="preserve">Section S1.2</w:t>
      </w:r>
      <w:r>
        <w:t xml:space="preserve">–</w:t>
      </w:r>
      <w:r>
        <w:t xml:space="preserve">Section S1.12</w:t>
      </w:r>
      <w:r>
        <w:t xml:space="preserve">, so the counts above link directly to the analysed sample.</w:t>
      </w:r>
    </w:p>
    <w:bookmarkEnd w:id="23"/>
    <w:bookmarkStart w:id="24" w:name="sec-S1-1-interpretation"/>
    <w:p>
      <w:pPr>
        <w:pStyle w:val="Heading2"/>
      </w:pPr>
      <w:r>
        <w:t xml:space="preserve">S1.1.3 Interpretation</w:t>
      </w:r>
    </w:p>
    <w:p>
      <w:pPr>
        <w:pStyle w:val="FirstParagraph"/>
      </w:pPr>
      <w:r>
        <w:rPr>
          <w:bCs/>
          <w:b/>
        </w:rPr>
        <w:t xml:space="preserve">Question: how many signed objects and sites are lost at each step of data cleaning?</w:t>
      </w:r>
      <w:r>
        <w:t xml:space="preserve"> </w:t>
      </w:r>
      <w:r>
        <w:t xml:space="preserve">The raw extract holds 515 signed objects at 64 sites. Removing the eight low-quality sites leaves 496 signed objects at 57 sites. Date parsing then removes a further 27 sites carrying 58 signed objects (</w:t>
      </w:r>
      <w:hyperlink w:anchor="tbl-dropped-sites">
        <w:r>
          <w:rPr>
            <w:rStyle w:val="Hyperlink"/>
          </w:rPr>
          <w:t xml:space="preserve">Table S 1</w:t>
        </w:r>
      </w:hyperlink>
      <w:r>
        <w:t xml:space="preserve">). The retained analysed sample is therefore 409 objects at 28 unique geographic sites.</w:t>
      </w:r>
    </w:p>
    <w:p>
      <w:pPr>
        <w:pStyle w:val="BodyText"/>
      </w:pPr>
      <w:r>
        <w:rPr>
          <w:bCs/>
          <w:b/>
        </w:rPr>
        <w:t xml:space="preserve">Question: does the loss fall disproportionately on the small Aur-P2 sample?</w:t>
      </w:r>
      <w:r>
        <w:t xml:space="preserve"> </w:t>
      </w:r>
      <w:r>
        <w:t xml:space="preserve">Yes. The dropped objects include the seventh-largest assemblage (Grotte de Goyet, 12 objects), and ten of the 11 plain-range sites date to</w:t>
      </w:r>
      <w:r>
        <w:t xml:space="preserve"> </w:t>
      </w:r>
      <w:r>
        <w:rPr>
          <w:rStyle w:val="VerbatimChar"/>
        </w:rPr>
        <w:t xml:space="preserve">38–30</w:t>
      </w:r>
      <w:r>
        <w:t xml:space="preserve"> </w:t>
      </w:r>
      <w:r>
        <w:t xml:space="preserve">ka. The retained Aur-P2 sample therefore rests on only 9 sites.</w:t>
      </w:r>
    </w:p>
    <w:p>
      <w:pPr>
        <w:pStyle w:val="BodyText"/>
      </w:pPr>
      <w:r>
        <w:rPr>
          <w:bCs/>
          <w:b/>
        </w:rPr>
        <w:t xml:space="preserve">Implication for the main text.</w:t>
      </w:r>
      <w:r>
        <w:t xml:space="preserve"> </w:t>
      </w:r>
      <w:r>
        <w:t xml:space="preserve">All network, Mantel and PerMANOVA results in Sections</w:t>
      </w:r>
      <w:r>
        <w:t xml:space="preserve"> </w:t>
      </w:r>
      <w:r>
        <w:t xml:space="preserve">S1.2</w:t>
      </w:r>
      <w:r>
        <w:t xml:space="preserve">–</w:t>
      </w:r>
      <w:r>
        <w:t xml:space="preserve">S1.12</w:t>
      </w:r>
      <w:r>
        <w:t xml:space="preserve"> </w:t>
      </w:r>
      <w:r>
        <w:t xml:space="preserve">below are conditional on the retained sample of 409 objects at 28 sites. The phase table in Supplement 2 lists the retained sites with their technological or date-based assignment.</w:t>
      </w:r>
    </w:p>
    <w:bookmarkEnd w:id="24"/>
    <w:bookmarkEnd w:id="25"/>
    <w:bookmarkStart w:id="43" w:name="sec-s2"/>
    <w:p>
      <w:pPr>
        <w:pStyle w:val="Heading1"/>
      </w:pPr>
      <w:r>
        <w:t xml:space="preserve">S1.2 Network Threshold</w:t>
      </w:r>
    </w:p>
    <w:bookmarkStart w:id="26" w:name="sec-S1-2-rationale"/>
    <w:p>
      <w:pPr>
        <w:pStyle w:val="Heading2"/>
      </w:pPr>
      <w:r>
        <w:t xml:space="preserve">S1.2.1 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 It answers four specific questions:</w:t>
      </w:r>
    </w:p>
    <w:p>
      <w:pPr>
        <w:pStyle w:val="BodyText"/>
      </w:pPr>
      <w:r>
        <w:rPr>
          <w:bCs/>
          <w:b/>
        </w:rPr>
        <w:t xml:space="preserve">Question: do the phase contrasts hold at the alternative thresholds of 0.1 and 0.3?</w:t>
      </w:r>
    </w:p>
    <w:p>
      <w:pPr>
        <w:pStyle w:val="BodyText"/>
      </w:pPr>
      <w:r>
        <w:rPr>
          <w:bCs/>
          <w:b/>
        </w:rPr>
        <w:t xml:space="preserve">Question: is the 0.2 threshold a defensible middle ground between over-connection and fragmentation?</w:t>
      </w:r>
    </w:p>
    <w:p>
      <w:pPr>
        <w:pStyle w:val="BodyText"/>
      </w:pPr>
      <w:r>
        <w:rPr>
          <w:bCs/>
          <w:b/>
        </w:rPr>
        <w:t xml:space="preserve">Question: how much of the edge structure is preserved when the threshold moves?</w:t>
      </w:r>
    </w:p>
    <w:p>
      <w:pPr>
        <w:pStyle w:val="BodyText"/>
      </w:pPr>
      <w:r>
        <w:rPr>
          <w:bCs/>
          <w:b/>
        </w:rPr>
        <w:t xml:space="preserve">Question: over what continuous threshold range does the Aur-P1 greater than Aur-P2 ordering hold?</w:t>
      </w:r>
    </w:p>
    <w:bookmarkEnd w:id="26"/>
    <w:bookmarkStart w:id="41" w:name="sec-S1-2-analysis"/>
    <w:p>
      <w:pPr>
        <w:pStyle w:val="Heading2"/>
      </w:pPr>
      <w:r>
        <w:t xml:space="preserve">S1.2.2 Analysis</w:t>
      </w:r>
    </w:p>
    <w:bookmarkStart w:id="28" w:name="sec-S1-2-network-statistics-across"/>
    <w:p>
      <w:pPr>
        <w:pStyle w:val="Heading3"/>
      </w:pPr>
      <w:r>
        <w:t xml:space="preserve">S1.2.2.1 Network statistics across thresholds</w:t>
      </w:r>
    </w:p>
    <w:p>
      <w:pPr>
        <w:pStyle w:val="FirstParagraph"/>
      </w:pPr>
      <w:hyperlink w:anchor="tbl-sens-stats">
        <w:r>
          <w:rPr>
            <w:rStyle w:val="Hyperlink"/>
          </w:rPr>
          <w:t xml:space="preserve">Table S 2</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7"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S 2: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7"/>
        </w:tc>
      </w:tr>
    </w:tbl>
    <w:bookmarkEnd w:id="28"/>
    <w:bookmarkStart w:id="33" w:name="sec-S1-2-network-visualisations-across"/>
    <w:p>
      <w:pPr>
        <w:pStyle w:val="Heading3"/>
      </w:pPr>
      <w:r>
        <w:t xml:space="preserve">S1.2.2.2 Network visualisations across thresholds</w:t>
      </w:r>
    </w:p>
    <w:p>
      <w:pPr>
        <w:pStyle w:val="FirstParagraph"/>
      </w:pPr>
      <w:hyperlink w:anchor="fig-sens-networks">
        <w:r>
          <w:rPr>
            <w:rStyle w:val="Hyperlink"/>
          </w:rPr>
          <w:t xml:space="preserve">Figure S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32" w:name="fig-sens-networks"/>
          <w:p>
            <w:pPr>
              <w:pStyle w:val="Compact"/>
              <w:jc w:val="center"/>
            </w:pPr>
            <w:r>
              <w:drawing>
                <wp:inline>
                  <wp:extent cx="5943600" cy="5403272"/>
                  <wp:effectExtent b="0" l="0" r="0" t="0"/>
                  <wp:docPr descr="" title="" id="30" name="Picture"/>
                  <a:graphic>
                    <a:graphicData uri="http://schemas.openxmlformats.org/drawingml/2006/picture">
                      <pic:pic>
                        <pic:nvPicPr>
                          <pic:cNvPr descr="../figures/sensitivity-network-plot.png" id="31" name="Picture"/>
                          <pic:cNvPicPr>
                            <a:picLocks noChangeArrowheads="1" noChangeAspect="1"/>
                          </pic:cNvPicPr>
                        </pic:nvPicPr>
                        <pic:blipFill>
                          <a:blip r:embed="rId29"/>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32"/>
        </w:tc>
      </w:tr>
    </w:tbl>
    <w:bookmarkEnd w:id="33"/>
    <w:bookmarkStart w:id="35" w:name="sec-s2-4"/>
    <w:p>
      <w:pPr>
        <w:pStyle w:val="Heading3"/>
      </w:pPr>
      <w:r>
        <w:t xml:space="preserve">S1.2.2.3 Threshold agreement metrics</w:t>
      </w:r>
    </w:p>
    <w:p>
      <w:pPr>
        <w:pStyle w:val="FirstParagraph"/>
      </w:pPr>
      <w:r>
        <w:t xml:space="preserve">Below we quantify the stability of the network structures across thresholds using two metrics:</w:t>
      </w:r>
    </w:p>
    <w:p>
      <w:pPr>
        <w:numPr>
          <w:ilvl w:val="0"/>
          <w:numId w:val="1001"/>
        </w:numPr>
      </w:pPr>
      <w:r>
        <w:rPr>
          <w:bCs/>
          <w:b/>
        </w:rPr>
        <w:t xml:space="preserve">Edge-set Jaccard similarity</w:t>
      </w:r>
      <w:r>
        <w:t xml:space="preserve"> </w:t>
      </w:r>
      <w:r>
        <w:t xml:space="preserve">between each pair of thresholds: the number of edges present at both thresholds divided by the number present at either threshold. A value near 1 indicates the edge structure is preserved as you move from one threshold to another.</w:t>
      </w:r>
    </w:p>
    <w:p>
      <w:pPr>
        <w:numPr>
          <w:ilvl w:val="0"/>
          <w:numId w:val="1001"/>
        </w:numPr>
      </w:pPr>
      <w:r>
        <w:rPr>
          <w:bCs/>
          <w:b/>
        </w:rPr>
        <w:t xml:space="preserve">Adjacency-matrix correlation</w:t>
      </w:r>
      <w:r>
        <w:t xml:space="preserve"> </w:t>
      </w:r>
      <w:r>
        <w:t xml:space="preserve">between each pair of thresholds: the Pearson correlation between the vectorised upper triangles of the two adjacency matrices. This is a continuous measure of how similar the full set of pairwise similarity scores is before any cutoff is applied.</w:t>
      </w:r>
    </w:p>
    <w:tbl>
      <w:tblPr>
        <w:tblStyle w:val="Table"/>
        <w:tblW w:type="pct" w:w="5000"/>
        <w:tblLook w:firstRow="0" w:lastRow="0" w:firstColumn="0" w:lastColumn="0" w:noHBand="0" w:noVBand="0" w:val="0000"/>
        <w:jc w:val="start"/>
        <w:tblLayout w:type="fixed"/>
      </w:tblPr>
      <w:tblGrid>
        <w:gridCol w:w="7920"/>
      </w:tblGrid>
      <w:tr>
        <w:tc>
          <w:tcPr/>
          <w:bookmarkStart w:id="34" w:name="tbl-threshold-agreement"/>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Threshold 1</w:t>
                  </w:r>
                </w:p>
              </w:tc>
              <w:tc>
                <w:tcPr/>
                <w:p>
                  <w:pPr>
                    <w:pStyle w:val="Compact"/>
                    <w:jc w:val="right"/>
                    <w:jc w:val="center"/>
                  </w:pPr>
                  <w:r>
                    <w:t xml:space="preserve">Threshold 2</w:t>
                  </w:r>
                </w:p>
              </w:tc>
              <w:tc>
                <w:tcPr/>
                <w:p>
                  <w:pPr>
                    <w:pStyle w:val="Compact"/>
                    <w:jc w:val="right"/>
                    <w:jc w:val="center"/>
                  </w:pPr>
                  <w:r>
                    <w:t xml:space="preserve">Edge Jaccard</w:t>
                  </w:r>
                </w:p>
              </w:tc>
              <w:tc>
                <w:tcPr/>
                <w:p>
                  <w:pPr>
                    <w:pStyle w:val="Compact"/>
                    <w:jc w:val="right"/>
                    <w:jc w:val="center"/>
                  </w:pPr>
                  <w:r>
                    <w:t xml:space="preserve">Adj. correlation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0.600</w:t>
                  </w:r>
                </w:p>
              </w:tc>
              <w:tc>
                <w:tcPr/>
                <w:p>
                  <w:pPr>
                    <w:pStyle w:val="Compact"/>
                    <w:jc w:val="right"/>
                    <w:jc w:val="center"/>
                  </w:pPr>
                  <w:r>
                    <w:t xml:space="preserve">0.961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w:t>
                  </w:r>
                </w:p>
              </w:tc>
              <w:tc>
                <w:tcPr/>
                <w:p>
                  <w:pPr>
                    <w:pStyle w:val="Compact"/>
                    <w:jc w:val="right"/>
                    <w:jc w:val="center"/>
                  </w:pPr>
                  <w:r>
                    <w:t xml:space="preserve">0.655</w:t>
                  </w:r>
                </w:p>
              </w:tc>
              <w:tc>
                <w:tcPr/>
                <w:p>
                  <w:pPr>
                    <w:pStyle w:val="Compact"/>
                    <w:jc w:val="right"/>
                    <w:jc w:val="center"/>
                  </w:pPr>
                  <w:r>
                    <w:t xml:space="preserve">0.959</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0.747</w:t>
                  </w:r>
                </w:p>
              </w:tc>
              <w:tc>
                <w:tcPr/>
                <w:p>
                  <w:pPr>
                    <w:pStyle w:val="Compact"/>
                    <w:jc w:val="right"/>
                    <w:jc w:val="center"/>
                  </w:pPr>
                  <w:r>
                    <w:t xml:space="preserve">0.956</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0.3</w:t>
                  </w:r>
                </w:p>
              </w:tc>
              <w:tc>
                <w:tcPr/>
                <w:p>
                  <w:pPr>
                    <w:pStyle w:val="Compact"/>
                    <w:jc w:val="right"/>
                    <w:jc w:val="center"/>
                  </w:pPr>
                  <w:r>
                    <w:t xml:space="preserve">0.684</w:t>
                  </w:r>
                </w:p>
              </w:tc>
              <w:tc>
                <w:tcPr/>
                <w:p>
                  <w:pPr>
                    <w:pStyle w:val="Compact"/>
                    <w:jc w:val="right"/>
                    <w:jc w:val="center"/>
                  </w:pPr>
                  <w:r>
                    <w:t xml:space="preserve">0.938</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0.932</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w:t>
                  </w:r>
                </w:p>
              </w:tc>
              <w:tc>
                <w:tcPr/>
                <w:p>
                  <w:pPr>
                    <w:pStyle w:val="Compact"/>
                    <w:jc w:val="right"/>
                    <w:jc w:val="center"/>
                  </w:pPr>
                  <w:r>
                    <w:t xml:space="preserve">0.448</w:t>
                  </w:r>
                </w:p>
              </w:tc>
              <w:tc>
                <w:tcPr/>
                <w:p>
                  <w:pPr>
                    <w:pStyle w:val="Compact"/>
                    <w:jc w:val="right"/>
                    <w:jc w:val="center"/>
                  </w:pPr>
                  <w:r>
                    <w:t xml:space="preserve">0.928</w:t>
                  </w:r>
                </w:p>
              </w:tc>
            </w:tr>
          </w:tbl>
          <w:p>
            <w:pPr>
              <w:jc w:val="center"/>
            </w:pPr>
            <w:pPr>
              <w:jc w:val="start"/>
              <w:spacing w:before="200"/>
              <w:pStyle w:val="ImageCaption"/>
            </w:pPr>
            <w:r>
              <w:t xml:space="preserve">Table S 3: Pairwise agreement between networks at adjacent thresholds. Edge‑set Jaccard measures the fraction of edges present at both thresholds out of all edges present at either threshold. Adjacency‑matrix correlation is the Pearson r between the vectorised upper‑triangular elements of the adjacency matrices at each threshold (all pairs of sites before the cutoff is applied).</w:t>
            </w:r>
          </w:p>
          <w:bookmarkEnd w:id="34"/>
        </w:tc>
      </w:tr>
    </w:tbl>
    <w:bookmarkEnd w:id="35"/>
    <w:bookmarkStart w:id="40" w:name="sec-s2-5"/>
    <w:p>
      <w:pPr>
        <w:pStyle w:val="Heading3"/>
      </w:pPr>
      <w:r>
        <w:t xml:space="preserve">S1.2.2.4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39" w:name="fig-threshold-sweep"/>
          <w:p>
            <w:pPr>
              <w:pStyle w:val="Compact"/>
              <w:jc w:val="center"/>
            </w:pPr>
            <w:r>
              <w:drawing>
                <wp:inline>
                  <wp:extent cx="5943600" cy="2971800"/>
                  <wp:effectExtent b="0" l="0" r="0" t="0"/>
                  <wp:docPr descr="" title="" id="37" name="Picture"/>
                  <a:graphic>
                    <a:graphicData uri="http://schemas.openxmlformats.org/drawingml/2006/picture">
                      <pic:pic>
                        <pic:nvPicPr>
                          <pic:cNvPr descr="S1-supplement-sensitivity_files/figure-docx/fig-threshold-sweep-1.png" id="38" name="Picture"/>
                          <pic:cNvPicPr>
                            <a:picLocks noChangeArrowheads="1" noChangeAspect="1"/>
                          </pic:cNvPicPr>
                        </pic:nvPicPr>
                        <pic:blipFill>
                          <a:blip r:embed="rId3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2: Mean degree (left) and modularity (right) for each Aurignacian phase across a continuous range of Jaccard similarity thresholds. The vertical dashed line marks the baseline threshold of 0.2.</w:t>
            </w:r>
          </w:p>
          <w:bookmarkEnd w:id="39"/>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 The full sweep result is answered in Interpretation below (</w:t>
      </w:r>
      <w:hyperlink w:anchor="fig-threshold-sweep">
        <w:r>
          <w:rPr>
            <w:rStyle w:val="Hyperlink"/>
          </w:rPr>
          <w:t xml:space="preserve">Figure S 2</w:t>
        </w:r>
      </w:hyperlink>
      <w:r>
        <w:t xml:space="preserve">).</w:t>
      </w:r>
    </w:p>
    <w:bookmarkEnd w:id="40"/>
    <w:bookmarkEnd w:id="41"/>
    <w:bookmarkStart w:id="42" w:name="sec-S1-2-interpretation"/>
    <w:p>
      <w:pPr>
        <w:pStyle w:val="Heading2"/>
      </w:pPr>
      <w:r>
        <w:t xml:space="preserve">S1.2.3 Interpretation</w:t>
      </w:r>
    </w:p>
    <w:p>
      <w:pPr>
        <w:pStyle w:val="FirstParagraph"/>
      </w:pPr>
      <w:r>
        <w:rPr>
          <w:bCs/>
          <w:b/>
        </w:rPr>
        <w:t xml:space="preserve">Question: do the phase contrasts hold at the alternative thresholds of 0.1 and 0.3?</w:t>
      </w:r>
      <w:r>
        <w:t xml:space="preserve"> </w:t>
      </w:r>
      <w:r>
        <w:t xml:space="preserve">Yes. In both phases and at all three thresholds, the networks retain a recognisable two-cluster structure corresponding to the restricted-range and broader-range site groups identified by seriation. Broader-range sites keep denser mutual connections, while restricted-range sites stay peripheral or isolated. Aur-P1 is consistently the more edge-rich network with the higher raw mean degree and clearer hub structure, while Aur-P2 is sparser and more fragmented (</w:t>
      </w:r>
      <w:hyperlink w:anchor="tbl-sens-stats">
        <w:r>
          <w:rPr>
            <w:rStyle w:val="Hyperlink"/>
          </w:rPr>
          <w:t xml:space="preserve">Table S 2</w:t>
        </w:r>
      </w:hyperlink>
      <w:r>
        <w:t xml:space="preserve">). Modularity in Aur-P1 remains in a moderate range across thresholds, indicating persistent community structure.</w:t>
      </w:r>
    </w:p>
    <w:p>
      <w:pPr>
        <w:pStyle w:val="BodyText"/>
      </w:pPr>
      <w:r>
        <w:rPr>
          <w:bCs/>
          <w:b/>
        </w:rPr>
        <w:t xml:space="preserve">Question: is the 0.2 threshold a defensible middle ground between over-connection and fragmentation?</w:t>
      </w:r>
      <w:r>
        <w:t xml:space="preserve"> </w:t>
      </w:r>
      <w:r>
        <w:t xml:space="preserve">Yes. At threshold 0.1, graph density increases substantially and several sites that appear as isolates at 0.2 become connected, reflecting genuine weak cultural overlap or noise in the presence/absence data. At threshold 0.3, the graph becomes considerably sparser, with 2 isolates in Aur-P1 in particular. The number of isolated nodes increases monotonically with threshold in both phases, as expected. The 0.2 threshold preserves the major structural contrasts while avoiding both the over-connection artefacts of the 0.1 threshold and the excessive fragmentation of the 0.3 threshold.</w:t>
      </w:r>
    </w:p>
    <w:p>
      <w:pPr>
        <w:pStyle w:val="BodyText"/>
      </w:pPr>
      <w:r>
        <w:rPr>
          <w:bCs/>
          <w:b/>
        </w:rPr>
        <w:t xml:space="preserve">Question: how much of the edge structure is preserved when the threshold moves?</w:t>
      </w:r>
      <w:r>
        <w:t xml:space="preserve"> </w:t>
      </w:r>
      <w:r>
        <w:t xml:space="preserve">Most of it. Edge-set Jaccard between 0.1 and 0.2 is 0.6 for Aur-P1 and 0.655 (</w:t>
      </w:r>
      <w:hyperlink w:anchor="tbl-threshold-agreement">
        <w:r>
          <w:rPr>
            <w:rStyle w:val="Hyperlink"/>
          </w:rPr>
          <w:t xml:space="preserve">Table S 3</w:t>
        </w:r>
      </w:hyperlink>
      <w:r>
        <w:t xml:space="preserve">). Moving the threshold changes density more than structure.</w:t>
      </w:r>
    </w:p>
    <w:p>
      <w:pPr>
        <w:pStyle w:val="BodyText"/>
      </w:pPr>
      <w:r>
        <w:rPr>
          <w:bCs/>
          <w:b/>
        </w:rPr>
        <w:t xml:space="preserve">Question: over what continuous threshold range does the Aur-P1 greater than Aur-P2 ordering hold?</w:t>
      </w:r>
      <w:r>
        <w:t xml:space="preserve"> </w:t>
      </w:r>
      <w:r>
        <w:t xml:space="preserve">From 0.05 to 0.50. Aur-P1’s mean degree runs from 2.80–14.80 and Aur-P2’s from 2.00–7.11 across the swept range, and the ordering is preserved throughout (0.05–0.50) (</w:t>
      </w:r>
      <w:hyperlink w:anchor="fig-threshold-sweep">
        <w:r>
          <w:rPr>
            <w:rStyle w:val="Hyperlink"/>
          </w:rPr>
          <w:t xml:space="preserve">Figure S 2</w:t>
        </w:r>
      </w:hyperlink>
      <w:r>
        <w:t xml:space="preserve">). Aur-P2 retains a mean degree of at least 2.00 even at the coarsest threshold (0.50), so the contrast never collapses. Modularity shows the same ordering: Aur-P1 ranges from 0.204–0.437 and consistently exceeds Aur-P2 (0.085–0.161) at every threshold. However, as shown in</w:t>
      </w:r>
      <w:r>
        <w:t xml:space="preserve"> </w:t>
      </w:r>
      <w:r>
        <w:t xml:space="preserve">Section S1.7.6</w:t>
      </w:r>
      <w:r>
        <w:t xml:space="preserve">, this raw mean-degree contrast reflects the larger site sample in Aur-P1 rather than higher intrinsic connectivity.</w:t>
      </w:r>
    </w:p>
    <w:p>
      <w:pPr>
        <w:pStyle w:val="BodyText"/>
      </w:pPr>
      <w:r>
        <w:rPr>
          <w:bCs/>
          <w:b/>
        </w:rPr>
        <w:t xml:space="preserve">Implication for the main text.</w:t>
      </w:r>
      <w:r>
        <w:t xml:space="preserve"> </w:t>
      </w:r>
      <w:r>
        <w:t xml:space="preserve">The threshold of 0.2 used in the main analysis is a defensible and representative choice, not a cherry-picked value.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42"/>
    <w:bookmarkEnd w:id="43"/>
    <w:bookmarkStart w:id="58" w:name="sec-s3"/>
    <w:p>
      <w:pPr>
        <w:pStyle w:val="Heading1"/>
      </w:pPr>
      <w:r>
        <w:t xml:space="preserve">S1.3 Similarity Metric Choice (Jaccard vs. Sørensen-Dice vs. Simpson)</w:t>
      </w:r>
    </w:p>
    <w:bookmarkStart w:id="44" w:name="sec-S1-3-rationale"/>
    <w:p>
      <w:pPr>
        <w:pStyle w:val="Heading2"/>
      </w:pPr>
      <w:r>
        <w:t xml:space="preserve">S1.3.1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 It answers three specific questions:</w:t>
      </w:r>
    </w:p>
    <w:p>
      <w:pPr>
        <w:pStyle w:val="BodyText"/>
      </w:pPr>
      <w:r>
        <w:rPr>
          <w:bCs/>
          <w:b/>
        </w:rPr>
        <w:t xml:space="preserve">Question: does the Aur-P1 greater than Aur-P2 phase contrast hold under all three metrics?</w:t>
      </w:r>
    </w:p>
    <w:p>
      <w:pPr>
        <w:pStyle w:val="BodyText"/>
      </w:pPr>
      <w:r>
        <w:rPr>
          <w:bCs/>
          <w:b/>
        </w:rPr>
        <w:t xml:space="preserve">Question: does double-weighting shared presences under Sorensen-Dice change community structure relative to Jaccard?</w:t>
      </w:r>
    </w:p>
    <w:p>
      <w:pPr>
        <w:pStyle w:val="BodyText"/>
      </w:pPr>
      <w:r>
        <w:rPr>
          <w:bCs/>
          <w:b/>
        </w:rPr>
        <w:t xml:space="preserve">Question: does the Aur-P1 connectivity advantage survive under Simpson similarity, which controls for richness asymmetry?</w:t>
      </w:r>
    </w:p>
    <w:bookmarkEnd w:id="44"/>
    <w:bookmarkStart w:id="55" w:name="sec-S1-3-analysis"/>
    <w:p>
      <w:pPr>
        <w:pStyle w:val="Heading2"/>
      </w:pPr>
      <w:r>
        <w:t xml:space="preserve">S1.3.2 Analysis</w:t>
      </w:r>
    </w:p>
    <w:tbl>
      <w:tblPr>
        <w:tblStyle w:val="Table"/>
        <w:tblW w:type="pct" w:w="5000"/>
        <w:tblLook w:firstRow="0" w:lastRow="0" w:firstColumn="0" w:lastColumn="0" w:noHBand="0" w:noVBand="0" w:val="0000"/>
        <w:jc w:val="start"/>
        <w:tblLayout w:type="fixed"/>
      </w:tblPr>
      <w:tblGrid>
        <w:gridCol w:w="7920"/>
      </w:tblGrid>
      <w:tr>
        <w:tc>
          <w:tcPr/>
          <w:bookmarkStart w:id="45"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S 4: Network statistics for each Aurignacian phase across three similarity metrics (Jaccard, Sørensen-Dice, Simpson) at threshold = 0.2.</w:t>
            </w:r>
          </w:p>
          <w:bookmarkEnd w:id="45"/>
        </w:tc>
      </w:tr>
    </w:tbl>
    <w:tbl>
      <w:tblPr>
        <w:tblStyle w:val="Table"/>
        <w:tblW w:type="pct" w:w="5000"/>
        <w:tblLook w:firstRow="0" w:lastRow="0" w:firstColumn="0" w:lastColumn="0" w:noHBand="0" w:noVBand="0" w:val="0000"/>
        <w:jc w:val="start"/>
        <w:tblLayout w:type="fixed"/>
      </w:tblPr>
      <w:tblGrid>
        <w:gridCol w:w="7920"/>
      </w:tblGrid>
      <w:tr>
        <w:tc>
          <w:tcPr/>
          <w:bookmarkStart w:id="49" w:name="fig-metric-networks"/>
          <w:p>
            <w:pPr>
              <w:pStyle w:val="Compact"/>
              <w:jc w:val="center"/>
            </w:pPr>
            <w:r>
              <w:drawing>
                <wp:inline>
                  <wp:extent cx="5943600" cy="5403272"/>
                  <wp:effectExtent b="0" l="0" r="0" t="0"/>
                  <wp:docPr descr="" title="" id="47" name="Picture"/>
                  <a:graphic>
                    <a:graphicData uri="http://schemas.openxmlformats.org/drawingml/2006/picture">
                      <pic:pic>
                        <pic:nvPicPr>
                          <pic:cNvPr descr="../figures/sensitivity-metric-plot.png" id="48" name="Picture"/>
                          <pic:cNvPicPr>
                            <a:picLocks noChangeArrowheads="1" noChangeAspect="1"/>
                          </pic:cNvPicPr>
                        </pic:nvPicPr>
                        <pic:blipFill>
                          <a:blip r:embed="rId46"/>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3: Site networks for Aur-P1 (top) and Aur-P2 (bottom) under Jaccard (left), Sørensen-Dice (centre), and Simpson (right) similarity metrics at threshold = 0.2.</w:t>
            </w:r>
          </w:p>
          <w:bookmarkEnd w:id="49"/>
        </w:tc>
      </w:tr>
    </w:tbl>
    <w:bookmarkStart w:id="54" w:name="sec-S1-3-ordination"/>
    <w:p>
      <w:pPr>
        <w:pStyle w:val="Heading3"/>
      </w:pPr>
      <w:r>
        <w:t xml:space="preserve">S1.3.2.1 Ordination biplots with PCoA and CA</w:t>
      </w:r>
    </w:p>
    <w:p>
      <w:pPr>
        <w:pStyle w:val="FirstParagraph"/>
      </w:pPr>
      <w:r>
        <w:t xml:space="preserve">PCoA uses the same Jaccard dissimilarity as the Mantel tests. CA uses the presence absence matrix directly. Both plots colour sites by the manual restricted broad groups. The two methods show the same gradient side by side.</w:t>
      </w:r>
    </w:p>
    <w:tbl>
      <w:tblPr>
        <w:tblStyle w:val="Table"/>
        <w:tblW w:type="pct" w:w="5000"/>
        <w:tblLook w:firstRow="0" w:lastRow="0" w:firstColumn="0" w:lastColumn="0" w:noHBand="0" w:noVBand="0" w:val="0000"/>
        <w:jc w:val="start"/>
        <w:tblLayout w:type="fixed"/>
      </w:tblPr>
      <w:tblGrid>
        <w:gridCol w:w="7920"/>
      </w:tblGrid>
      <w:tr>
        <w:tc>
          <w:tcPr/>
          <w:bookmarkStart w:id="53" w:name="fig-ordination-pcoa-ca"/>
          <w:p>
            <w:pPr>
              <w:pStyle w:val="Compact"/>
              <w:jc w:val="center"/>
            </w:pPr>
            <w:r>
              <w:drawing>
                <wp:inline>
                  <wp:extent cx="5943600" cy="4754880"/>
                  <wp:effectExtent b="0" l="0" r="0" t="0"/>
                  <wp:docPr descr="" title="" id="51" name="Picture"/>
                  <a:graphic>
                    <a:graphicData uri="http://schemas.openxmlformats.org/drawingml/2006/picture">
                      <pic:pic>
                        <pic:nvPicPr>
                          <pic:cNvPr descr="../figures/ordination-pcoa-ca-plot.png" id="52" name="Picture"/>
                          <pic:cNvPicPr>
                            <a:picLocks noChangeArrowheads="1" noChangeAspect="1"/>
                          </pic:cNvPicPr>
                        </pic:nvPicPr>
                        <pic:blipFill>
                          <a:blip r:embed="rId5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4: PCoA on Jaccard dissimilarity (left column) and CA on presence absence (right column) for Aur-P1 (top row) and Aur-P2 (bottom row). Points are sites coloured by manual group with restricted in red and broad in blue. Labels name sites with high leverage only when space allows.</w:t>
            </w:r>
          </w:p>
          <w:bookmarkEnd w:id="53"/>
        </w:tc>
      </w:tr>
    </w:tbl>
    <w:bookmarkEnd w:id="54"/>
    <w:bookmarkEnd w:id="55"/>
    <w:bookmarkStart w:id="57" w:name="sec-S1-3-interpretation"/>
    <w:p>
      <w:pPr>
        <w:pStyle w:val="Heading2"/>
      </w:pPr>
      <w:r>
        <w:t xml:space="preserve">S1.3.3 Interpretation</w:t>
      </w:r>
    </w:p>
    <w:p>
      <w:pPr>
        <w:pStyle w:val="FirstParagraph"/>
      </w:pPr>
      <w:r>
        <w:rPr>
          <w:bCs/>
          <w:b/>
        </w:rPr>
        <w:t xml:space="preserve">Question: does the Aur-P1 greater than Aur-P2 phase contrast hold under all three metrics?</w:t>
      </w:r>
      <w:r>
        <w:t xml:space="preserve"> </w:t>
      </w:r>
      <w:r>
        <w:t xml:space="preserve">Yes. Aur-P1 consistently produces the higher edge count and node degree across Jaccard, Sorensen-Dice, and Simpson, while Aur-P2 is sparser, consistent with its smaller sample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w:t>
      </w:r>
    </w:p>
    <w:p>
      <w:pPr>
        <w:pStyle w:val="BodyText"/>
      </w:pPr>
      <w:r>
        <w:rPr>
          <w:bCs/>
          <w:b/>
        </w:rPr>
        <w:t xml:space="preserve">Question: does double-weighting shared presences under Sorensen-Dice change community structure relative to Jaccard?</w:t>
      </w:r>
      <w:r>
        <w:t xml:space="preserve"> </w:t>
      </w:r>
      <w:r>
        <w:t xml:space="preserve">No. Sorensen similarity yields higher edge counts (for example Aur-P1 113 versus 75 for Jaccard) because double-weighting shared presences elevates similarity scores above the 0.2 threshold. Network community structures and hub locations remain identical.</w:t>
      </w:r>
    </w:p>
    <w:p>
      <w:pPr>
        <w:pStyle w:val="BodyText"/>
      </w:pPr>
      <w:r>
        <w:rPr>
          <w:bCs/>
          <w:b/>
        </w:rPr>
        <w:t xml:space="preserve">Question: does the Aur-P1 connectivity advantage survive under Simpson similarity, which controls for richness asymmetry?</w:t>
      </w:r>
      <w:r>
        <w:t xml:space="preserve"> </w:t>
      </w:r>
      <w:r>
        <w:t xml:space="preserve">Yes. Simpson similarity shows that the Aur-P1 connectivity is driven by genuine shared sign repertoires rather than sample-size asymmetry.</w:t>
      </w:r>
    </w:p>
    <w:p>
      <w:pPr>
        <w:pStyle w:val="BodyText"/>
      </w:pPr>
      <w:r>
        <w:rPr>
          <w:bCs/>
          <w:b/>
        </w:rPr>
        <w:t xml:space="preserve">Question: do ordinations show discrete clusters or a continuous gradient?</w:t>
      </w:r>
      <w:r>
        <w:t xml:space="preserve"> </w:t>
      </w:r>
      <w:r>
        <w:t xml:space="preserve">The PCoA and CA biplots show a continuous gradient with two single site outliers. In</w:t>
      </w:r>
      <w:r>
        <w:t xml:space="preserve"> </w:t>
      </w:r>
      <w:hyperlink w:anchor="fig-ordination-pcoa-ca">
        <w:r>
          <w:rPr>
            <w:rStyle w:val="Hyperlink"/>
          </w:rPr>
          <w:t xml:space="preserve">Figure S 4</w:t>
        </w:r>
      </w:hyperlink>
      <w:r>
        <w:t xml:space="preserve"> </w:t>
      </w:r>
      <w:r>
        <w:t xml:space="preserve">the restricted sites in red and the broad sites in blue fall along one slope in Aur-P1 and in Aur-P2. PCoA axis 1 carries 31% of variance in Aur-P1 and 43.7% in Aur-P2. CA axis 1 carries 19.4% in Aur-P1 and 31.3% in Aur-P2. The main cloud shows no split into two groups. In Aur-P1 CA two broad sites stand apart, namely Les Cottés and Trou al’Wesse, because each carries a rare sign type. The visual matches the Simpson turnover result with no group separation.</w:t>
      </w:r>
    </w:p>
    <w:p>
      <w:pPr>
        <w:pStyle w:val="BodyText"/>
      </w:pPr>
      <w:r>
        <w:rPr>
          <w:bCs/>
          <w:b/>
        </w:rPr>
        <w:t xml:space="preserve">Question: does PCoA1 track richness, geography, or both?</w:t>
      </w:r>
      <w:r>
        <w:t xml:space="preserve"> </w:t>
      </w:r>
      <w:r>
        <w:t xml:space="preserve">The PCoA axis 1 captures the primary gradient in sign-type composition. To evaluate whether this gradient reflects richness, geographic position, or both, a multiple regression fits PCoA1 against richness and both geographic coordinates. Partial t-tests show whether PCoA1 tracks richness after controlling for geography and vice versa.</w:t>
      </w:r>
    </w:p>
    <w:tbl>
      <w:tblPr>
        <w:tblStyle w:val="Table"/>
        <w:tblW w:type="pct" w:w="5000"/>
        <w:tblLook w:firstRow="0" w:lastRow="0" w:firstColumn="0" w:lastColumn="0" w:noHBand="0" w:noVBand="0" w:val="0000"/>
        <w:jc w:val="start"/>
        <w:tblLayout w:type="fixed"/>
      </w:tblPr>
      <w:tblGrid>
        <w:gridCol w:w="7920"/>
      </w:tblGrid>
      <w:tr>
        <w:tc>
          <w:tcPr/>
          <w:bookmarkStart w:id="56" w:name="tbl-pc1-axis-test"/>
          <w:p>
            <w:pPr>
              <w:jc w:val="center"/>
            </w:pPr>
            <w:pPr>
              <w:jc w:val="start"/>
              <w:spacing w:before="200"/>
              <w:pStyle w:val="ImageCaption"/>
            </w:pPr>
            <w:r>
              <w:t xml:space="preserve">Table S 5: Multiple regression of PCoA axis 1 on sign-type richness and geographic coordinates. Partial t-tests show whether PCoA1 tracks richness after controlling for geography and vice versa. Bold p-values indicate significance.</w:t>
            </w:r>
          </w:p>
          <w:tbl>
            <w:tblPr>
              <w:tblStyle w:val="Table"/>
              <w:tblW w:type="pct" w:w="5000"/>
              <w:tblLook w:firstRow="1" w:lastRow="0" w:firstColumn="0" w:lastColumn="0" w:noHBand="0" w:noVBand="0" w:val="0020"/>
              <w:jc w:val="start"/>
              <w:tblLayout w:type="fixed"/>
            </w:tblPr>
            <w:tblGrid>
              <w:gridCol w:w="543"/>
              <w:gridCol w:w="310"/>
              <w:gridCol w:w="621"/>
              <w:gridCol w:w="1164"/>
              <w:gridCol w:w="931"/>
              <w:gridCol w:w="1242"/>
              <w:gridCol w:w="1009"/>
              <w:gridCol w:w="1164"/>
              <w:gridCol w:w="931"/>
            </w:tblGrid>
            <w:tr>
              <w:trPr>
                <w:tblHeader w:val="true"/>
              </w:trPr>
              <w:tc>
                <w:tcPr/>
                <w:p>
                  <w:pPr>
                    <w:pStyle w:val="Compact"/>
                    <w:jc w:val="left"/>
                    <w:jc w:val="center"/>
                  </w:pPr>
                  <w:r>
                    <w:t xml:space="preserve">Phase</w:t>
                  </w:r>
                </w:p>
              </w:tc>
              <w:tc>
                <w:tcPr/>
                <w:p>
                  <w:pPr>
                    <w:pStyle w:val="Compact"/>
                    <w:jc w:val="center"/>
                    <w:jc w:val="center"/>
                  </w:pPr>
                  <w:r>
                    <w:t xml:space="preserve">n</w:t>
                  </w:r>
                </w:p>
              </w:tc>
              <w:tc>
                <w:tcPr/>
                <w:p>
                  <w:pPr>
                    <w:pStyle w:val="Compact"/>
                    <w:jc w:val="center"/>
                    <w:jc w:val="center"/>
                  </w:pPr>
                  <w:r>
                    <w:t xml:space="preserve">R² adj</w:t>
                  </w:r>
                </w:p>
              </w:tc>
              <w:tc>
                <w:tcPr/>
                <w:p>
                  <w:pPr>
                    <w:pStyle w:val="Compact"/>
                    <w:jc w:val="center"/>
                    <w:jc w:val="center"/>
                  </w:pPr>
                  <w:r>
                    <w:t xml:space="preserve">Richness coef</w:t>
                  </w:r>
                </w:p>
              </w:tc>
              <w:tc>
                <w:tcPr/>
                <w:p>
                  <w:pPr>
                    <w:pStyle w:val="Compact"/>
                    <w:jc w:val="center"/>
                    <w:jc w:val="center"/>
                  </w:pPr>
                  <w:r>
                    <w:t xml:space="preserve">Richness p</w:t>
                  </w:r>
                </w:p>
              </w:tc>
              <w:tc>
                <w:tcPr/>
                <w:p>
                  <w:pPr>
                    <w:pStyle w:val="Compact"/>
                    <w:jc w:val="center"/>
                    <w:jc w:val="center"/>
                  </w:pPr>
                  <w:r>
                    <w:t xml:space="preserve">Longitude coef</w:t>
                  </w:r>
                </w:p>
              </w:tc>
              <w:tc>
                <w:tcPr/>
                <w:p>
                  <w:pPr>
                    <w:pStyle w:val="Compact"/>
                    <w:jc w:val="center"/>
                    <w:jc w:val="center"/>
                  </w:pPr>
                  <w:r>
                    <w:t xml:space="preserve">Longitude p</w:t>
                  </w:r>
                </w:p>
              </w:tc>
              <w:tc>
                <w:tcPr/>
                <w:p>
                  <w:pPr>
                    <w:pStyle w:val="Compact"/>
                    <w:jc w:val="center"/>
                    <w:jc w:val="center"/>
                  </w:pPr>
                  <w:r>
                    <w:t xml:space="preserve">Latitude coef</w:t>
                  </w:r>
                </w:p>
              </w:tc>
              <w:tc>
                <w:tcPr/>
                <w:p>
                  <w:pPr>
                    <w:pStyle w:val="Compact"/>
                    <w:jc w:val="center"/>
                    <w:jc w:val="center"/>
                  </w:pPr>
                  <w:r>
                    <w:t xml:space="preserve">Latitude 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0.644</w:t>
                  </w:r>
                </w:p>
              </w:tc>
              <w:tc>
                <w:tcPr/>
                <w:p>
                  <w:pPr>
                    <w:pStyle w:val="Compact"/>
                    <w:jc w:val="center"/>
                    <w:jc w:val="center"/>
                  </w:pPr>
                  <w:r>
                    <w:t xml:space="preserve">-0.051</w:t>
                  </w:r>
                </w:p>
              </w:tc>
              <w:tc>
                <w:tcPr/>
                <w:p>
                  <w:pPr>
                    <w:pStyle w:val="Compact"/>
                    <w:jc w:val="center"/>
                    <w:jc w:val="center"/>
                  </w:pPr>
                  <w:r>
                    <w:t xml:space="preserve">&lt; 0.001</w:t>
                  </w:r>
                </w:p>
              </w:tc>
              <w:tc>
                <w:tcPr/>
                <w:p>
                  <w:pPr>
                    <w:pStyle w:val="Compact"/>
                    <w:jc w:val="center"/>
                    <w:jc w:val="center"/>
                  </w:pPr>
                  <w:r>
                    <w:t xml:space="preserve">0.040</w:t>
                  </w:r>
                </w:p>
              </w:tc>
              <w:tc>
                <w:tcPr/>
                <w:p>
                  <w:pPr>
                    <w:pStyle w:val="Compact"/>
                    <w:jc w:val="center"/>
                    <w:jc w:val="center"/>
                  </w:pPr>
                  <w:r>
                    <w:t xml:space="preserve">0.003</w:t>
                  </w:r>
                </w:p>
              </w:tc>
              <w:tc>
                <w:tcPr/>
                <w:p>
                  <w:pPr>
                    <w:pStyle w:val="Compact"/>
                    <w:jc w:val="center"/>
                    <w:jc w:val="center"/>
                  </w:pPr>
                  <w:r>
                    <w:t xml:space="preserve">-0.049</w:t>
                  </w:r>
                </w:p>
              </w:tc>
              <w:tc>
                <w:tcPr/>
                <w:p>
                  <w:pPr>
                    <w:pStyle w:val="Compact"/>
                    <w:jc w:val="center"/>
                    <w:jc w:val="center"/>
                  </w:pPr>
                  <w:r>
                    <w:t xml:space="preserve">0.061</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-0.214</w:t>
                  </w:r>
                </w:p>
              </w:tc>
              <w:tc>
                <w:tcPr/>
                <w:p>
                  <w:pPr>
                    <w:pStyle w:val="Compact"/>
                    <w:jc w:val="center"/>
                    <w:jc w:val="center"/>
                  </w:pPr>
                  <w:r>
                    <w:t xml:space="preserve">0.049</w:t>
                  </w:r>
                </w:p>
              </w:tc>
              <w:tc>
                <w:tcPr/>
                <w:p>
                  <w:pPr>
                    <w:pStyle w:val="Compact"/>
                    <w:jc w:val="center"/>
                    <w:jc w:val="center"/>
                  </w:pPr>
                  <w:r>
                    <w:t xml:space="preserve">0.376</w:t>
                  </w:r>
                </w:p>
              </w:tc>
              <w:tc>
                <w:tcPr/>
                <w:p>
                  <w:pPr>
                    <w:pStyle w:val="Compact"/>
                    <w:jc w:val="center"/>
                    <w:jc w:val="center"/>
                  </w:pPr>
                  <w:r>
                    <w:t xml:space="preserve">0.024</w:t>
                  </w:r>
                </w:p>
              </w:tc>
              <w:tc>
                <w:tcPr/>
                <w:p>
                  <w:pPr>
                    <w:pStyle w:val="Compact"/>
                    <w:jc w:val="center"/>
                    <w:jc w:val="center"/>
                  </w:pPr>
                  <w:r>
                    <w:t xml:space="preserve">0.388</w:t>
                  </w:r>
                </w:p>
              </w:tc>
              <w:tc>
                <w:tcPr/>
                <w:p>
                  <w:pPr>
                    <w:pStyle w:val="Compact"/>
                    <w:jc w:val="center"/>
                    <w:jc w:val="center"/>
                  </w:pPr>
                  <w:r>
                    <w:t xml:space="preserve">-0.059</w:t>
                  </w:r>
                </w:p>
              </w:tc>
              <w:tc>
                <w:tcPr/>
                <w:p>
                  <w:pPr>
                    <w:pStyle w:val="Compact"/>
                    <w:jc w:val="center"/>
                    <w:jc w:val="center"/>
                  </w:pPr>
                  <w:r>
                    <w:t xml:space="preserve">0.523</w:t>
                  </w:r>
                </w:p>
              </w:tc>
            </w:tr>
          </w:tbl>
          <w:bookmarkEnd w:id="56"/>
          <w:p/>
        </w:tc>
      </w:tr>
    </w:tbl>
    <w:p>
      <w:pPr>
        <w:pStyle w:val="BodyText"/>
      </w:pPr>
      <w:r>
        <w:rPr>
          <w:bCs/>
          <w:b/>
        </w:rPr>
        <w:t xml:space="preserve">Answer: richness is the dominant predictor</w:t>
      </w:r>
      <w:r>
        <w:t xml:space="preserve"> </w:t>
      </w:r>
      <w:r>
        <w:t xml:space="preserve">(R² adj = 0.644, p = &lt; 0.001), but</w:t>
      </w:r>
      <w:r>
        <w:t xml:space="preserve"> </w:t>
      </w:r>
      <w:r>
        <w:rPr>
          <w:bCs/>
          <w:b/>
        </w:rPr>
        <w:t xml:space="preserve">longitude contributes a significant independent signal</w:t>
      </w:r>
      <w:r>
        <w:t xml:space="preserve"> </w:t>
      </w:r>
      <w:r>
        <w:t xml:space="preserve">(p = 0.003, partial ρ = 0.652) — eastern sites carry a distinct sign-type composition beyond what richness predicts. Latitude does not contribute significantly (p = 0.061). For Aur-P2 the sample (9 sites) is too small to resolve any predictor (R² adj = -0.214).</w:t>
      </w:r>
    </w:p>
    <w:p>
      <w:pPr>
        <w:pStyle w:val="BodyText"/>
      </w:pPr>
      <w:r>
        <w:rPr>
          <w:bCs/>
          <w:b/>
        </w:rPr>
        <w:t xml:space="preserve">Implication for the main text.</w:t>
      </w:r>
      <w:r>
        <w:t xml:space="preserve"> </w:t>
      </w:r>
      <w:r>
        <w:t xml:space="preserve">The three-metric network comparison shows that the Aur-P1 &gt; Aur-P2 connectivity contrast is robust to how shared presences and richness differences are weighted: Jaccard, Sørensen-Dice, and Simpson similarity all produce the same phase ordering and qualitatively identical community structures (</w:t>
      </w:r>
      <w:hyperlink w:anchor="tbl-metric-stats">
        <w:r>
          <w:rPr>
            <w:rStyle w:val="Hyperlink"/>
          </w:rPr>
          <w:t xml:space="preserve">Table S 4</w:t>
        </w:r>
      </w:hyperlink>
      <w:r>
        <w:t xml:space="preserve">;</w:t>
      </w:r>
      <w:r>
        <w:t xml:space="preserve"> </w:t>
      </w:r>
      <w:hyperlink w:anchor="fig-metric-networks">
        <w:r>
          <w:rPr>
            <w:rStyle w:val="Hyperlink"/>
          </w:rPr>
          <w:t xml:space="preserve">Figure S 3</w:t>
        </w:r>
      </w:hyperlink>
      <w:r>
        <w:t xml:space="preserve">). However, the Simpson similarity contrast is driven by</w:t>
      </w:r>
      <w:r>
        <w:t xml:space="preserve"> </w:t>
      </w:r>
      <w:r>
        <w:rPr>
          <w:bCs/>
          <w:b/>
        </w:rPr>
        <w:t xml:space="preserve">nestedness</w:t>
      </w:r>
      <w:r>
        <w:t xml:space="preserve"> </w:t>
      </w:r>
      <w:r>
        <w:t xml:space="preserve">(rich sites sharing more with poor sites by virtue of repertoire size), not by compositional turnover (</w:t>
      </w:r>
      <w:r>
        <w:t xml:space="preserve">Section S1.10.3</w:t>
      </w:r>
      <w:r>
        <w:t xml:space="preserve">). This means the persistence under Simpson reflects repertoire-size asymmetry rather than discrete compositional differences — the contrast survives the metric change, but the mechanism is richness-related, consistent with the PCoA1 regression showing richness as the dominant gradient driver.</w:t>
      </w:r>
    </w:p>
    <w:p>
      <w:pPr>
        <w:pStyle w:val="BodyText"/>
      </w:pPr>
      <w:r>
        <w:t xml:space="preserve">The PCoA and CA ordination biplots reinforce this by showing that site relationships form a</w:t>
      </w:r>
      <w:r>
        <w:t xml:space="preserve"> </w:t>
      </w:r>
      <w:r>
        <w:rPr>
          <w:bCs/>
          <w:b/>
        </w:rPr>
        <w:t xml:space="preserve">continuous gradient</w:t>
      </w:r>
      <w:r>
        <w:t xml:space="preserve"> </w:t>
      </w:r>
      <w:r>
        <w:t xml:space="preserve">rather than discrete clusters (</w:t>
      </w:r>
      <w:hyperlink w:anchor="fig-ordination-pcoa-ca">
        <w:r>
          <w:rPr>
            <w:rStyle w:val="Hyperlink"/>
          </w:rPr>
          <w:t xml:space="preserve">Figure S 4</w:t>
        </w:r>
      </w:hyperlink>
      <w:r>
        <w:t xml:space="preserve">), matching the Simpson turnover result of no group separation. Together these results mean: (1) the main-text network conclusions are not an artefact of the Jaccard formulation; (2) the continuous gradient structure matches the Simpson turnover finding; and (3) geographic position (east–west) has a secondary effect on sign-type composition, but richness dominates the primary axis of variation. The main-text claim that richness effects are the principal driver is supported, while the claim that geography is only weakly relevant should be qualified: longitude is statistically significant but subordinate to richness.</w:t>
      </w:r>
    </w:p>
    <w:bookmarkEnd w:id="57"/>
    <w:bookmarkEnd w:id="58"/>
    <w:bookmarkStart w:id="76" w:name="sec-s4"/>
    <w:p>
      <w:pPr>
        <w:pStyle w:val="Heading1"/>
      </w:pPr>
      <w:r>
        <w:t xml:space="preserve">S1.4 Geographic Distance Verification (Mantel Tests)</w:t>
      </w:r>
    </w:p>
    <w:bookmarkStart w:id="59" w:name="sec-s4-rationale"/>
    <w:p>
      <w:pPr>
        <w:pStyle w:val="Heading2"/>
      </w:pPr>
      <w:r>
        <w:t xml:space="preserve">S1.4.1 Rationale</w:t>
      </w:r>
    </w:p>
    <w:p>
      <w:pPr>
        <w:pStyle w:val="FirstParagraph"/>
      </w:pPr>
      <w:r>
        <w:t xml:space="preserve">Mantel tests in the main text find no geographic signal, but a flat Euclidean distance and a single global correlation can each hide structure. This section checks the result in three ways: geodesic distance in kilometres, scale-dependent correlograms with uncertainty on the global R, and a non-Mantel trend-surface model. Each check below states its questions in Rationale and answers them in Interpretation.</w:t>
      </w:r>
    </w:p>
    <w:bookmarkEnd w:id="59"/>
    <w:bookmarkStart w:id="63" w:name="sec-S1-4-check"/>
    <w:p>
      <w:pPr>
        <w:pStyle w:val="Heading2"/>
      </w:pPr>
      <w:r>
        <w:t xml:space="preserve">S1.4.2 Geodesic distance comparison</w:t>
      </w:r>
    </w:p>
    <w:bookmarkStart w:id="61" w:name="sec-S1-4-rationale"/>
    <w:p>
      <w:pPr>
        <w:pStyle w:val="Heading3"/>
      </w:pPr>
      <w:r>
        <w:t xml:space="preserve">S1.4.2.1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p>
      <w:pPr>
        <w:pStyle w:val="BodyText"/>
      </w:pPr>
      <w:r>
        <w:rPr>
          <w:bCs/>
          <w:b/>
        </w:rPr>
        <w:t xml:space="preserve">Question: does the non-significant Mantel result hold when distance is measured as true geodesic kilometres rather than flat Euclidean coordinates?</w:t>
      </w:r>
    </w:p>
    <w:tbl>
      <w:tblPr>
        <w:tblStyle w:val="Table"/>
        <w:tblW w:type="pct" w:w="5000"/>
        <w:tblLook w:firstRow="0" w:lastRow="0" w:firstColumn="0" w:lastColumn="0" w:noHBand="0" w:noVBand="0" w:val="0000"/>
        <w:jc w:val="start"/>
        <w:tblLayout w:type="fixed"/>
      </w:tblPr>
      <w:tblGrid>
        <w:gridCol w:w="7920"/>
      </w:tblGrid>
      <w:tr>
        <w:tc>
          <w:tcPr/>
          <w:bookmarkStart w:id="60"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S 6: Comparison of Mantel test results (Mantel R and p-value) evaluating sign assemblage dissimilarity vs. spatial distance using flat coordinate Euclidean distance vs. true Geodesic distance (in kilometers).</w:t>
            </w:r>
          </w:p>
          <w:bookmarkEnd w:id="60"/>
        </w:tc>
      </w:tr>
    </w:tbl>
    <w:bookmarkEnd w:id="61"/>
    <w:bookmarkStart w:id="62" w:name="sec-S1-4-interpretation"/>
    <w:p>
      <w:pPr>
        <w:pStyle w:val="Heading3"/>
      </w:pPr>
      <w:r>
        <w:t xml:space="preserve">S1.4.2.2 Interpretation</w:t>
      </w:r>
    </w:p>
    <w:p>
      <w:pPr>
        <w:pStyle w:val="FirstParagraph"/>
      </w:pPr>
      <w:r>
        <w:rPr>
          <w:bCs/>
          <w:b/>
        </w:rPr>
        <w:t xml:space="preserve">Question: does the non-significant Mantel result hold when distance is measured as true geodesic kilometres rather than flat Euclidean coordinates?</w:t>
      </w:r>
      <w:r>
        <w:t xml:space="preserve"> </w:t>
      </w:r>
      <w:r>
        <w:t xml:space="preserve">Yes. 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p>
      <w:pPr>
        <w:pStyle w:val="BodyText"/>
      </w:pPr>
      <w:r>
        <w:rPr>
          <w:bCs/>
          <w:b/>
        </w:rPr>
        <w:t xml:space="preserve">Implication for the main text.</w:t>
      </w:r>
      <w:r>
        <w:t xml:space="preserve"> </w:t>
      </w:r>
      <w:r>
        <w:t xml:space="preserve">The main-text use of flat coordinates does not create the null result; geodesic kilometres give the same non-significant outcome in both phases.</w:t>
      </w:r>
    </w:p>
    <w:bookmarkEnd w:id="62"/>
    <w:bookmarkEnd w:id="63"/>
    <w:bookmarkStart w:id="71" w:name="sec-s4-3"/>
    <w:p>
      <w:pPr>
        <w:pStyle w:val="Heading2"/>
      </w:pPr>
      <w:r>
        <w:t xml:space="preserve">S1.4.3 Mantel correlogram</w:t>
      </w:r>
    </w:p>
    <w:bookmarkStart w:id="64" w:name="rationale"/>
    <w:p>
      <w:pPr>
        <w:pStyle w:val="Heading3"/>
      </w:pPr>
      <w:r>
        <w:t xml:space="preserve">Rationale</w:t>
      </w:r>
    </w:p>
    <w:p>
      <w:pPr>
        <w:pStyle w:val="FirstParagraph"/>
      </w:pPr>
      <w:r>
        <w:t xml:space="preserve">The Mantel tests reported in the main text and in</w:t>
      </w:r>
      <w:r>
        <w:t xml:space="preserve"> </w:t>
      </w:r>
      <w:r>
        <w:t xml:space="preserve">Section S1.4</w:t>
      </w:r>
      <w:r>
        <w:t xml:space="preserve"> </w:t>
      </w:r>
      <w:r>
        <w:t xml:space="preserve">evaluate a single global null hypothesis: that geometric-sign dissimilarity is uncorrelated with geographic distance across all site pairs simultaneously. A non-significant global result can conceal scale-dependent structure — for example, sign sharing might be geographically clustered at short distances but random at long distances, producing a net correlation near zero. Because the global test cannot distinguish</w:t>
      </w:r>
      <w:r>
        <w:t xml:space="preserve"> </w:t>
      </w:r>
      <w:r>
        <w:t xml:space="preserve">“</w:t>
      </w:r>
      <w:r>
        <w:t xml:space="preserve">no spatial structure at any scale</w:t>
      </w:r>
      <w:r>
        <w:t xml:space="preserve">”</w:t>
      </w:r>
      <w:r>
        <w:t xml:space="preserve"> </w:t>
      </w:r>
      <w:r>
        <w:t xml:space="preserve">from</w:t>
      </w:r>
      <w:r>
        <w:t xml:space="preserve"> </w:t>
      </w:r>
      <w:r>
        <w:t xml:space="preserve">“</w:t>
      </w:r>
      <w:r>
        <w:t xml:space="preserve">positive and negative structure that cancel,</w:t>
      </w:r>
      <w:r>
        <w:t xml:space="preserve">”</w:t>
      </w:r>
      <w:r>
        <w:t xml:space="preserve"> </w:t>
      </w:r>
      <w:r>
        <w:t xml:space="preserve">we ask two specific questions:</w:t>
      </w:r>
    </w:p>
    <w:p>
      <w:pPr>
        <w:pStyle w:val="BodyText"/>
      </w:pPr>
      <w:r>
        <w:rPr>
          <w:bCs/>
          <w:b/>
        </w:rPr>
        <w:t xml:space="preserve">Question: does sign dissimilarity show spatial autocorrelation at a specific distance lag?</w:t>
      </w:r>
      <w:r>
        <w:t xml:space="preserve"> </w:t>
      </w:r>
      <w:r>
        <w:t xml:space="preserve">A Mantel correlogram partitions site pairs by geographic-distance bin and tests the Mantel correlation within each bin; a significant positive r at one or more lags would reveal scale-dependent structure that the global test misses.</w:t>
      </w:r>
    </w:p>
    <w:p>
      <w:pPr>
        <w:pStyle w:val="BodyText"/>
      </w:pPr>
      <w:r>
        <w:rPr>
          <w:bCs/>
          <w:b/>
        </w:rPr>
        <w:t xml:space="preserve">Question: how uncertain is the global Mantel R estimate, and what does that imply about statistical power?</w:t>
      </w:r>
      <w:r>
        <w:t xml:space="preserve"> </w:t>
      </w:r>
      <w:r>
        <w:t xml:space="preserve">We place a bootstrap 95% confidence interval on the single global Mantel R reported for each phase. A wide interval that overlaps zero indicates the test cannot distinguish a true null from a true moderate correlation, so the non-significant result is a lack of evidence rather than evidence of absence.</w:t>
      </w:r>
    </w:p>
    <w:bookmarkEnd w:id="64"/>
    <w:bookmarkStart w:id="69" w:name="analysis"/>
    <w:p>
      <w:pPr>
        <w:pStyle w:val="Heading3"/>
      </w:pPr>
      <w:r>
        <w:t xml:space="preserve">Analysis</w:t>
      </w:r>
    </w:p>
    <w:p>
      <w:pPr>
        <w:pStyle w:val="FirstParagraph"/>
      </w:pPr>
      <w:r>
        <w:t xml:space="preserve">We reconstruct, for each phase, the Jaccard sign dissimilarity and the geodesic geographic-distance matrix used by the</w:t>
      </w:r>
      <w:r>
        <w:t xml:space="preserve"> </w:t>
      </w:r>
      <w:r>
        <w:t xml:space="preserve">Section S1.4</w:t>
      </w:r>
      <w:r>
        <w:t xml:space="preserve"> </w:t>
      </w:r>
      <w:r>
        <w:t xml:space="preserve">Mantel tests (the same construction as</w:t>
      </w:r>
      <w:r>
        <w:t xml:space="preserve"> </w:t>
      </w:r>
      <w:r>
        <w:rPr>
          <w:rStyle w:val="VerbatimChar"/>
        </w:rPr>
        <w:t xml:space="preserve">run_mantel_comp</w:t>
      </w:r>
      <w:r>
        <w:t xml:space="preserve">, applied to the technology-assigned phase data). The Mantel correlogram is computed with</w:t>
      </w:r>
      <w:r>
        <w:t xml:space="preserve"> </w:t>
      </w:r>
      <w:r>
        <w:rPr>
          <w:rStyle w:val="VerbatimChar"/>
        </w:rPr>
        <w:t xml:space="preserve">ecodist::mgram</w:t>
      </w:r>
      <w:r>
        <w:t xml:space="preserve"> </w:t>
      </w:r>
      <w:r>
        <w:t xml:space="preserve">[1]</w:t>
      </w:r>
      <w:r>
        <w:t xml:space="preserve">, which bins pairs by geographic distance — into 5 equiprobable lags for Aur-P1 and 3 for Aur-P2, to keep pair counts per lag stable given the small samples — and returns the Mantel r, a permutation p-value, and 95% bootstrap confidence limits (llim/ulim) for each lag. For the global statistic we resample objects within each site with replacement, B equals 1000, rebuild the site presence matrix, recompute Mantel R, and take the 2.5 percent and 97.5 percent quantiles as the bootstrap interval. We do not resample sites with replacement because duplicate sites create distance 0 and dissimilarity 0 pairs.</w:t>
      </w:r>
    </w:p>
    <w:tbl>
      <w:tblPr>
        <w:tblStyle w:val="Table"/>
        <w:tblW w:type="pct" w:w="5000"/>
        <w:tblLook w:firstRow="0" w:lastRow="0" w:firstColumn="0" w:lastColumn="0" w:noHBand="0" w:noVBand="0" w:val="0000"/>
        <w:jc w:val="start"/>
        <w:tblLayout w:type="fixed"/>
      </w:tblPr>
      <w:tblGrid>
        <w:gridCol w:w="7920"/>
      </w:tblGrid>
      <w:tr>
        <w:tc>
          <w:tcPr/>
          <w:bookmarkStart w:id="68" w:name="fig-mantel-correlogram"/>
          <w:p>
            <w:pPr>
              <w:pStyle w:val="Compact"/>
              <w:jc w:val="center"/>
            </w:pPr>
            <w:r>
              <w:drawing>
                <wp:inline>
                  <wp:extent cx="5943600" cy="3714750"/>
                  <wp:effectExtent b="0" l="0" r="0" t="0"/>
                  <wp:docPr descr="" title="" id="66" name="Picture"/>
                  <a:graphic>
                    <a:graphicData uri="http://schemas.openxmlformats.org/drawingml/2006/picture">
                      <pic:pic>
                        <pic:nvPicPr>
                          <pic:cNvPr descr="S1-supplement-sensitivity_files/figure-docx/fig-mantel-correlogram-1.png" id="67" name="Picture"/>
                          <pic:cNvPicPr>
                            <a:picLocks noChangeArrowheads="1" noChangeAspect="1"/>
                          </pic:cNvPicPr>
                        </pic:nvPicPr>
                        <pic:blipFill>
                          <a:blip r:embed="rId65"/>
                          <a:stretch>
                            <a:fillRect/>
                          </a:stretch>
                        </pic:blipFill>
                        <pic:spPr bwMode="auto">
                          <a:xfrm>
                            <a:off x="0" y="0"/>
                            <a:ext cx="5943600" cy="37147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5: Mantel correlogram of geometric-sign dissimilarity against geographic distance, by phase. Points are the Mantel r within each distance lag; error bars are 95% bootstrap confidence intervals (ecodist::mgram, llim/ulim). The dashed line is r = 0. No lag reaches significance, and all intervals straddle zero.</w:t>
            </w:r>
          </w:p>
          <w:bookmarkEnd w:id="68"/>
        </w:tc>
      </w:tr>
    </w:tbl>
    <w:bookmarkEnd w:id="69"/>
    <w:bookmarkStart w:id="70" w:name="interpretation"/>
    <w:p>
      <w:pPr>
        <w:pStyle w:val="Heading3"/>
      </w:pPr>
      <w:r>
        <w:t xml:space="preserve">Interpretation</w:t>
      </w:r>
    </w:p>
    <w:p>
      <w:pPr>
        <w:pStyle w:val="FirstParagraph"/>
      </w:pPr>
      <w:r>
        <w:rPr>
          <w:bCs/>
          <w:b/>
        </w:rPr>
        <w:t xml:space="preserve">Question: does sign dissimilarity show spatial autocorrelation at a specific distance lag?</w:t>
      </w:r>
      <w:r>
        <w:t xml:space="preserve"> </w:t>
      </w:r>
      <w:r>
        <w:t xml:space="preserve">No. In Aur-P1 the 5 distance lags yield Mantel r values from -0.077 to 0.078, none significant (smallest p = 0.318); in Aur-P2 the 3 lags range from -0.255 to 0.349, also none significant (smallest p = 0.048). Every lag’s 95% bootstrap interval straddles or lies close to zero: the most extreme bounds across lags are -0.165 and 0.183 for Aur-P1 and -0.463 and 0.543 for Aur-P2, both comfortably including zero. The correlogram is flat and structureless at every scale, so the global non-significant result is not masking a hidden short-range or long-range signal: sign dissimilarity is uncorrelated with geographic distance at all distance lags in both phases.</w:t>
      </w:r>
    </w:p>
    <w:p>
      <w:pPr>
        <w:pStyle w:val="BodyText"/>
      </w:pPr>
      <w:r>
        <w:rPr>
          <w:bCs/>
          <w:b/>
        </w:rPr>
        <w:t xml:space="preserve">Question: how uncertain is the global Mantel R estimate, and what does that imply about statistical power?</w:t>
      </w:r>
      <w:r>
        <w:t xml:space="preserve"> </w:t>
      </w:r>
      <w:r>
        <w:t xml:space="preserve">The global Mantel R is 0.046 (p = 0.300) for Aur-P1 and -0.299 (p = 0.935) for Aur-P2, matching the</w:t>
      </w:r>
      <w:r>
        <w:t xml:space="preserve"> </w:t>
      </w:r>
      <w:r>
        <w:t xml:space="preserve">Section S1.4</w:t>
      </w:r>
      <w:r>
        <w:t xml:space="preserve"> </w:t>
      </w:r>
      <w:r>
        <w:t xml:space="preserve">geodesic results. The 95% interval from object-within-site bootstrap is [-0.022, 0.086] for Aur-P1 (spans zero; observed 0.046) and [-0.355, -0.231] for Aur-P2 (narrowly negative, does not span zero; observed -0.299); permutation p = 0.935 shows no isolation-by-distance, and the bootstrap shows the negative estimate is stable to object resampling rather than underpowered in the same sense as Aur-P1. The Aur-P2 bootstrap CI excluding zero suggests a stable negative correlation under object resampling, while the permutation p = 0.935 remains non-significant — this discrepancy reflects the low power of the permutation test with only 9 sites (36 pairs). Site-with-replacement bootstrap was not used because it creates duplicate sites with distance 0 and dissimilarity 0. Because the Aur-P2 analysis rests on only 9 sites (36 site pairs) and Aur-P1 on 20 sites (190 pairs), the Aur-P1 test has low power: a true moderate geographic correlation (|r| ≈ 0.3–0.4) would fall inside the Aur-P1 sampling noise and could not be excluded. The non-significant Mantel results are therefore a</w:t>
      </w:r>
      <w:r>
        <w:t xml:space="preserve"> </w:t>
      </w:r>
      <w:r>
        <w:rPr>
          <w:iCs/>
          <w:i/>
        </w:rPr>
        <w:t xml:space="preserve">lack of evidence</w:t>
      </w:r>
      <w:r>
        <w:t xml:space="preserve"> </w:t>
      </w:r>
      <w:r>
        <w:t xml:space="preserve">for geographic structure, not evidence that it is absent, and they provide no support for any alternative cultural process, consistent with</w:t>
      </w:r>
      <w:r>
        <w:t xml:space="preserve"> </w:t>
      </w:r>
      <w:r>
        <w:t xml:space="preserve">Section S1.8.2</w:t>
      </w:r>
      <w:r>
        <w:t xml:space="preserve">.</w:t>
      </w:r>
    </w:p>
    <w:p>
      <w:pPr>
        <w:pStyle w:val="BodyText"/>
      </w:pPr>
      <w:r>
        <w:rPr>
          <w:bCs/>
          <w:b/>
        </w:rPr>
        <w:t xml:space="preserve">Implication for the main text.</w:t>
      </w:r>
      <w:r>
        <w:t xml:space="preserve"> </w:t>
      </w:r>
      <w:r>
        <w:t xml:space="preserve">No distance lag carries a geographic signal, and the global null reflects low power rather than proof of absence.</w:t>
      </w:r>
    </w:p>
    <w:bookmarkEnd w:id="70"/>
    <w:bookmarkEnd w:id="71"/>
    <w:bookmarkStart w:id="75" w:name="sec-s4-4"/>
    <w:p>
      <w:pPr>
        <w:pStyle w:val="Heading2"/>
      </w:pPr>
      <w:r>
        <w:t xml:space="preserve">S1.4.4 Distance-based redundancy analysis</w:t>
      </w:r>
    </w:p>
    <w:bookmarkStart w:id="73" w:name="rationale-1"/>
    <w:p>
      <w:pPr>
        <w:pStyle w:val="Heading3"/>
      </w:pPr>
      <w:r>
        <w:t xml:space="preserve">Rationale</w:t>
      </w:r>
    </w:p>
    <w:p>
      <w:pPr>
        <w:pStyle w:val="FirstParagraph"/>
      </w:pPr>
      <w:r>
        <w:t xml:space="preserve">All spatial tests above belong to the Mantel family: they correlate pairs of distance matrices, whose pairwise entries are non-independent by construction. Distance-based redundancy analysis</w:t>
      </w:r>
      <w:r>
        <w:t xml:space="preserve"> </w:t>
      </w:r>
      <w:r>
        <w:t xml:space="preserve">[dbRDA, 2]</w:t>
      </w:r>
      <w:r>
        <w:t xml:space="preserve"> </w:t>
      </w:r>
      <w:r>
        <w:t xml:space="preserve">instead fits an explanatory model of the site composition matrix on geographic predictors, with an R² and a permutation p-value, so a null here is convergent evidence from different machinery rather than a re-run of the same correlation. We model the site Jaccard dissimilarity matrix (same construction as the Mantel tests) on a linear geographic trend surface (longitude + latitude). The 2-df specification is identical in both phases so Aur-P2 (9 sites, 6 residual df) remains estimable.</w:t>
      </w:r>
    </w:p>
    <w:p>
      <w:pPr>
        <w:pStyle w:val="BodyText"/>
      </w:pPr>
      <w:r>
        <w:rPr>
          <w:bCs/>
          <w:b/>
        </w:rPr>
        <w:t xml:space="preserve">Question: does geography explain sign composition under a non-Mantel trend-surface model?</w:t>
      </w:r>
    </w:p>
    <w:tbl>
      <w:tblPr>
        <w:tblStyle w:val="Table"/>
        <w:tblW w:type="pct" w:w="5000"/>
        <w:tblLook w:firstRow="0" w:lastRow="0" w:firstColumn="0" w:lastColumn="0" w:noHBand="0" w:noVBand="0" w:val="0000"/>
        <w:jc w:val="start"/>
        <w:tblLayout w:type="fixed"/>
      </w:tblPr>
      <w:tblGrid>
        <w:gridCol w:w="7920"/>
      </w:tblGrid>
      <w:tr>
        <w:tc>
          <w:tcPr/>
          <w:bookmarkStart w:id="72" w:name="tbl-dbrda"/>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dbRDA R2</w:t>
                  </w:r>
                </w:p>
              </w:tc>
              <w:tc>
                <w:tcPr/>
                <w:p>
                  <w:pPr>
                    <w:pStyle w:val="Compact"/>
                    <w:jc w:val="right"/>
                    <w:jc w:val="center"/>
                  </w:pPr>
                  <w:r>
                    <w:t xml:space="preserve">dbRDA adjR2</w:t>
                  </w:r>
                </w:p>
              </w:tc>
              <w:tc>
                <w:tcPr/>
                <w:p>
                  <w:pPr>
                    <w:pStyle w:val="Compact"/>
                    <w:jc w:val="right"/>
                    <w:jc w:val="center"/>
                  </w:pPr>
                  <w:r>
                    <w:t xml:space="preserve">dbRDA F</w:t>
                  </w:r>
                </w:p>
              </w:tc>
              <w:tc>
                <w:tcPr/>
                <w:p>
                  <w:pPr>
                    <w:pStyle w:val="Compact"/>
                    <w:jc w:val="right"/>
                    <w:jc w:val="center"/>
                  </w:pPr>
                  <w:r>
                    <w:t xml:space="preserve">dbRDA p</w:t>
                  </w:r>
                </w:p>
              </w:tc>
            </w:tr>
            <w:tr>
              <w:tc>
                <w:tcPr/>
                <w:p>
                  <w:pPr>
                    <w:pStyle w:val="Compact"/>
                    <w:jc w:val="left"/>
                    <w:jc w:val="center"/>
                  </w:pPr>
                  <w:r>
                    <w:t xml:space="preserve">Aur-P1</w:t>
                  </w:r>
                </w:p>
              </w:tc>
              <w:tc>
                <w:tcPr/>
                <w:p>
                  <w:pPr>
                    <w:pStyle w:val="Compact"/>
                    <w:jc w:val="right"/>
                    <w:jc w:val="center"/>
                  </w:pPr>
                  <w:r>
                    <w:t xml:space="preserve">0.156</w:t>
                  </w:r>
                </w:p>
              </w:tc>
              <w:tc>
                <w:tcPr/>
                <w:p>
                  <w:pPr>
                    <w:pStyle w:val="Compact"/>
                    <w:jc w:val="right"/>
                    <w:jc w:val="center"/>
                  </w:pPr>
                  <w:r>
                    <w:t xml:space="preserve">0.057</w:t>
                  </w:r>
                </w:p>
              </w:tc>
              <w:tc>
                <w:tcPr/>
                <w:p>
                  <w:pPr>
                    <w:pStyle w:val="Compact"/>
                    <w:jc w:val="right"/>
                    <w:jc w:val="center"/>
                  </w:pPr>
                  <w:r>
                    <w:t xml:space="preserve">1.573</w:t>
                  </w:r>
                </w:p>
              </w:tc>
              <w:tc>
                <w:tcPr/>
                <w:p>
                  <w:pPr>
                    <w:pStyle w:val="Compact"/>
                    <w:jc w:val="right"/>
                    <w:jc w:val="center"/>
                  </w:pPr>
                  <w:r>
                    <w:t xml:space="preserve">0.038</w:t>
                  </w:r>
                </w:p>
              </w:tc>
            </w:tr>
            <w:tr>
              <w:tc>
                <w:tcPr/>
                <w:p>
                  <w:pPr>
                    <w:pStyle w:val="Compact"/>
                    <w:jc w:val="left"/>
                    <w:jc w:val="center"/>
                  </w:pPr>
                  <w:r>
                    <w:t xml:space="preserve">Aur-P2</w:t>
                  </w:r>
                </w:p>
              </w:tc>
              <w:tc>
                <w:tcPr/>
                <w:p>
                  <w:pPr>
                    <w:pStyle w:val="Compact"/>
                    <w:jc w:val="right"/>
                    <w:jc w:val="center"/>
                  </w:pPr>
                  <w:r>
                    <w:t xml:space="preserve">0.191</w:t>
                  </w:r>
                </w:p>
              </w:tc>
              <w:tc>
                <w:tcPr/>
                <w:p>
                  <w:pPr>
                    <w:pStyle w:val="Compact"/>
                    <w:jc w:val="right"/>
                    <w:jc w:val="center"/>
                  </w:pPr>
                  <w:r>
                    <w:t xml:space="preserve">-0.078</w:t>
                  </w:r>
                </w:p>
              </w:tc>
              <w:tc>
                <w:tcPr/>
                <w:p>
                  <w:pPr>
                    <w:pStyle w:val="Compact"/>
                    <w:jc w:val="right"/>
                    <w:jc w:val="center"/>
                  </w:pPr>
                  <w:r>
                    <w:t xml:space="preserve">0.709</w:t>
                  </w:r>
                </w:p>
              </w:tc>
              <w:tc>
                <w:tcPr/>
                <w:p>
                  <w:pPr>
                    <w:pStyle w:val="Compact"/>
                    <w:jc w:val="right"/>
                    <w:jc w:val="center"/>
                  </w:pPr>
                  <w:r>
                    <w:t xml:space="preserve">0.850</w:t>
                  </w:r>
                </w:p>
              </w:tc>
            </w:tr>
          </w:tbl>
          <w:p>
            <w:pPr>
              <w:jc w:val="center"/>
            </w:pPr>
            <w:pPr>
              <w:jc w:val="start"/>
              <w:spacing w:before="200"/>
              <w:pStyle w:val="ImageCaption"/>
            </w:pPr>
            <w:r>
              <w:t xml:space="preserve">Table S 7: Distance-based redundancy analysis of site Jaccard dissimilarity on a linear geographic trend surface (longitude + latitude), per phase. R² is the raw constrained proportion, adjR² the Ezekiel-adjusted value, F and p from 999 permutations.</w:t>
            </w:r>
          </w:p>
          <w:bookmarkEnd w:id="72"/>
        </w:tc>
      </w:tr>
    </w:tbl>
    <w:bookmarkEnd w:id="73"/>
    <w:bookmarkStart w:id="74" w:name="interpretation-1"/>
    <w:p>
      <w:pPr>
        <w:pStyle w:val="Heading3"/>
      </w:pPr>
      <w:r>
        <w:t xml:space="preserve">Interpretation</w:t>
      </w:r>
    </w:p>
    <w:p>
      <w:pPr>
        <w:pStyle w:val="FirstParagraph"/>
      </w:pPr>
      <w:r>
        <w:rPr>
          <w:bCs/>
          <w:b/>
        </w:rPr>
        <w:t xml:space="preserve">Question: does geography explain sign composition under a non-Mantel trend-surface model?</w:t>
      </w:r>
      <w:r>
        <w:t xml:space="preserve"> </w:t>
      </w:r>
      <w:r>
        <w:t xml:space="preserve">Only faintly, and only in Aur-P1. The linear trend is nominally significant in Aur-P1 (R² = 0.156, adjusted R² = 0.057, p = 0.038) but explains about six percent of the adjusted variation: a weak gradient the global Mantel correlation misses, not discrete geographic groups. In Aur-P2 there is no signal (R² = 0.191, adjusted R² = -0.078, p = 0.85). Note the Aur-P2 raw R² exceeds Aur-P1’s while its adjusted R² is negative: with 9 sites and 2 predictors the raw value is overfit, which is why the adjusted figure governs the reading. Both phases remain low-power, so as with the Mantel results these are convergent nulls reflecting limited samples, not evidence that geography is irrelevant.</w:t>
      </w:r>
    </w:p>
    <w:p>
      <w:pPr>
        <w:pStyle w:val="BodyText"/>
      </w:pPr>
      <w:r>
        <w:rPr>
          <w:bCs/>
          <w:b/>
        </w:rPr>
        <w:t xml:space="preserve">Implication for the main text.</w:t>
      </w:r>
      <w:r>
        <w:t xml:space="preserve"> </w:t>
      </w:r>
      <w:r>
        <w:t xml:space="preserve">Geography adds no discrete regional explanation; the weak Aur-P1 gradient does not alter the non-significant Mantel reading.</w:t>
      </w:r>
    </w:p>
    <w:bookmarkEnd w:id="74"/>
    <w:bookmarkEnd w:id="75"/>
    <w:bookmarkEnd w:id="76"/>
    <w:bookmarkStart w:id="99" w:name="sec-s5"/>
    <w:p>
      <w:pPr>
        <w:pStyle w:val="Heading1"/>
      </w:pPr>
      <w:r>
        <w:t xml:space="preserve">S1.5 Periodisation Scheme Sensitivity</w:t>
      </w:r>
    </w:p>
    <w:bookmarkStart w:id="77" w:name="sec-s5-1"/>
    <w:p>
      <w:pPr>
        <w:pStyle w:val="Heading2"/>
      </w:pPr>
      <w:r>
        <w:t xml:space="preserve">S1.5.1 Rationale</w:t>
      </w:r>
    </w:p>
    <w:p>
      <w:pPr>
        <w:pStyle w:val="FirstParagraph"/>
      </w:pPr>
      <w:r>
        <w:t xml:space="preserve">The main analysis adopts the two-phase Aur-P1/Aur-P2 framework of</w:t>
      </w:r>
      <w:r>
        <w:t xml:space="preserve"> </w:t>
      </w:r>
      <w:r>
        <w:t xml:space="preserve">[3]</w:t>
      </w:r>
      <w:r>
        <w:t xml:space="preserve">, which merges the Proto- and Early Aurignacian into a single early phase (Aur-P1, 43–37 ka BP) and treats the Evolved/Late Aurignacian as a single late phase (Aur-P2, 37–32 ka BP), with site membership assigned on technological grounds (</w:t>
      </w:r>
      <w:r>
        <w:t xml:space="preserve">Section S1.5.5</w:t>
      </w:r>
      <w:r>
        <w:t xml:space="preserve">). Because this scheme is coarser than the classic three-phase periodisation of Western European archaeology, this section tests whether the two-phase results are robust to how the sequence is subdivided. Four checks follow: decomposition into technology-assigned components and a four-phase split (</w:t>
      </w:r>
      <w:r>
        <w:t xml:space="preserve">Section S1.5.2</w:t>
      </w:r>
      <w:r>
        <w:t xml:space="preserve">), date-variant calibration (</w:t>
      </w:r>
      <w:r>
        <w:t xml:space="preserve">Section S1.5.3</w:t>
      </w:r>
      <w:r>
        <w:t xml:space="preserve">), phase-boundary shifts (</w:t>
      </w:r>
      <w:r>
        <w:t xml:space="preserve">Section S1.5.4</w:t>
      </w:r>
      <w:r>
        <w:t xml:space="preserve">), and technological versus date-based assignment (</w:t>
      </w:r>
      <w:r>
        <w:t xml:space="preserve">Section S1.5.5</w:t>
      </w:r>
      <w:r>
        <w:t xml:space="preserve">). All schemes are evaluated at the main-text threshold of 0.2 using Jaccard similarity.</w:t>
      </w:r>
    </w:p>
    <w:bookmarkEnd w:id="77"/>
    <w:bookmarkStart w:id="83" w:name="sec-s5-2"/>
    <w:p>
      <w:pPr>
        <w:pStyle w:val="Heading2"/>
      </w:pPr>
      <w:r>
        <w:t xml:space="preserve">S1.5.2 Two-, three- and four-phase decomposition</w:t>
      </w:r>
    </w:p>
    <w:bookmarkStart w:id="80" w:name="rationale-2"/>
    <w:p>
      <w:pPr>
        <w:pStyle w:val="Heading3"/>
      </w:pPr>
      <w:r>
        <w:t xml:space="preserve">Rationale</w:t>
      </w:r>
    </w:p>
    <w:p>
      <w:pPr>
        <w:pStyle w:val="FirstParagraph"/>
      </w:pPr>
      <w:r>
        <w:t xml:space="preserve">We decompose the two-phase baseline into its technology-assigned components, the relict Proto-Aurignacian, the Early Aurignacian, and the Evolved Aurignacian (Aur-P2), and additionally split the Evolved Aurignacian into Evolved and Late sub-phases following the four-phase taxonomy of</w:t>
      </w:r>
      <w:r>
        <w:t xml:space="preserve"> </w:t>
      </w:r>
      <w:r>
        <w:t xml:space="preserve">[4]</w:t>
      </w:r>
      <w:r>
        <w:t xml:space="preserve">, with the Evolved–Late boundary at 35 ka BP calibrated. It answers three specific questions:</w:t>
      </w:r>
    </w:p>
    <w:p>
      <w:pPr>
        <w:pStyle w:val="BodyText"/>
      </w:pPr>
      <w:r>
        <w:rPr>
          <w:bCs/>
          <w:b/>
        </w:rPr>
        <w:t xml:space="preserve">Question: which technology-assigned component carries the Aur-P1 connectivity advantage?</w:t>
      </w:r>
    </w:p>
    <w:p>
      <w:pPr>
        <w:pStyle w:val="BodyText"/>
      </w:pPr>
      <w:r>
        <w:rPr>
          <w:bCs/>
          <w:b/>
        </w:rPr>
        <w:t xml:space="preserve">Question: does the early versus late contrast persist without merging Proto and Early?</w:t>
      </w:r>
    </w:p>
    <w:p>
      <w:pPr>
        <w:pStyle w:val="BodyText"/>
      </w:pPr>
      <w:r>
        <w:rPr>
          <w:bCs/>
          <w:b/>
        </w:rPr>
        <w:t xml:space="preserve">Question: does splitting Aur-P2 into Evolved and Late sub-phases reveal internal differentiation or only data limitation?</w:t>
      </w:r>
    </w:p>
    <w:tbl>
      <w:tblPr>
        <w:tblStyle w:val="Table"/>
        <w:tblW w:type="pct" w:w="5000"/>
        <w:tblLook w:firstRow="0" w:lastRow="0" w:firstColumn="0" w:lastColumn="0" w:noHBand="0" w:noVBand="0" w:val="0000"/>
        <w:jc w:val="start"/>
        <w:tblLayout w:type="fixed"/>
      </w:tblPr>
      <w:tblGrid>
        <w:gridCol w:w="7920"/>
      </w:tblGrid>
      <w:tr>
        <w:tc>
          <w:tcPr/>
          <w:bookmarkStart w:id="78"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8: Reference: network statistics under the two-phase periodisation used in the main text (threshold = 0.2). Aur-P1 = Proto + Early; Aur-P2 = Evolved.</w:t>
            </w:r>
          </w:p>
          <w:bookmarkEnd w:id="7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79"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S 9: Network statistics for the technology-assigned components of the two-phase baseline (Proto-Aurignacian, Early Aurignacian, Evolved Aurignacian) at threshold = 0.2. Aur-P1 = Proto + Early; Aur-P2 = Evolved.</w:t>
            </w:r>
          </w:p>
          <w:bookmarkEnd w:id="79"/>
        </w:tc>
      </w:tr>
    </w:tbl>
    <w:bookmarkEnd w:id="80"/>
    <w:bookmarkStart w:id="82" w:name="sec-s5-2-interpretation"/>
    <w:p>
      <w:pPr>
        <w:pStyle w:val="Heading3"/>
      </w:pPr>
      <w:r>
        <w:t xml:space="preserve">S1.5.2.1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Question: which technology-assigned component carries the Aur-P1 connectivity advantage?</w:t>
      </w:r>
      <w:r>
        <w:t xml:space="preserve"> </w:t>
      </w:r>
      <w:r>
        <w:t xml:space="preserve">The Early component. 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w:t>
      </w:r>
      <w:r>
        <w:t xml:space="preserve">Section S1.5.5</w:t>
      </w:r>
      <w:r>
        <w:t xml:space="preserve">)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Question: does the early versus late contrast persist without merging Proto and Early?</w:t>
      </w:r>
      <w:r>
        <w:t xml:space="preserve"> </w:t>
      </w:r>
      <w:r>
        <w:t xml:space="preserve">Yes. 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Question: does splitting Aur-P2 into Evolved and Late sub-phases reveal internal differentiation or only data limitation?</w:t>
      </w:r>
      <w:r>
        <w:t xml:space="preserve"> </w:t>
      </w:r>
      <w:r>
        <w:t xml:space="preserve">Only data limitation can be shown; the split is addressed with</w:t>
      </w:r>
      <w:r>
        <w:t xml:space="preserve"> </w:t>
      </w:r>
      <w:hyperlink w:anchor="tbl-four-phase-periodisation">
        <w:r>
          <w:rPr>
            <w:rStyle w:val="Hyperlink"/>
          </w:rPr>
          <w:t xml:space="preserve">Table S 10</w:t>
        </w:r>
      </w:hyperlink>
      <w:r>
        <w:t xml:space="preserve"> </w:t>
      </w:r>
      <w:r>
        <w:t xml:space="preserve">below.</w:t>
      </w:r>
      <w:r>
        <w:t xml:space="preserve"> </w:t>
      </w: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w:t>
      </w:r>
      <w:r>
        <w:t xml:space="preserve">Section S1.5.1</w:t>
      </w:r>
      <w:r>
        <w:t xml:space="preserve">),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81"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7</w:t>
                  </w:r>
                </w:p>
              </w:tc>
              <w:tc>
                <w:tcPr/>
                <w:p>
                  <w:pPr>
                    <w:pStyle w:val="Compact"/>
                    <w:jc w:val="right"/>
                    <w:jc w:val="center"/>
                  </w:pPr>
                  <w:r>
                    <w:t xml:space="preserve">13</w:t>
                  </w:r>
                </w:p>
              </w:tc>
              <w:tc>
                <w:tcPr/>
                <w:p>
                  <w:pPr>
                    <w:pStyle w:val="Compact"/>
                    <w:jc w:val="right"/>
                    <w:jc w:val="center"/>
                  </w:pPr>
                  <w:r>
                    <w:t xml:space="preserve">0.619</w:t>
                  </w:r>
                </w:p>
              </w:tc>
              <w:tc>
                <w:tcPr/>
                <w:p>
                  <w:pPr>
                    <w:pStyle w:val="Compact"/>
                    <w:jc w:val="right"/>
                    <w:jc w:val="center"/>
                  </w:pPr>
                  <w:r>
                    <w:t xml:space="preserve">3.71</w:t>
                  </w:r>
                </w:p>
              </w:tc>
              <w:tc>
                <w:tcPr/>
                <w:p>
                  <w:pPr>
                    <w:pStyle w:val="Compact"/>
                    <w:jc w:val="right"/>
                    <w:jc w:val="center"/>
                  </w:pPr>
                  <w:r>
                    <w:t xml:space="preserve">0.659</w:t>
                  </w:r>
                </w:p>
              </w:tc>
              <w:tc>
                <w:tcPr/>
                <w:p>
                  <w:pPr>
                    <w:pStyle w:val="Compact"/>
                    <w:jc w:val="right"/>
                    <w:jc w:val="center"/>
                  </w:pPr>
                  <w:r>
                    <w:t xml:space="preserve">0.128</w:t>
                  </w:r>
                </w:p>
              </w:tc>
            </w:tr>
            <w:tr>
              <w:tc>
                <w:tcPr/>
                <w:p>
                  <w:pPr>
                    <w:pStyle w:val="Compact"/>
                    <w:jc w:val="left"/>
                    <w:jc w:val="center"/>
                  </w:pPr>
                  <w:r>
                    <w:t xml:space="preserve">Late Aurignacian (35-32 ka BP)</w:t>
                  </w:r>
                </w:p>
              </w:tc>
              <w:tc>
                <w:tcPr/>
                <w:p>
                  <w:pPr>
                    <w:pStyle w:val="Compact"/>
                    <w:jc w:val="right"/>
                    <w:jc w:val="center"/>
                  </w:pPr>
                  <w:r>
                    <w:t xml:space="preserve">2</w:t>
                  </w:r>
                </w:p>
              </w:tc>
              <w:tc>
                <w:tcPr/>
                <w:p>
                  <w:pPr>
                    <w:pStyle w:val="Compact"/>
                    <w:jc w:val="right"/>
                    <w:jc w:val="center"/>
                  </w:pPr>
                  <w:r>
                    <w:t xml:space="preserve">0</w:t>
                  </w:r>
                </w:p>
              </w:tc>
              <w:tc>
                <w:tcPr/>
                <w:p>
                  <w:pPr>
                    <w:pStyle w:val="Compact"/>
                    <w:jc w:val="right"/>
                    <w:jc w:val="center"/>
                  </w:pPr>
                  <w:r>
                    <w:t xml:space="preserve">0.000</w:t>
                  </w:r>
                </w:p>
              </w:tc>
              <w:tc>
                <w:tcPr/>
                <w:p>
                  <w:pPr>
                    <w:pStyle w:val="Compact"/>
                    <w:jc w:val="right"/>
                    <w:jc w:val="center"/>
                  </w:pPr>
                  <w:r>
                    <w:t xml:space="preserve">0.00</w:t>
                  </w:r>
                </w:p>
              </w:tc>
              <w:tc>
                <w:tcPr/>
                <w:p>
                  <w:pPr>
                    <w:pStyle w:val="Compact"/>
                    <w:jc w:val="right"/>
                    <w:jc w:val="center"/>
                  </w:pPr>
                  <w:r>
                    <w:t xml:space="preserve">NaN</w:t>
                  </w:r>
                </w:p>
              </w:tc>
              <w:tc>
                <w:tcPr/>
                <w:p>
                  <w:pPr>
                    <w:pStyle w:val="Compact"/>
                    <w:jc w:val="right"/>
                    <w:jc w:val="center"/>
                  </w:pPr>
                  <w:r>
                    <w:t xml:space="preserve">NaN</w:t>
                  </w:r>
                </w:p>
              </w:tc>
            </w:tr>
          </w:tbl>
          <w:p>
            <w:pPr>
              <w:jc w:val="center"/>
            </w:pPr>
            <w:pPr>
              <w:jc w:val="start"/>
              <w:spacing w:before="200"/>
              <w:pStyle w:val="ImageCaption"/>
            </w:pPr>
            <w:r>
              <w:t xml:space="preserve">Table S 10: Network statistics under the four-phase periodisation (Proto, Early, Evolved, Late Aurignacian) at threshold = 0.2. The Evolved/Late split of Aur-P2 follows the four-phase Aurignacian taxonomy of</w:t>
            </w:r>
            <w:r>
              <w:t xml:space="preserve"> </w:t>
            </w:r>
            <w:r>
              <w:t xml:space="preserve">[4]</w:t>
            </w:r>
            <w:r>
              <w:t xml:space="preserve">, with the boundary at 35 ka BP calibrated.</w:t>
            </w:r>
          </w:p>
          <w:bookmarkEnd w:id="81"/>
        </w:tc>
      </w:tr>
    </w:tbl>
    <w:p>
      <w:pPr>
        <w:pStyle w:val="BodyText"/>
      </w:pPr>
      <w:r>
        <w:rPr>
          <w:bCs/>
          <w:b/>
        </w:rPr>
        <w:t xml:space="preserve">Question: does splitting Aur-P2 into Evolved and Late sub-phases reveal internal differentiation or only data limitation? (four-phase detail).</w:t>
      </w:r>
      <w:r>
        <w:t xml:space="preserve"> </w:t>
      </w:r>
      <w:r>
        <w:t xml:space="preserve">The four-phase Aurignacian taxonomy of</w:t>
      </w:r>
      <w:r>
        <w:t xml:space="preserve"> </w:t>
      </w:r>
      <w:r>
        <w:t xml:space="preserve">[4]</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13 edges and a mean degree of 3.71 across 7 sites, while the Late Aurignacian (35–32 ka BP) is severely data-limited: with only 2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p>
      <w:pPr>
        <w:pStyle w:val="BodyText"/>
      </w:pPr>
      <w:r>
        <w:rPr>
          <w:bCs/>
          <w:b/>
        </w:rPr>
        <w:t xml:space="preserve">Implication for the main text.</w:t>
      </w:r>
      <w:r>
        <w:t xml:space="preserve"> </w:t>
      </w:r>
      <w:r>
        <w:t xml:space="preserve">The two-phase Aur-P1 greater than Aur-P2 ordering is carried by the Early component and does not depend on where the Proto/Early line is drawn; finer splits add no stable new structure.</w:t>
      </w:r>
    </w:p>
    <w:bookmarkEnd w:id="82"/>
    <w:bookmarkEnd w:id="83"/>
    <w:bookmarkStart w:id="87" w:name="sec-s5-3"/>
    <w:p>
      <w:pPr>
        <w:pStyle w:val="Heading2"/>
      </w:pPr>
      <w:r>
        <w:t xml:space="preserve">S1.5.3 Date-variant calibration</w:t>
      </w:r>
    </w:p>
    <w:bookmarkStart w:id="85" w:name="rationale-3"/>
    <w:p>
      <w:pPr>
        <w:pStyle w:val="Heading3"/>
      </w:pPr>
      <w:r>
        <w:t xml:space="preserve">Rationale</w:t>
      </w:r>
    </w:p>
    <w:p>
      <w:pPr>
        <w:pStyle w:val="FirstParagraph"/>
      </w:pPr>
      <w:r>
        <w:t xml:space="preserve">The date parser handles both ends of calibrated ranges and routes OSL ages around calibration with IntCal20 explicitly. The main analysis uses the older end to preserve the report-based Aur-P1 20 and Aur-P2 9 partition that matches frozen</w:t>
      </w:r>
      <w:r>
        <w:t xml:space="preserve"> </w:t>
      </w:r>
      <w:r>
        <w:rPr>
          <w:rStyle w:val="VerbatimChar"/>
        </w:rPr>
        <w:t xml:space="preserve">manual_groups</w:t>
      </w:r>
      <w:r>
        <w:t xml:space="preserve">. Here we re-run phase assignment with older, midpoint, and younger variants to test sensitivity to which calibrated median is used.</w:t>
      </w:r>
    </w:p>
    <w:p>
      <w:pPr>
        <w:pStyle w:val="BodyText"/>
      </w:pPr>
      <w:r>
        <w:rPr>
          <w:bCs/>
          <w:b/>
        </w:rPr>
        <w:t xml:space="preserve">Question: how many sites change phase across older, midpoint, and younger date variants, and in which direction?</w:t>
      </w:r>
    </w:p>
    <w:tbl>
      <w:tblPr>
        <w:tblStyle w:val="Table"/>
        <w:tblW w:type="pct" w:w="5000"/>
        <w:tblLook w:firstRow="0" w:lastRow="0" w:firstColumn="0" w:lastColumn="0" w:noHBand="0" w:noVBand="0" w:val="0000"/>
        <w:jc w:val="start"/>
        <w:tblLayout w:type="fixed"/>
      </w:tblPr>
      <w:tblGrid>
        <w:gridCol w:w="7920"/>
      </w:tblGrid>
      <w:tr>
        <w:tc>
          <w:tcPr/>
          <w:bookmarkStart w:id="84" w:name="tbl-date-variant-comparison"/>
          <w:tbl>
            <w:tblPr>
              <w:tblStyle w:val="Table"/>
              <w:tblW w:type="pct" w:w="5000"/>
              <w:tblLook w:firstRow="1" w:lastRow="0" w:firstColumn="0" w:lastColumn="0" w:noHBand="0" w:noVBand="0" w:val="0020"/>
              <w:jc w:val="start"/>
              <w:tblLayout w:type="fixed"/>
            </w:tblPr>
            <w:tblGrid>
              <w:gridCol w:w="332"/>
              <w:gridCol w:w="1131"/>
              <w:gridCol w:w="998"/>
              <w:gridCol w:w="1331"/>
              <w:gridCol w:w="1131"/>
              <w:gridCol w:w="1331"/>
              <w:gridCol w:w="1064"/>
              <w:gridCol w:w="598"/>
            </w:tblGrid>
            <w:tr>
              <w:trPr>
                <w:tblHeader w:val="true"/>
              </w:trPr>
              <w:tc>
                <w:tcPr/>
                <w:p>
                  <w:pPr>
                    <w:pStyle w:val="Compact"/>
                    <w:jc w:val="left"/>
                    <w:jc w:val="center"/>
                  </w:pPr>
                  <w:r>
                    <w:t xml:space="preserve">Site</w:t>
                  </w:r>
                </w:p>
              </w:tc>
              <w:tc>
                <w:tcPr/>
                <w:p>
                  <w:pPr>
                    <w:pStyle w:val="Compact"/>
                    <w:jc w:val="right"/>
                    <w:jc w:val="center"/>
                  </w:pPr>
                  <w:r>
                    <w:t xml:space="preserve">MedianBP (older)</w:t>
                  </w:r>
                </w:p>
              </w:tc>
              <w:tc>
                <w:tcPr/>
                <w:p>
                  <w:pPr>
                    <w:pStyle w:val="Compact"/>
                    <w:jc w:val="center"/>
                    <w:jc w:val="center"/>
                  </w:pPr>
                  <w:r>
                    <w:t xml:space="preserve">Phase (older)</w:t>
                  </w:r>
                </w:p>
              </w:tc>
              <w:tc>
                <w:tcPr/>
                <w:p>
                  <w:pPr>
                    <w:pStyle w:val="Compact"/>
                    <w:jc w:val="left"/>
                    <w:jc w:val="center"/>
                  </w:pPr>
                  <w:r>
                    <w:t xml:space="preserve">MedianBP (midpoint)</w:t>
                  </w:r>
                </w:p>
              </w:tc>
              <w:tc>
                <w:tcPr/>
                <w:p>
                  <w:pPr>
                    <w:pStyle w:val="Compact"/>
                    <w:jc w:val="right"/>
                    <w:jc w:val="center"/>
                  </w:pPr>
                  <w:r>
                    <w:t xml:space="preserve">Phase (midpoint)</w:t>
                  </w:r>
                </w:p>
              </w:tc>
              <w:tc>
                <w:tcPr/>
                <w:p>
                  <w:pPr>
                    <w:pStyle w:val="Compact"/>
                    <w:jc w:val="center"/>
                    <w:jc w:val="center"/>
                  </w:pPr>
                  <w:r>
                    <w:t xml:space="preserve">MedianBP (younger)</w:t>
                  </w:r>
                </w:p>
              </w:tc>
              <w:tc>
                <w:tcPr/>
                <w:p>
                  <w:pPr>
                    <w:pStyle w:val="Compact"/>
                    <w:jc w:val="left"/>
                    <w:jc w:val="center"/>
                  </w:pPr>
                  <w:r>
                    <w:t xml:space="preserve">Phase (younger)</w:t>
                  </w:r>
                </w:p>
              </w:tc>
              <w:tc>
                <w:tcPr/>
                <w:p>
                  <w:pPr>
                    <w:pStyle w:val="Compact"/>
                    <w:jc w:val="center"/>
                    <w:jc w:val="center"/>
                  </w:pPr>
                  <w:r>
                    <w:t xml:space="preserve">Changes</w:t>
                  </w:r>
                </w:p>
              </w:tc>
            </w:tr>
          </w:tbl>
          <w:p>
            <w:pPr>
              <w:jc w:val="center"/>
            </w:pPr>
            <w:pPr>
              <w:jc w:val="start"/>
              <w:spacing w:before="200"/>
              <w:pStyle w:val="ImageCaption"/>
            </w:pPr>
            <w:r>
              <w:t xml:space="preserve">Table S 11: Site phase assignments under three date variants. The oldest variant is used in the main analysis. Sites with</w:t>
            </w:r>
            <w:r>
              <w:t xml:space="preserve"> </w:t>
            </w:r>
            <w:r>
              <w:t xml:space="preserve">‘</w:t>
            </w:r>
            <w:r>
              <w:t xml:space="preserve">Yes</w:t>
            </w:r>
            <w:r>
              <w:t xml:space="preserve">’</w:t>
            </w:r>
            <w:r>
              <w:t xml:space="preserve"> </w:t>
            </w:r>
            <w:r>
              <w:t xml:space="preserve">in the Changes column have different phase assignments across variants.</w:t>
            </w:r>
          </w:p>
          <w:bookmarkEnd w:id="84"/>
        </w:tc>
      </w:tr>
    </w:tbl>
    <w:bookmarkEnd w:id="85"/>
    <w:bookmarkStart w:id="86" w:name="interpretation-2"/>
    <w:p>
      <w:pPr>
        <w:pStyle w:val="Heading3"/>
      </w:pPr>
      <w:r>
        <w:t xml:space="preserve">Interpretation</w:t>
      </w:r>
    </w:p>
    <w:p>
      <w:pPr>
        <w:pStyle w:val="FirstParagraph"/>
      </w:pPr>
      <w:r>
        <w:rPr>
          <w:bCs/>
          <w:b/>
        </w:rPr>
        <w:t xml:space="preserve">Question: how many sites change phase across older, midpoint, and younger date variants, and in which direction?</w:t>
      </w:r>
      <w:r>
        <w:t xml:space="preserve"> </w:t>
      </w:r>
      <w:r>
        <w:t xml:space="preserve">The three date variants produce different phase assignments for several sites (</w:t>
      </w:r>
      <w:hyperlink w:anchor="tbl-date-variant-comparison">
        <w:r>
          <w:rPr>
            <w:rStyle w:val="Hyperlink"/>
          </w:rPr>
          <w:t xml:space="preserve">Table S 11</w:t>
        </w:r>
      </w:hyperlink>
      <w:r>
        <w:t xml:space="preserve">). Using the older end of each date range (the method used in the main analysis to preserve the report-based Aur-P1 20 / Aur-P2 9 partition matching frozen</w:t>
      </w:r>
      <w:r>
        <w:t xml:space="preserve"> </w:t>
      </w:r>
      <w:r>
        <w:rPr>
          <w:rStyle w:val="VerbatimChar"/>
        </w:rPr>
        <w:t xml:space="preserve">manual_groups</w:t>
      </w:r>
      <w:r>
        <w:t xml:space="preserve">) assigns more sites to Aur-P1, while the younger end assigns more to Aur-P2; the midpoint variant gives intermediate assignments. Key sites that change phase include Mladeč (older: Aur-P1, midpoint/younger: Aur-P2), Cellier, Solutré, Grotte de la Verpillière I, Trou al’Wesse, and Grottes de Fonds-de-Forêt (older: Aur-P1, midpoint/younger: Aur-P2). This confirms that single-end calibration systematically biases sites toward the older phase.</w:t>
      </w:r>
    </w:p>
    <w:p>
      <w:pPr>
        <w:pStyle w:val="BodyText"/>
      </w:pPr>
      <w:r>
        <w:rPr>
          <w:bCs/>
          <w:b/>
        </w:rPr>
        <w:t xml:space="preserve">Implication for the main text.</w:t>
      </w:r>
      <w:r>
        <w:t xml:space="preserve"> </w:t>
      </w:r>
      <w:r>
        <w:t xml:space="preserve">Phase assignment for boundary-proximal sites depends on the chosen date end, which is why the main text fixes technology-based overrides and tests boundary shifts separately in</w:t>
      </w:r>
      <w:r>
        <w:t xml:space="preserve"> </w:t>
      </w:r>
      <w:r>
        <w:t xml:space="preserve">Section S1.5.4</w:t>
      </w:r>
      <w:r>
        <w:t xml:space="preserve">.</w:t>
      </w:r>
    </w:p>
    <w:bookmarkEnd w:id="86"/>
    <w:bookmarkEnd w:id="87"/>
    <w:bookmarkStart w:id="92" w:name="sec-s5-4"/>
    <w:p>
      <w:pPr>
        <w:pStyle w:val="Heading2"/>
      </w:pPr>
      <w:r>
        <w:t xml:space="preserve">S1.5.4 Phase-boundary sensitivity</w:t>
      </w:r>
    </w:p>
    <w:bookmarkStart w:id="90" w:name="rationale-4"/>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 It answers two specific questions:</w:t>
      </w:r>
    </w:p>
    <w:p>
      <w:pPr>
        <w:pStyle w:val="BodyText"/>
      </w:pPr>
      <w:r>
        <w:rPr>
          <w:bCs/>
          <w:b/>
        </w:rPr>
        <w:t xml:space="preserve">Question: which sites and objects lie close enough to the boundary to change phase when it shifts?</w:t>
      </w:r>
    </w:p>
    <w:p>
      <w:pPr>
        <w:pStyle w:val="BodyText"/>
      </w:pPr>
      <w:r>
        <w:rPr>
          <w:bCs/>
          <w:b/>
        </w:rPr>
        <w:t xml:space="preserve">Question: does the Aur-P1 greater than Aur-P2 connectivity ordering survive shifts of plus or minus 500 and 1000 years?</w:t>
      </w:r>
    </w:p>
    <w:tbl>
      <w:tblPr>
        <w:tblStyle w:val="Table"/>
        <w:tblW w:type="pct" w:w="5000"/>
        <w:tblLook w:firstRow="0" w:lastRow="0" w:firstColumn="0" w:lastColumn="0" w:noHBand="0" w:noVBand="0" w:val="0000"/>
        <w:jc w:val="start"/>
        <w:tblLayout w:type="fixed"/>
      </w:tblPr>
      <w:tblGrid>
        <w:gridCol w:w="7920"/>
      </w:tblGrid>
      <w:tr>
        <w:tc>
          <w:tcPr/>
          <w:bookmarkStart w:id="88"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85</w:t>
                  </w:r>
                </w:p>
              </w:tc>
              <w:tc>
                <w:tcPr/>
                <w:p>
                  <w:pPr>
                    <w:pStyle w:val="Compact"/>
                    <w:jc w:val="right"/>
                    <w:jc w:val="center"/>
                  </w:pPr>
                  <w:r>
                    <w:t xml:space="preserve">7</w:t>
                  </w:r>
                </w:p>
              </w:tc>
            </w:tr>
          </w:tbl>
          <w:p>
            <w:pPr>
              <w:jc w:val="center"/>
            </w:pPr>
            <w:pPr>
              <w:jc w:val="start"/>
              <w:spacing w:before="200"/>
              <w:pStyle w:val="ImageCaption"/>
            </w:pPr>
            <w:r>
              <w:t xml:space="preserve">Table S 12: Number of objects and sites within ±500 and ±1000 calibrated years of the single periodisation boundary at 37799 BP separating Aur-P1 from Aur-P2.</w:t>
            </w:r>
          </w:p>
          <w:bookmarkEnd w:id="8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9"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S 13: Network statistics at the baseline threshold of 0.2 under shifts of the single Aur-P1/Aur-P2 boundary. Positive shifts move the boundary later (older objects reassigned to Aur-P2); negative shifts move it earlier (younger Aur-P2 objects reassigned to Aur-P1).</w:t>
            </w:r>
          </w:p>
          <w:bookmarkEnd w:id="89"/>
        </w:tc>
      </w:tr>
    </w:tbl>
    <w:bookmarkEnd w:id="90"/>
    <w:bookmarkStart w:id="91" w:name="interpretation-3"/>
    <w:p>
      <w:pPr>
        <w:pStyle w:val="Heading3"/>
      </w:pPr>
      <w:r>
        <w:t xml:space="preserve">Interpretation</w:t>
      </w:r>
    </w:p>
    <w:p>
      <w:pPr>
        <w:pStyle w:val="FirstParagraph"/>
      </w:pPr>
      <w:r>
        <w:rPr>
          <w:bCs/>
          <w:b/>
        </w:rPr>
        <w:t xml:space="preserve">Question: which sites and objects lie close enough to the boundary to change phase when it shifts?</w:t>
      </w:r>
      <w:r>
        <w:t xml:space="preserve"> </w:t>
      </w:r>
      <w:r>
        <w:t xml:space="preserve">85 objects from 7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p>
      <w:pPr>
        <w:pStyle w:val="BodyText"/>
      </w:pPr>
      <w:r>
        <w:rPr>
          <w:bCs/>
          <w:b/>
        </w:rPr>
        <w:t xml:space="preserve">Question: does the Aur-P1 greater than Aur-P2 connectivity ordering survive shifts of plus or minus 500 and 1000 years?</w:t>
      </w:r>
      <w:r>
        <w:t xml:space="preserve"> </w:t>
      </w:r>
      <w:r>
        <w:t xml:space="preserve">Yes. 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p>
      <w:pPr>
        <w:pStyle w:val="BodyText"/>
      </w:pPr>
      <w:r>
        <w:rPr>
          <w:bCs/>
          <w:b/>
        </w:rPr>
        <w:t xml:space="preserve">Implication for the main text.</w:t>
      </w:r>
      <w:r>
        <w:t xml:space="preserve"> </w:t>
      </w: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91"/>
    <w:bookmarkEnd w:id="92"/>
    <w:bookmarkStart w:id="98" w:name="sec-s5-5"/>
    <w:p>
      <w:pPr>
        <w:pStyle w:val="Heading2"/>
      </w:pPr>
      <w:r>
        <w:t xml:space="preserve">S1.5.5 Technological versus date-based assignment</w:t>
      </w:r>
    </w:p>
    <w:bookmarkStart w:id="93" w:name="rationale-5"/>
    <w:p>
      <w:pPr>
        <w:pStyle w:val="Heading3"/>
      </w:pPr>
      <w:r>
        <w:t xml:space="preserve">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2"/>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[5,6]</w:t>
      </w:r>
      <w:r>
        <w:t xml:space="preserve">. The site is classified as Aurignacian I (Early) in the Périgord sequence.</w:t>
      </w:r>
    </w:p>
    <w:p>
      <w:pPr>
        <w:numPr>
          <w:ilvl w:val="0"/>
          <w:numId w:val="1002"/>
        </w:numPr>
        <w:pStyle w:val="Compact"/>
      </w:pPr>
      <w:r>
        <w:rPr>
          <w:bCs/>
          <w:b/>
        </w:rPr>
        <w:t xml:space="preserve">La Ferrassie</w:t>
      </w:r>
      <w:r>
        <w:t xml:space="preserve">: The Aurignacian at La Ferrassie begins in Layer 7, directly overlying the Châtelperronian (Layer 6).</w:t>
      </w:r>
      <w:r>
        <w:t xml:space="preserve"> </w:t>
      </w:r>
      <w:r>
        <w:t xml:space="preserve">[7]</w:t>
      </w:r>
      <w:r>
        <w:t xml:space="preserve"> </w:t>
      </w:r>
      <w:r>
        <w:t xml:space="preserve">classify this as Early Aurignacian (Aur-P1) based on carinated scrapers and wide Aurignacian blades. No split-base bone points (Proto-Aurignacian diagnostic) were found</w:t>
      </w:r>
      <w:r>
        <w:t xml:space="preserve"> </w:t>
      </w:r>
      <w:r>
        <w:t xml:space="preserve">[7,8]</w:t>
      </w:r>
      <w:r>
        <w:t xml:space="preserve">. Layer 7b has mixed Early/Recent Aurignacian components.</w:t>
      </w:r>
    </w:p>
    <w:p>
      <w:pPr>
        <w:numPr>
          <w:ilvl w:val="0"/>
          <w:numId w:val="1002"/>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[9]</w:t>
      </w:r>
      <w:r>
        <w:t xml:space="preserve">. Direct dates of ~31 ka ¹⁴C BP (~35–36 cal BP) are too young for Proto-Aurignacian</w:t>
      </w:r>
      <w:r>
        <w:t xml:space="preserve"> </w:t>
      </w:r>
      <w:r>
        <w:t xml:space="preserve">[10]</w:t>
      </w:r>
      <w:r>
        <w:t xml:space="preserve">.</w:t>
      </w:r>
    </w:p>
    <w:p>
      <w:pPr>
        <w:numPr>
          <w:ilvl w:val="0"/>
          <w:numId w:val="1002"/>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[11]</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 It answers two specific questions:</w:t>
      </w:r>
    </w:p>
    <w:p>
      <w:pPr>
        <w:pStyle w:val="BodyText"/>
      </w:pPr>
      <w:r>
        <w:rPr>
          <w:bCs/>
          <w:b/>
        </w:rPr>
        <w:t xml:space="preserve">Question: does the Aur-P1 greater than Aur-P2 connectivity ordering survive under purely date-based assignment?</w:t>
      </w:r>
    </w:p>
    <w:p>
      <w:pPr>
        <w:pStyle w:val="BodyText"/>
      </w:pPr>
      <w:r>
        <w:rPr>
          <w:bCs/>
          <w:b/>
        </w:rPr>
        <w:t xml:space="preserve">Question: does the Aur-P1 greater than Aur-P2 connectivity ordering survive when Vogelherd is excluded entirely?</w:t>
      </w:r>
    </w:p>
    <w:bookmarkEnd w:id="93"/>
    <w:bookmarkStart w:id="96" w:name="analysis-1"/>
    <w:p>
      <w:pPr>
        <w:pStyle w:val="Heading3"/>
      </w:pPr>
      <w:r>
        <w:t xml:space="preserve">Analysis</w:t>
      </w:r>
    </w:p>
    <w:tbl>
      <w:tblPr>
        <w:tblStyle w:val="Table"/>
        <w:tblW w:type="pct" w:w="5000"/>
        <w:tblLook w:firstRow="0" w:lastRow="0" w:firstColumn="0" w:lastColumn="0" w:noHBand="0" w:noVBand="0" w:val="0000"/>
        <w:jc w:val="start"/>
        <w:tblLayout w:type="fixed"/>
      </w:tblPr>
      <w:tblGrid>
        <w:gridCol w:w="7920"/>
      </w:tblGrid>
      <w:tr>
        <w:tc>
          <w:tcPr/>
          <w:bookmarkStart w:id="94"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20</w:t>
                  </w:r>
                </w:p>
              </w:tc>
              <w:tc>
                <w:tcPr/>
                <w:p>
                  <w:pPr>
                    <w:pStyle w:val="Compact"/>
                    <w:jc w:val="center"/>
                    <w:jc w:val="center"/>
                  </w:pPr>
                  <w:r>
                    <w:t xml:space="preserve">80</w:t>
                  </w:r>
                </w:p>
              </w:tc>
              <w:tc>
                <w:tcPr/>
                <w:p>
                  <w:pPr>
                    <w:pStyle w:val="Compact"/>
                    <w:jc w:val="center"/>
                    <w:jc w:val="center"/>
                  </w:pPr>
                  <w:r>
                    <w:t xml:space="preserve">0.421</w:t>
                  </w:r>
                </w:p>
              </w:tc>
              <w:tc>
                <w:tcPr/>
                <w:p>
                  <w:pPr>
                    <w:pStyle w:val="Compact"/>
                    <w:jc w:val="center"/>
                    <w:jc w:val="center"/>
                  </w:pPr>
                  <w:r>
                    <w:t xml:space="preserve">8.00</w:t>
                  </w:r>
                </w:p>
              </w:tc>
              <w:tc>
                <w:tcPr/>
                <w:p>
                  <w:pPr>
                    <w:pStyle w:val="Compact"/>
                    <w:jc w:val="center"/>
                    <w:jc w:val="center"/>
                  </w:pPr>
                  <w:r>
                    <w:t xml:space="preserve">0.735</w:t>
                  </w:r>
                </w:p>
              </w:tc>
              <w:tc>
                <w:tcPr/>
                <w:p>
                  <w:pPr>
                    <w:pStyle w:val="Compact"/>
                    <w:jc w:val="center"/>
                    <w:jc w:val="center"/>
                  </w:pPr>
                  <w:r>
                    <w:t xml:space="preserve">0.290</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10</w:t>
                  </w:r>
                </w:p>
              </w:tc>
              <w:tc>
                <w:tcPr/>
                <w:p>
                  <w:pPr>
                    <w:pStyle w:val="Compact"/>
                    <w:jc w:val="center"/>
                    <w:jc w:val="center"/>
                  </w:pPr>
                  <w:r>
                    <w:t xml:space="preserve">18</w:t>
                  </w:r>
                </w:p>
              </w:tc>
              <w:tc>
                <w:tcPr/>
                <w:p>
                  <w:pPr>
                    <w:pStyle w:val="Compact"/>
                    <w:jc w:val="center"/>
                    <w:jc w:val="center"/>
                  </w:pPr>
                  <w:r>
                    <w:t xml:space="preserve">0.400</w:t>
                  </w:r>
                </w:p>
              </w:tc>
              <w:tc>
                <w:tcPr/>
                <w:p>
                  <w:pPr>
                    <w:pStyle w:val="Compact"/>
                    <w:jc w:val="center"/>
                    <w:jc w:val="center"/>
                  </w:pPr>
                  <w:r>
                    <w:t xml:space="preserve">3.60</w:t>
                  </w:r>
                </w:p>
              </w:tc>
              <w:tc>
                <w:tcPr/>
                <w:p>
                  <w:pPr>
                    <w:pStyle w:val="Compact"/>
                    <w:jc w:val="center"/>
                    <w:jc w:val="center"/>
                  </w:pPr>
                  <w:r>
                    <w:t xml:space="preserve">0.500</w:t>
                  </w:r>
                </w:p>
              </w:tc>
              <w:tc>
                <w:tcPr/>
                <w:p>
                  <w:pPr>
                    <w:pStyle w:val="Compact"/>
                    <w:jc w:val="center"/>
                    <w:jc w:val="center"/>
                  </w:pPr>
                  <w:r>
                    <w:t xml:space="preserve">0.332</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S 14: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94"/>
        </w:tc>
      </w:tr>
    </w:tbl>
    <w:p>
      <w:pPr>
        <w:pStyle w:val="BodyText"/>
      </w:pPr>
      <w:r>
        <w:rPr>
          <w:bCs/>
          <w:b/>
        </w:rPr>
        <w:t xml:space="preserve">Effects by condition.</w:t>
      </w:r>
    </w:p>
    <w:p>
      <w:pPr>
        <w:pStyle w:val="BodyText"/>
      </w:pPr>
      <w:r>
        <w:rPr>
          <w:bCs/>
          <w:b/>
        </w:rPr>
        <w:t xml:space="preserve">Date-based alternative (Analysis A).</w:t>
      </w:r>
      <w:r>
        <w:t xml:space="preserve"> </w:t>
      </w:r>
      <w:r>
        <w:t xml:space="preserve">Reverting to purely date-based criteria changes the membership of three sites. Mladeč moves from Aur-P2 to Aur-P1 because its calibrated median using the older-end of the date range (40,091 cal BP) falls in the Proto-Aurignacian range, which is folded into Aur-P1; the midpoint variant used in the main analysis gives 37,831 cal BP (Early Aurignacian, Aur-P1), and the younger-end gives 35,571 cal BP (Early Aurignacian, Aur-P1)</w:t>
      </w:r>
      <w:r>
        <w:t xml:space="preserve"> </w:t>
      </w:r>
      <w:r>
        <w:t xml:space="preserve">[10]</w:t>
      </w:r>
      <w:r>
        <w:t xml:space="preserv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20 sites and 80 edges (mean degree 8), while Aur-P2 , now missing Mladeč but containing 42 young-dated objects from Hohle Fels and Vogelherd , has 10 sites and 18 edges (mean degree 3.6).</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p>
      <w:pPr>
        <w:pStyle w:val="BodyText"/>
      </w:pPr>
      <w:r>
        <w:rPr>
          <w:bCs/>
          <w:b/>
        </w:rPr>
        <w:t xml:space="preserve">Phase-ordering robustness.</w:t>
      </w:r>
      <w:r>
        <w:t xml:space="preserve"> </w:t>
      </w: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95" w:name="tbl-ordering-by-condition"/>
          <w:tbl>
            <w:tblPr>
              <w:tblStyle w:val="Table"/>
              <w:tblW w:type="pct" w:w="5000"/>
              <w:tblLook w:firstRow="1" w:lastRow="0" w:firstColumn="0" w:lastColumn="0" w:noHBand="0" w:noVBand="0" w:val="0020"/>
              <w:jc w:val="start"/>
              <w:tblLayout w:type="fixed"/>
            </w:tblPr>
            <w:tblGrid>
              <w:gridCol w:w="2704"/>
              <w:gridCol w:w="1835"/>
              <w:gridCol w:w="1835"/>
              <w:gridCol w:w="1545"/>
            </w:tblGrid>
            <w:tr>
              <w:trPr>
                <w:tblHeader w:val="true"/>
              </w:trPr>
              <w:tc>
                <w:tcPr/>
                <w:p>
                  <w:pPr>
                    <w:pStyle w:val="Compact"/>
                    <w:jc w:val="left"/>
                    <w:jc w:val="center"/>
                  </w:pPr>
                  <w:r>
                    <w:t xml:space="preserve">Condition</w:t>
                  </w:r>
                </w:p>
              </w:tc>
              <w:tc>
                <w:tcPr/>
                <w:p>
                  <w:pPr>
                    <w:pStyle w:val="Compact"/>
                    <w:jc w:val="right"/>
                    <w:jc w:val="center"/>
                  </w:pPr>
                  <w:r>
                    <w:t xml:space="preserve">Aur-P1 mean degree</w:t>
                  </w:r>
                </w:p>
              </w:tc>
              <w:tc>
                <w:tcPr/>
                <w:p>
                  <w:pPr>
                    <w:pStyle w:val="Compact"/>
                    <w:jc w:val="right"/>
                    <w:jc w:val="center"/>
                  </w:pPr>
                  <w:r>
                    <w:t xml:space="preserve">Aur-P2 mean degree</w:t>
                  </w:r>
                </w:p>
              </w:tc>
              <w:tc>
                <w:tcPr/>
                <w:p>
                  <w:pPr>
                    <w:pStyle w:val="Compact"/>
                    <w:jc w:val="left"/>
                    <w:jc w:val="center"/>
                  </w:pPr>
                  <w:r>
                    <w:t xml:space="preserve">Ordering</w:t>
                  </w:r>
                </w:p>
              </w:tc>
            </w:tr>
            <w:tr>
              <w:tc>
                <w:tcPr/>
                <w:p>
                  <w:pPr>
                    <w:pStyle w:val="Compact"/>
                    <w:jc w:val="left"/>
                    <w:jc w:val="center"/>
                  </w:pPr>
                  <w:r>
                    <w:t xml:space="preserve">Baseline (technology-based)</w:t>
                  </w:r>
                </w:p>
              </w:tc>
              <w:tc>
                <w:tcPr/>
                <w:p>
                  <w:pPr>
                    <w:pStyle w:val="Compact"/>
                    <w:jc w:val="right"/>
                    <w:jc w:val="center"/>
                  </w:pPr>
                  <w:r>
                    <w:t xml:space="preserve">7.50</w:t>
                  </w:r>
                </w:p>
              </w:tc>
              <w:tc>
                <w:tcPr/>
                <w:p>
                  <w:pPr>
                    <w:pStyle w:val="Compact"/>
                    <w:jc w:val="right"/>
                    <w:jc w:val="center"/>
                  </w:pPr>
                  <w:r>
                    <w:t xml:space="preserve">4.22</w:t>
                  </w:r>
                </w:p>
              </w:tc>
              <w:tc>
                <w:tcPr/>
                <w:p>
                  <w:pPr>
                    <w:pStyle w:val="Compact"/>
                    <w:jc w:val="left"/>
                    <w:jc w:val="center"/>
                  </w:pPr>
                  <w:r>
                    <w:t xml:space="preserve">Aur-P1 &gt; Aur-P2</w:t>
                  </w:r>
                </w:p>
              </w:tc>
            </w:tr>
            <w:tr>
              <w:tc>
                <w:tcPr/>
                <w:p>
                  <w:pPr>
                    <w:pStyle w:val="Compact"/>
                    <w:jc w:val="left"/>
                    <w:jc w:val="center"/>
                  </w:pPr>
                  <w:r>
                    <w:t xml:space="preserve">Date-based</w:t>
                  </w:r>
                </w:p>
              </w:tc>
              <w:tc>
                <w:tcPr/>
                <w:p>
                  <w:pPr>
                    <w:pStyle w:val="Compact"/>
                    <w:jc w:val="right"/>
                    <w:jc w:val="center"/>
                  </w:pPr>
                  <w:r>
                    <w:t xml:space="preserve">8.00</w:t>
                  </w:r>
                </w:p>
              </w:tc>
              <w:tc>
                <w:tcPr/>
                <w:p>
                  <w:pPr>
                    <w:pStyle w:val="Compact"/>
                    <w:jc w:val="right"/>
                    <w:jc w:val="center"/>
                  </w:pPr>
                  <w:r>
                    <w:t xml:space="preserve">3.60</w:t>
                  </w:r>
                </w:p>
              </w:tc>
              <w:tc>
                <w:tcPr/>
                <w:p>
                  <w:pPr>
                    <w:pStyle w:val="Compact"/>
                    <w:jc w:val="left"/>
                    <w:jc w:val="center"/>
                  </w:pPr>
                  <w:r>
                    <w:t xml:space="preserve">Aur-P1 &gt; Aur-P2</w:t>
                  </w:r>
                </w:p>
              </w:tc>
            </w:tr>
            <w:tr>
              <w:tc>
                <w:tcPr/>
                <w:p>
                  <w:pPr>
                    <w:pStyle w:val="Compact"/>
                    <w:jc w:val="left"/>
                    <w:jc w:val="center"/>
                  </w:pPr>
                  <w:r>
                    <w:t xml:space="preserve">Exclude Vogelherd</w:t>
                  </w:r>
                </w:p>
              </w:tc>
              <w:tc>
                <w:tcPr/>
                <w:p>
                  <w:pPr>
                    <w:pStyle w:val="Compact"/>
                    <w:jc w:val="right"/>
                    <w:jc w:val="center"/>
                  </w:pPr>
                  <w:r>
                    <w:t xml:space="preserve">7.26</w:t>
                  </w:r>
                </w:p>
              </w:tc>
              <w:tc>
                <w:tcPr/>
                <w:p>
                  <w:pPr>
                    <w:pStyle w:val="Compact"/>
                    <w:jc w:val="right"/>
                    <w:jc w:val="center"/>
                  </w:pPr>
                  <w:r>
                    <w:t xml:space="preserve">4.22</w:t>
                  </w:r>
                </w:p>
              </w:tc>
              <w:tc>
                <w:tcPr/>
                <w:p>
                  <w:pPr>
                    <w:pStyle w:val="Compact"/>
                    <w:jc w:val="left"/>
                    <w:jc w:val="center"/>
                  </w:pPr>
                  <w:r>
                    <w:t xml:space="preserve">Aur-P1 &gt; Aur-P2</w:t>
                  </w:r>
                </w:p>
              </w:tc>
            </w:tr>
          </w:tbl>
          <w:p>
            <w:pPr>
              <w:jc w:val="center"/>
            </w:pPr>
            <w:pPr>
              <w:jc w:val="start"/>
              <w:spacing w:before="200"/>
              <w:pStyle w:val="ImageCaption"/>
            </w:pPr>
            <w:r>
              <w:t xml:space="preserve">Table S 15: Mean degree by phase under each reassignment condition. The Aur-P1 &gt; Aur-P2 ordering is preserved under every condition.</w:t>
            </w:r>
          </w:p>
          <w:bookmarkEnd w:id="95"/>
        </w:tc>
      </w:tr>
    </w:tbl>
    <w:p>
      <w:pPr>
        <w:pStyle w:val="BodyText"/>
      </w:pPr>
      <w:r>
        <w:t xml:space="preserve">Under the date-based assignment Aur-P1’s mean degree rises (from 7.5 to 8) and Aur-P2’s falls (from 4.22 to 3.6), so the contrast is not an artefact of the technological reassignment , the naive date-based assignment, if anything, strengthens it. Excluding Vogelherd weakens but does not remove the contrast (7.26 vs 4.22).</w:t>
      </w:r>
    </w:p>
    <w:bookmarkEnd w:id="96"/>
    <w:bookmarkStart w:id="97" w:name="interpretation-4"/>
    <w:p>
      <w:pPr>
        <w:pStyle w:val="Heading3"/>
      </w:pPr>
      <w:r>
        <w:t xml:space="preserve">Interpretation</w:t>
      </w:r>
    </w:p>
    <w:p>
      <w:pPr>
        <w:pStyle w:val="FirstParagraph"/>
      </w:pPr>
      <w:r>
        <w:rPr>
          <w:bCs/>
          <w:b/>
        </w:rPr>
        <w:t xml:space="preserve">Question: does the Aur-P1 greater than Aur-P2 connectivity ordering survive under purely date-based assignment?</w:t>
      </w:r>
      <w:r>
        <w:t xml:space="preserve"> </w:t>
      </w:r>
      <w:r>
        <w:t xml:space="preserve">Yes. The robustness of the Aur-P1 &gt; Aur-P2 connectivity contrast to the assignment criterion strengthens the main-text conclusion that the early phase supports a larger, more hub-centred sign-sharing network. The date-based alternative is a useful worst case: it fragments long-occupied sites across phases and moves Mladeč into Aur-P1 (via the older-end calibrated median of 40,091 cal BP), yet Aur-P1 remains the more connected phase. Under the date-based assignment Aur-P1’s mean degree rises (from 7.5 to 8) and Aur-P2’s falls (from 4.22 to 3.6), so the contrast is not an artefact of the technological reassignment; the naive date-based assignment, if anything, strengthens it (</w:t>
      </w:r>
      <w:hyperlink w:anchor="tbl-reclass-comparison">
        <w:r>
          <w:rPr>
            <w:rStyle w:val="Hyperlink"/>
          </w:rPr>
          <w:t xml:space="preserve">Table S 14</w:t>
        </w:r>
      </w:hyperlink>
      <w:r>
        <w:t xml:space="preserve">;</w:t>
      </w:r>
      <w:r>
        <w:t xml:space="preserve"> </w:t>
      </w:r>
      <w:hyperlink w:anchor="tbl-ordering-by-condition">
        <w:r>
          <w:rPr>
            <w:rStyle w:val="Hyperlink"/>
          </w:rPr>
          <w:t xml:space="preserve">Table S 15</w:t>
        </w:r>
      </w:hyperlink>
      <w:r>
        <w:t xml:space="preserve">).</w:t>
      </w:r>
    </w:p>
    <w:p>
      <w:pPr>
        <w:pStyle w:val="BodyText"/>
      </w:pPr>
      <w:r>
        <w:rPr>
          <w:bCs/>
          <w:b/>
        </w:rPr>
        <w:t xml:space="preserve">Question: does the Aur-P1 greater than Aur-P2 connectivity ordering survive when Vogelherd is excluded entirely?</w:t>
      </w:r>
      <w:r>
        <w:t xml:space="preserve"> </w:t>
      </w:r>
      <w:r>
        <w:t xml:space="preserve">Yes. Excluding Vogelherd leaves the ordering intact (7.26 versus 4.22), consistent with</w:t>
      </w:r>
      <w:r>
        <w:t xml:space="preserve"> </w:t>
      </w:r>
      <w:r>
        <w:t xml:space="preserve">Section S1.12.7</w:t>
      </w:r>
      <w:r>
        <w:t xml:space="preserve"> </w:t>
      </w:r>
      <w:r>
        <w:t xml:space="preserve">showing that Aur-P1’s network does not depend on a single site. Removing Vogelherd’s 173 objects reduces Aur-P1 from 20 to 19 sites and from 75 to 69 edges, with mean degree falling from 7.5 to 7.26, while Aur-P2 is unaffected.</w:t>
      </w:r>
    </w:p>
    <w:p>
      <w:pPr>
        <w:pStyle w:val="BodyText"/>
      </w:pPr>
      <w:r>
        <w:rPr>
          <w:bCs/>
          <w:b/>
        </w:rPr>
        <w:t xml:space="preserve">Implication for the main text.</w:t>
      </w:r>
      <w:r>
        <w:t xml:space="preserve"> </w:t>
      </w:r>
      <w:r>
        <w:t xml:space="preserve">The observed between-phase modularity values are, however, assignment-sensitive: they reverse under the date-based assignment (Aur-P1 0.29 &lt; Aur-P2 0.332, versus 0.336 &gt; 0.161 at baseline). This reinforces the main text’s caution about between-phase comparisons: the pairwise permutation test on the technology-based baseline finds no significant difference in modularity (or any other network statistic) between the phases, and</w:t>
      </w:r>
      <w:r>
        <w:t xml:space="preserve"> </w:t>
      </w:r>
      <w:r>
        <w:t xml:space="preserve">Section S1.7.4</w:t>
      </w:r>
      <w:r>
        <w:t xml:space="preserve"> </w:t>
      </w:r>
      <w:r>
        <w:t xml:space="preserve">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 Finally, the within-phase two-group structure (RQ1), the restricted/broad dichotomy recovered by seriation, Louvain community detection, and bootstrap consensus (</w:t>
      </w:r>
      <w:r>
        <w:t xml:space="preserve">Section S1.6</w:t>
      </w:r>
      <w:r>
        <w:t xml:space="preserve">,</w:t>
      </w:r>
      <w:r>
        <w:t xml:space="preserve"> </w:t>
      </w:r>
      <w:r>
        <w:t xml:space="preserve">Section S1.9</w:t>
      </w:r>
      <w:r>
        <w:t xml:space="preserve">), is defined within each phase’s membership and is unaffected by the between-phase assignment criterion tested here. The stochastic block model (</w:t>
      </w:r>
      <w:r>
        <w:t xml:space="preserve">Section S1.9.3</w:t>
      </w:r>
      <w:r>
        <w:t xml:space="preserve">) recovers this dichotomy as its two largest blocks in Aur-P1 under all three emission models (Bernoulli K = 3, Gaussian K = 4, Poisson K = 3), while in Aur-P2 only the Gaussian model selects more than one block, by a margin of 0.90 ICL points.</w:t>
      </w:r>
    </w:p>
    <w:bookmarkEnd w:id="97"/>
    <w:bookmarkEnd w:id="98"/>
    <w:bookmarkEnd w:id="99"/>
    <w:bookmarkStart w:id="119" w:name="sec-s6"/>
    <w:p>
      <w:pPr>
        <w:pStyle w:val="Heading1"/>
      </w:pPr>
      <w:r>
        <w:t xml:space="preserve">S1.6 Automated Group Recovery as a Circularity Check</w:t>
      </w:r>
    </w:p>
    <w:bookmarkStart w:id="100" w:name="sec-s6-rationale"/>
    <w:p>
      <w:pPr>
        <w:pStyle w:val="Heading2"/>
      </w:pPr>
      <w:r>
        <w:t xml:space="preserve">S1.6.1 Rationale</w:t>
      </w:r>
    </w:p>
    <w:p>
      <w:pPr>
        <w:pStyle w:val="FirstParagraph"/>
      </w:pPr>
      <w:r>
        <w:t xml:space="preserve">The sensitivity analyses in Sections</w:t>
      </w:r>
      <w:r>
        <w:t xml:space="preserve"> </w:t>
      </w:r>
      <w:r>
        <w:t xml:space="preserve">S1.2</w:t>
      </w:r>
      <w:r>
        <w:t xml:space="preserve">–</w:t>
      </w:r>
      <w:r>
        <w:t xml:space="preserve">S1.5</w:t>
      </w:r>
      <w:r>
        <w:t xml:space="preserve"> </w:t>
      </w:r>
      <w:r>
        <w:t xml:space="preserve">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r>
        <w:t xml:space="preserve">Section S1.10</w:t>
      </w:r>
      <w:r>
        <w:t xml:space="preserve">. It answers three specific questions:</w:t>
      </w:r>
    </w:p>
    <w:p>
      <w:pPr>
        <w:pStyle w:val="BodyText"/>
      </w:pPr>
      <w:r>
        <w:rPr>
          <w:bCs/>
          <w:b/>
        </w:rPr>
        <w:t xml:space="preserve">Question: how well do automatically detected communities reproduce the manual restricted and broad groups?</w:t>
      </w:r>
    </w:p>
    <w:p>
      <w:pPr>
        <w:pStyle w:val="BodyText"/>
      </w:pPr>
      <w:r>
        <w:rPr>
          <w:bCs/>
          <w:b/>
        </w:rPr>
        <w:t xml:space="preserve">Question: do automatically detected communities explain as much sign-composition variance as the manual groups?</w:t>
      </w:r>
    </w:p>
    <w:p>
      <w:pPr>
        <w:pStyle w:val="BodyText"/>
      </w:pPr>
      <w:r>
        <w:rPr>
          <w:bCs/>
          <w:b/>
        </w:rPr>
        <w:t xml:space="preserve">Question: is the community structure richer than a binary split, and does that richness differ by phase and algorithm?</w:t>
      </w:r>
    </w:p>
    <w:bookmarkEnd w:id="100"/>
    <w:bookmarkStart w:id="104" w:name="sec-s6-1"/>
    <w:p>
      <w:pPr>
        <w:pStyle w:val="Heading2"/>
      </w:pPr>
      <w:r>
        <w:t xml:space="preserve">S1.6.2 Louvain community partitioning</w:t>
      </w:r>
    </w:p>
    <w:bookmarkStart w:id="103" w:name="method"/>
    <w:p>
      <w:pPr>
        <w:pStyle w:val="Heading3"/>
      </w:pPr>
      <w:r>
        <w:t xml:space="preserve">Method</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w:t>
      </w:r>
      <w:r>
        <w:t xml:space="preserve"> </w:t>
      </w:r>
      <w:r>
        <w:t xml:space="preserve">[12]</w:t>
      </w:r>
      <w:r>
        <w:t xml:space="preserve"> </w:t>
      </w:r>
      <w:r>
        <w:t xml:space="preserve">identifies clusters of sites whose sign repertoires are more similar to each other than to sites in other clusters, optimising Newman–Girvan modularity</w:t>
      </w:r>
      <w:r>
        <w:t xml:space="preserve"> </w:t>
      </w:r>
      <w:r>
        <w:t xml:space="preserve">[13]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3"/>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3"/>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101"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S 16: Louvain community memberships for each site, by phase and threshold. Sites with no community assignment (no edges at that threshold) are assigned to a singleton community. Groups are numbered by Louvain membership.</w:t>
            </w:r>
          </w:p>
          <w:bookmarkEnd w:id="10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2"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S 17: Adjusted Rand Index (ARI) between Louvain-derived communities and the manually assigned restricted/broad groups, by phase and threshold. ARI = 1.0 indicates identical partitions; ARI ≈ 0 indicates agreement no better than chance.</w:t>
            </w:r>
          </w:p>
          <w:bookmarkEnd w:id="102"/>
        </w:tc>
      </w:tr>
    </w:tbl>
    <w:bookmarkEnd w:id="103"/>
    <w:bookmarkEnd w:id="104"/>
    <w:bookmarkStart w:id="107" w:name="sec-s6-2"/>
    <w:p>
      <w:pPr>
        <w:pStyle w:val="Heading2"/>
      </w:pPr>
      <w:r>
        <w:t xml:space="preserve">S1.6.3 Infomap community partitioning</w:t>
      </w:r>
    </w:p>
    <w:bookmarkStart w:id="106" w:name="method-1"/>
    <w:p>
      <w:pPr>
        <w:pStyle w:val="Heading3"/>
      </w:pPr>
      <w:r>
        <w:t xml:space="preserve">Method</w:t>
      </w:r>
    </w:p>
    <w:p>
      <w:pPr>
        <w:pStyle w:val="FirstParagraph"/>
      </w:pPr>
      <w:r>
        <w:t xml:space="preserve">We compare Infomap community detection with Louvain to assess whether different community detection algorithms yield similar partitions. Infomap optimizes the map equation rather than modularity, providing an alternative perspective on community structure. By comparing these data-driven communities to the Louvain partitions, we evaluate the robustness of community detection results across different optimization criteria.</w:t>
      </w:r>
    </w:p>
    <w:p>
      <w:pPr>
        <w:pStyle w:val="BodyText"/>
      </w:pPr>
      <w:r>
        <w:t xml:space="preserve">We run Infomap detection for each phase at each of the three thresholds (0.1, 0.2, 0.3), using the Jaccard similarity metric of the main text. For each partition we compute one measure:</w:t>
      </w:r>
    </w:p>
    <w:p>
      <w:pPr>
        <w:numPr>
          <w:ilvl w:val="0"/>
          <w:numId w:val="1004"/>
        </w:numPr>
        <w:pStyle w:val="Compact"/>
      </w:pPr>
      <w:r>
        <w:rPr>
          <w:bCs/>
          <w:b/>
        </w:rPr>
        <w:t xml:space="preserve">Adjusted Rand Index (ARI)</w:t>
      </w:r>
      <w:r>
        <w:t xml:space="preserve"> </w:t>
      </w:r>
      <w:r>
        <w:t xml:space="preserve">between the Infomap-derived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5" w:name="tbl-ari-infom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(Infomap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18: Adjusted Rand Index (ARI) between Infomap-derived communities and Louvain-derived communities, by phase and threshold. ARI = 1.0 indicates identical partitions; ARI ≈ 0 indicates agreement no better than chance.</w:t>
            </w:r>
          </w:p>
          <w:bookmarkEnd w:id="105"/>
        </w:tc>
      </w:tr>
    </w:tbl>
    <w:bookmarkEnd w:id="106"/>
    <w:bookmarkEnd w:id="107"/>
    <w:bookmarkStart w:id="110" w:name="sec-s6-3"/>
    <w:p>
      <w:pPr>
        <w:pStyle w:val="Heading2"/>
      </w:pPr>
      <w:r>
        <w:t xml:space="preserve">S1.6.4 Leiden community partitioning</w:t>
      </w:r>
    </w:p>
    <w:bookmarkStart w:id="109" w:name="method-2"/>
    <w:p>
      <w:pPr>
        <w:pStyle w:val="Heading3"/>
      </w:pPr>
      <w:r>
        <w:t xml:space="preserve">Method</w:t>
      </w:r>
    </w:p>
    <w:p>
      <w:pPr>
        <w:pStyle w:val="FirstParagraph"/>
      </w:pPr>
      <w:r>
        <w:t xml:space="preserve">We compare Leiden community detection with Louvain to assess whether the improvements in the Leiden algorithm — which addresses known limitations of Louvain’s tendency to yield poorly connected communities — alter our conclusions. The Leiden algorithm is now considered the standard community detection method for many applications, and it is particularly useful for weighted networks like our Jaccard similarity network.</w:t>
      </w:r>
    </w:p>
    <w:p>
      <w:pPr>
        <w:pStyle w:val="BodyText"/>
      </w:pPr>
      <w:r>
        <w:t xml:space="preserve">We run Leiden detection for each phase at each of the three thresholds (0.1, 0.2, 0.3), using the Jaccard similarity metric of the main text. For each partition we compute one measure:</w:t>
      </w:r>
    </w:p>
    <w:p>
      <w:pPr>
        <w:numPr>
          <w:ilvl w:val="0"/>
          <w:numId w:val="1005"/>
        </w:numPr>
        <w:pStyle w:val="Compact"/>
      </w:pPr>
      <w:r>
        <w:rPr>
          <w:bCs/>
          <w:b/>
        </w:rPr>
        <w:t xml:space="preserve">Adjusted Rand Index (ARI)</w:t>
      </w:r>
      <w:r>
        <w:t xml:space="preserve"> </w:t>
      </w:r>
      <w:r>
        <w:t xml:space="preserve">between the Leiden-derived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08" w:name="tbl-ari-leide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(Leiden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-0.051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0.257</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0.167</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0.478</w:t>
                  </w:r>
                </w:p>
              </w:tc>
            </w:tr>
          </w:tbl>
          <w:p>
            <w:pPr>
              <w:jc w:val="center"/>
            </w:pPr>
            <w:pPr>
              <w:jc w:val="start"/>
              <w:spacing w:before="200"/>
              <w:pStyle w:val="ImageCaption"/>
            </w:pPr>
            <w:r>
              <w:t xml:space="preserve">Table S 19: Adjusted Rand Index (ARI) between Leiden-derived communities and Louvain-derived communities, by phase and threshold. ARI = 1.0 indicates identical partitions; ARI ≈ 0 indicates agreement no better than chance.</w:t>
            </w:r>
          </w:p>
          <w:bookmarkEnd w:id="108"/>
        </w:tc>
      </w:tr>
    </w:tbl>
    <w:bookmarkEnd w:id="109"/>
    <w:bookmarkEnd w:id="110"/>
    <w:bookmarkStart w:id="113" w:name="sec-s6-4"/>
    <w:p>
      <w:pPr>
        <w:pStyle w:val="Heading2"/>
      </w:pPr>
      <w:r>
        <w:t xml:space="preserve">S1.6.5 Walktrap community partitioning</w:t>
      </w:r>
    </w:p>
    <w:bookmarkStart w:id="112" w:name="method-3"/>
    <w:p>
      <w:pPr>
        <w:pStyle w:val="Heading3"/>
      </w:pPr>
      <w:r>
        <w:t xml:space="preserve">Method</w:t>
      </w:r>
    </w:p>
    <w:p>
      <w:pPr>
        <w:pStyle w:val="FirstParagraph"/>
      </w:pPr>
      <w:r>
        <w:t xml:space="preserve">We compare Walktrap community detection with Louvain to assess whether optimizing community structure based on random walk lengths alters our conclusions. Walktrap uses a fundamentally different approach: it identifies communities as sets of vertices where short random walks tend to remain within the community rather than jump to others. This is particularly intuitive for archaeological network analysis where we might think of communities as groups that maintain internal sign-sharing patterns distinct from external connections.</w:t>
      </w:r>
    </w:p>
    <w:p>
      <w:pPr>
        <w:pStyle w:val="BodyText"/>
      </w:pPr>
      <w:r>
        <w:t xml:space="preserve">We run Walktrap detection for each phase at each of the three thresholds (0.1, 0.2, 0.3), using the Jaccard similarity metric of the main text. For each partition we compute one measure:</w:t>
      </w:r>
    </w:p>
    <w:p>
      <w:pPr>
        <w:numPr>
          <w:ilvl w:val="0"/>
          <w:numId w:val="1006"/>
        </w:numPr>
        <w:pStyle w:val="Compact"/>
      </w:pPr>
      <w:r>
        <w:rPr>
          <w:bCs/>
          <w:b/>
        </w:rPr>
        <w:t xml:space="preserve">Adjusted Rand Index (ARI)</w:t>
      </w:r>
      <w:r>
        <w:t xml:space="preserve"> </w:t>
      </w:r>
      <w:r>
        <w:t xml:space="preserve">between the Walktrap-derived communities and the Louvain-derived communities. ARI = 1.0 means the two partitions are identical; ARI ≈ 0 means agreement arises purely by chance.</w:t>
      </w:r>
    </w:p>
    <w:tbl>
      <w:tblPr>
        <w:tblStyle w:val="Table"/>
        <w:tblW w:type="pct" w:w="5000"/>
        <w:tblLook w:firstRow="0" w:lastRow="0" w:firstColumn="0" w:lastColumn="0" w:noHBand="0" w:noVBand="0" w:val="0000"/>
        <w:jc w:val="start"/>
        <w:tblLayout w:type="fixed"/>
      </w:tblPr>
      <w:tblGrid>
        <w:gridCol w:w="7920"/>
      </w:tblGrid>
      <w:tr>
        <w:tc>
          <w:tcPr/>
          <w:bookmarkStart w:id="111" w:name="tbl-ari-walktra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(Walktrap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0.410</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0.393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1.000</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0.764</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1.000</w:t>
                  </w:r>
                </w:p>
              </w:tc>
            </w:tr>
          </w:tbl>
          <w:p>
            <w:pPr>
              <w:jc w:val="center"/>
            </w:pPr>
            <w:pPr>
              <w:jc w:val="start"/>
              <w:spacing w:before="200"/>
              <w:pStyle w:val="ImageCaption"/>
            </w:pPr>
            <w:r>
              <w:t xml:space="preserve">Table S 20: Adjusted Rand Index (ARI) between Walktrap-derived communities and Louvain-derived communities, by phase and threshold. ARI = 1.0 indicates identical partitions; ARI ≈ 0 indicates agreement no better than chance.</w:t>
            </w:r>
          </w:p>
          <w:bookmarkEnd w:id="111"/>
        </w:tc>
      </w:tr>
    </w:tbl>
    <w:bookmarkEnd w:id="112"/>
    <w:bookmarkEnd w:id="113"/>
    <w:bookmarkStart w:id="116" w:name="sec-s6-5"/>
    <w:p>
      <w:pPr>
        <w:pStyle w:val="Heading2"/>
      </w:pPr>
      <w:r>
        <w:t xml:space="preserve">S1.6.6 PerMANOVA comparison</w:t>
      </w:r>
    </w:p>
    <w:bookmarkStart w:id="115" w:name="method-4"/>
    <w:p>
      <w:pPr>
        <w:pStyle w:val="Heading3"/>
      </w:pPr>
      <w:r>
        <w:t xml:space="preserve">Method</w:t>
      </w:r>
    </w:p>
    <w:p>
      <w:pPr>
        <w:pStyle w:val="FirstParagraph"/>
      </w:pPr>
      <w:r>
        <w:t xml:space="preserve">To further evaluate how algorithmically detected communities compare to the manual restricted/broad grouping, we run PerMANOVA tests using the group assignments from each community detection algorithm. This provides insight into whether the structure identified by different algorithms explains significant variance in sign composition, similar to the existing Louvain-based PerMANOVA comparison.</w:t>
      </w:r>
    </w:p>
    <w:p>
      <w:pPr>
        <w:pStyle w:val="BodyText"/>
      </w:pPr>
      <w:r>
        <w:t xml:space="preserve">We compute PerMANOVA R² and p-values for each algorithm at each threshold, comparing them to the values from the manual grouping.</w:t>
      </w:r>
    </w:p>
    <w:tbl>
      <w:tblPr>
        <w:tblStyle w:val="Table"/>
        <w:tblW w:type="pct" w:w="5000"/>
        <w:tblLook w:firstRow="0" w:lastRow="0" w:firstColumn="0" w:lastColumn="0" w:noHBand="0" w:noVBand="0" w:val="0000"/>
        <w:jc w:val="start"/>
        <w:tblLayout w:type="fixed"/>
      </w:tblPr>
      <w:tblGrid>
        <w:gridCol w:w="7920"/>
      </w:tblGrid>
      <w:tr>
        <w:tc>
          <w:tcPr/>
          <w:bookmarkStart w:id="114" w:name="tbl-permanova-comparison"/>
          <w:tbl>
            <w:tblPr>
              <w:tblStyle w:val="Table"/>
              <w:tblW w:type="pct" w:w="5000"/>
              <w:tblLook w:firstRow="1" w:lastRow="0" w:firstColumn="0" w:lastColumn="0" w:noHBand="0" w:noVBand="0" w:val="0020"/>
              <w:jc w:val="start"/>
              <w:tblLayout w:type="fixed"/>
            </w:tblPr>
            <w:tblGrid>
              <w:gridCol w:w="602"/>
              <w:gridCol w:w="860"/>
              <w:gridCol w:w="860"/>
              <w:gridCol w:w="860"/>
              <w:gridCol w:w="1119"/>
              <w:gridCol w:w="774"/>
              <w:gridCol w:w="1033"/>
              <w:gridCol w:w="774"/>
              <w:gridCol w:w="1033"/>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left"/>
                    <w:jc w:val="center"/>
                  </w:pPr>
                  <w:r>
                    <w:t xml:space="preserve">Algorithm</w:t>
                  </w:r>
                </w:p>
              </w:tc>
              <w:tc>
                <w:tcPr/>
                <w:p>
                  <w:pPr>
                    <w:pStyle w:val="Compact"/>
                    <w:jc w:val="right"/>
                    <w:jc w:val="center"/>
                  </w:pPr>
                  <w:r>
                    <w:t xml:space="preserve">Manual R²</w:t>
                  </w:r>
                </w:p>
              </w:tc>
              <w:tc>
                <w:tcPr/>
                <w:p>
                  <w:pPr>
                    <w:pStyle w:val="Compact"/>
                    <w:jc w:val="right"/>
                    <w:jc w:val="center"/>
                  </w:pPr>
                  <w:r>
                    <w:t xml:space="preserve">Algorithm R²</w:t>
                  </w:r>
                </w:p>
              </w:tc>
              <w:tc>
                <w:tcPr/>
                <w:p>
                  <w:pPr>
                    <w:pStyle w:val="Compact"/>
                    <w:jc w:val="right"/>
                    <w:jc w:val="center"/>
                  </w:pPr>
                  <w:r>
                    <w:t xml:space="preserve">Manual F</w:t>
                  </w:r>
                </w:p>
              </w:tc>
              <w:tc>
                <w:tcPr/>
                <w:p>
                  <w:pPr>
                    <w:pStyle w:val="Compact"/>
                    <w:jc w:val="right"/>
                    <w:jc w:val="center"/>
                  </w:pPr>
                  <w:r>
                    <w:t xml:space="preserve">Algorithm F</w:t>
                  </w:r>
                </w:p>
              </w:tc>
              <w:tc>
                <w:tcPr/>
                <w:p>
                  <w:pPr>
                    <w:pStyle w:val="Compact"/>
                    <w:jc w:val="right"/>
                    <w:jc w:val="center"/>
                  </w:pPr>
                  <w:r>
                    <w:t xml:space="preserve">Manual p</w:t>
                  </w:r>
                </w:p>
              </w:tc>
              <w:tc>
                <w:tcPr/>
                <w:p>
                  <w:pPr>
                    <w:pStyle w:val="Compact"/>
                    <w:jc w:val="right"/>
                    <w:jc w:val="center"/>
                  </w:pPr>
                  <w:r>
                    <w:t xml:space="preserve">Algorithm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0.335</w:t>
                  </w:r>
                </w:p>
              </w:tc>
              <w:tc>
                <w:tcPr/>
                <w:p>
                  <w:pPr>
                    <w:pStyle w:val="Compact"/>
                    <w:jc w:val="right"/>
                    <w:jc w:val="center"/>
                  </w:pPr>
                  <w:r>
                    <w:t xml:space="preserve">NA</w:t>
                  </w:r>
                </w:p>
              </w:tc>
              <w:tc>
                <w:tcPr/>
                <w:p>
                  <w:pPr>
                    <w:pStyle w:val="Compact"/>
                    <w:jc w:val="right"/>
                    <w:jc w:val="center"/>
                  </w:pPr>
                  <w:r>
                    <w:t xml:space="preserve">4.279</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0.082</w:t>
                  </w:r>
                </w:p>
              </w:tc>
              <w:tc>
                <w:tcPr/>
                <w:p>
                  <w:pPr>
                    <w:pStyle w:val="Compact"/>
                    <w:jc w:val="right"/>
                    <w:jc w:val="center"/>
                  </w:pPr>
                  <w:r>
                    <w:t xml:space="preserve">NA</w:t>
                  </w:r>
                </w:p>
              </w:tc>
              <w:tc>
                <w:tcPr/>
                <w:p>
                  <w:pPr>
                    <w:pStyle w:val="Compact"/>
                    <w:jc w:val="right"/>
                    <w:jc w:val="center"/>
                  </w:pPr>
                  <w:r>
                    <w:t xml:space="preserve">1.611</w:t>
                  </w:r>
                </w:p>
              </w:tc>
              <w:tc>
                <w:tcPr/>
                <w:p>
                  <w:pPr>
                    <w:pStyle w:val="Compact"/>
                    <w:jc w:val="right"/>
                    <w:jc w:val="center"/>
                  </w:pPr>
                  <w:r>
                    <w:t xml:space="preserve">NA</w:t>
                  </w:r>
                </w:p>
              </w:tc>
              <w:tc>
                <w:tcPr/>
                <w:p>
                  <w:pPr>
                    <w:pStyle w:val="Compact"/>
                    <w:jc w:val="right"/>
                    <w:jc w:val="center"/>
                  </w:pPr>
                  <w:r>
                    <w:t xml:space="preserve">0.043</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0.369</w:t>
                  </w:r>
                </w:p>
              </w:tc>
              <w:tc>
                <w:tcPr/>
                <w:p>
                  <w:pPr>
                    <w:pStyle w:val="Compact"/>
                    <w:jc w:val="right"/>
                    <w:jc w:val="center"/>
                  </w:pPr>
                  <w:r>
                    <w:t xml:space="preserve">NA</w:t>
                  </w:r>
                </w:p>
              </w:tc>
              <w:tc>
                <w:tcPr/>
                <w:p>
                  <w:pPr>
                    <w:pStyle w:val="Compact"/>
                    <w:jc w:val="right"/>
                    <w:jc w:val="center"/>
                  </w:pPr>
                  <w:r>
                    <w:t xml:space="preserve">3.114</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0.494</w:t>
                  </w:r>
                </w:p>
              </w:tc>
              <w:tc>
                <w:tcPr/>
                <w:p>
                  <w:pPr>
                    <w:pStyle w:val="Compact"/>
                    <w:jc w:val="right"/>
                    <w:jc w:val="center"/>
                  </w:pPr>
                  <w:r>
                    <w:t xml:space="preserve">NA</w:t>
                  </w:r>
                </w:p>
              </w:tc>
              <w:tc>
                <w:tcPr/>
                <w:p>
                  <w:pPr>
                    <w:pStyle w:val="Compact"/>
                    <w:jc w:val="right"/>
                    <w:jc w:val="center"/>
                  </w:pPr>
                  <w:r>
                    <w:t xml:space="preserve">2.923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0.279</w:t>
                  </w:r>
                </w:p>
              </w:tc>
              <w:tc>
                <w:tcPr/>
                <w:p>
                  <w:pPr>
                    <w:pStyle w:val="Compact"/>
                    <w:jc w:val="right"/>
                    <w:jc w:val="center"/>
                  </w:pPr>
                  <w:r>
                    <w:t xml:space="preserve">NA</w:t>
                  </w:r>
                </w:p>
              </w:tc>
              <w:tc>
                <w:tcPr/>
                <w:p>
                  <w:pPr>
                    <w:pStyle w:val="Compact"/>
                    <w:jc w:val="right"/>
                    <w:jc w:val="center"/>
                  </w:pPr>
                  <w:r>
                    <w:t xml:space="preserve">2.703</w:t>
                  </w:r>
                </w:p>
              </w:tc>
              <w:tc>
                <w:tcPr/>
                <w:p>
                  <w:pPr>
                    <w:pStyle w:val="Compact"/>
                    <w:jc w:val="right"/>
                    <w:jc w:val="center"/>
                  </w:pPr>
                  <w:r>
                    <w:t xml:space="preserve">NA</w:t>
                  </w:r>
                </w:p>
              </w:tc>
              <w:tc>
                <w:tcPr/>
                <w:p>
                  <w:pPr>
                    <w:pStyle w:val="Compact"/>
                    <w:jc w:val="right"/>
                    <w:jc w:val="center"/>
                  </w:pPr>
                  <w:r>
                    <w:t xml:space="preserve">0.021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0.196</w:t>
                  </w:r>
                </w:p>
              </w:tc>
              <w:tc>
                <w:tcPr/>
                <w:p>
                  <w:pPr>
                    <w:pStyle w:val="Compact"/>
                    <w:jc w:val="right"/>
                    <w:jc w:val="center"/>
                  </w:pPr>
                  <w:r>
                    <w:t xml:space="preserve">0.164</w:t>
                  </w:r>
                </w:p>
              </w:tc>
              <w:tc>
                <w:tcPr/>
                <w:p>
                  <w:pPr>
                    <w:pStyle w:val="Compact"/>
                    <w:jc w:val="right"/>
                    <w:jc w:val="center"/>
                  </w:pPr>
                  <w:r>
                    <w:t xml:space="preserve">4.382</w:t>
                  </w:r>
                </w:p>
              </w:tc>
              <w:tc>
                <w:tcPr/>
                <w:p>
                  <w:pPr>
                    <w:pStyle w:val="Compact"/>
                    <w:jc w:val="right"/>
                    <w:jc w:val="center"/>
                  </w:pPr>
                  <w:r>
                    <w:t xml:space="preserve">1.662</w:t>
                  </w:r>
                </w:p>
              </w:tc>
              <w:tc>
                <w:tcPr/>
                <w:p>
                  <w:pPr>
                    <w:pStyle w:val="Compact"/>
                    <w:jc w:val="right"/>
                    <w:jc w:val="center"/>
                  </w:pPr>
                  <w:r>
                    <w:t xml:space="preserve">0.001</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louvain</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infomap</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leiden</w:t>
                  </w:r>
                </w:p>
              </w:tc>
              <w:tc>
                <w:tcPr/>
                <w:p>
                  <w:pPr>
                    <w:pStyle w:val="Compact"/>
                    <w:jc w:val="right"/>
                    <w:jc w:val="center"/>
                  </w:pPr>
                  <w:r>
                    <w:t xml:space="preserve">0.223</w:t>
                  </w:r>
                </w:p>
              </w:tc>
              <w:tc>
                <w:tcPr/>
                <w:p>
                  <w:pPr>
                    <w:pStyle w:val="Compact"/>
                    <w:jc w:val="right"/>
                    <w:jc w:val="center"/>
                  </w:pPr>
                  <w:r>
                    <w:t xml:space="preserve">NA</w:t>
                  </w:r>
                </w:p>
              </w:tc>
              <w:tc>
                <w:tcPr/>
                <w:p>
                  <w:pPr>
                    <w:pStyle w:val="Compact"/>
                    <w:jc w:val="right"/>
                    <w:jc w:val="center"/>
                  </w:pPr>
                  <w:r>
                    <w:t xml:space="preserve">2.008</w:t>
                  </w:r>
                </w:p>
              </w:tc>
              <w:tc>
                <w:tcPr/>
                <w:p>
                  <w:pPr>
                    <w:pStyle w:val="Compact"/>
                    <w:jc w:val="right"/>
                    <w:jc w:val="center"/>
                  </w:pPr>
                  <w:r>
                    <w:t xml:space="preserve">NA</w:t>
                  </w:r>
                </w:p>
              </w:tc>
              <w:tc>
                <w:tcPr/>
                <w:p>
                  <w:pPr>
                    <w:pStyle w:val="Compact"/>
                    <w:jc w:val="right"/>
                    <w:jc w:val="center"/>
                  </w:pPr>
                  <w:r>
                    <w:t xml:space="preserve">0.076</w:t>
                  </w:r>
                </w:p>
              </w:tc>
              <w:tc>
                <w:tcPr/>
                <w:p>
                  <w:pPr>
                    <w:pStyle w:val="Compact"/>
                    <w:jc w:val="right"/>
                    <w:jc w:val="center"/>
                  </w:pPr>
                  <w:r>
                    <w:t xml:space="preserve">NA</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left"/>
                    <w:jc w:val="center"/>
                  </w:pPr>
                  <w:r>
                    <w:t xml:space="preserve">walktrap</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0.495</w:t>
                  </w:r>
                </w:p>
              </w:tc>
              <w:tc>
                <w:tcPr/>
                <w:p>
                  <w:pPr>
                    <w:pStyle w:val="Compact"/>
                    <w:jc w:val="right"/>
                    <w:jc w:val="center"/>
                  </w:pPr>
                  <w:r>
                    <w:t xml:space="preserve">NA</w:t>
                  </w:r>
                </w:p>
              </w:tc>
              <w:tc>
                <w:tcPr/>
                <w:p>
                  <w:pPr>
                    <w:pStyle w:val="Compact"/>
                    <w:jc w:val="right"/>
                    <w:jc w:val="center"/>
                  </w:pPr>
                  <w:r>
                    <w:t xml:space="preserve">3.673</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0.164</w:t>
                  </w:r>
                </w:p>
              </w:tc>
              <w:tc>
                <w:tcPr/>
                <w:p>
                  <w:pPr>
                    <w:pStyle w:val="Compact"/>
                    <w:jc w:val="right"/>
                    <w:jc w:val="center"/>
                  </w:pPr>
                  <w:r>
                    <w:t xml:space="preserve">NA</w:t>
                  </w:r>
                </w:p>
              </w:tc>
              <w:tc>
                <w:tcPr/>
                <w:p>
                  <w:pPr>
                    <w:pStyle w:val="Compact"/>
                    <w:jc w:val="right"/>
                    <w:jc w:val="center"/>
                  </w:pPr>
                  <w:r>
                    <w:t xml:space="preserve">1.662</w:t>
                  </w:r>
                </w:p>
              </w:tc>
              <w:tc>
                <w:tcPr/>
                <w:p>
                  <w:pPr>
                    <w:pStyle w:val="Compact"/>
                    <w:jc w:val="right"/>
                    <w:jc w:val="center"/>
                  </w:pPr>
                  <w:r>
                    <w:t xml:space="preserve">NA</w:t>
                  </w:r>
                </w:p>
              </w:tc>
              <w:tc>
                <w:tcPr/>
                <w:p>
                  <w:pPr>
                    <w:pStyle w:val="Compact"/>
                    <w:jc w:val="right"/>
                    <w:jc w:val="center"/>
                  </w:pPr>
                  <w:r>
                    <w:t xml:space="preserve">0.006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0.356</w:t>
                  </w:r>
                </w:p>
              </w:tc>
              <w:tc>
                <w:tcPr/>
                <w:p>
                  <w:pPr>
                    <w:pStyle w:val="Compact"/>
                    <w:jc w:val="right"/>
                    <w:jc w:val="center"/>
                  </w:pPr>
                  <w:r>
                    <w:t xml:space="preserve">NA</w:t>
                  </w:r>
                </w:p>
              </w:tc>
              <w:tc>
                <w:tcPr/>
                <w:p>
                  <w:pPr>
                    <w:pStyle w:val="Compact"/>
                    <w:jc w:val="right"/>
                    <w:jc w:val="center"/>
                  </w:pPr>
                  <w:r>
                    <w:t xml:space="preserve">2.945</w:t>
                  </w:r>
                </w:p>
              </w:tc>
              <w:tc>
                <w:tcPr/>
                <w:p>
                  <w:pPr>
                    <w:pStyle w:val="Compact"/>
                    <w:jc w:val="right"/>
                    <w:jc w:val="center"/>
                  </w:pPr>
                  <w:r>
                    <w:t xml:space="preserve">NA</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louvain</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infomap</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leiden</w:t>
                  </w:r>
                </w:p>
              </w:tc>
              <w:tc>
                <w:tcPr/>
                <w:p>
                  <w:pPr>
                    <w:pStyle w:val="Compact"/>
                    <w:jc w:val="right"/>
                    <w:jc w:val="center"/>
                  </w:pPr>
                  <w:r>
                    <w:t xml:space="preserve">NA</w:t>
                  </w:r>
                </w:p>
              </w:tc>
              <w:tc>
                <w:tcPr/>
                <w:p>
                  <w:pPr>
                    <w:pStyle w:val="Compact"/>
                    <w:jc w:val="right"/>
                    <w:jc w:val="center"/>
                  </w:pPr>
                  <w:r>
                    <w:t xml:space="preserve">0.329</w:t>
                  </w:r>
                </w:p>
              </w:tc>
              <w:tc>
                <w:tcPr/>
                <w:p>
                  <w:pPr>
                    <w:pStyle w:val="Compact"/>
                    <w:jc w:val="right"/>
                    <w:jc w:val="center"/>
                  </w:pPr>
                  <w:r>
                    <w:t xml:space="preserve">NA</w:t>
                  </w:r>
                </w:p>
              </w:tc>
              <w:tc>
                <w:tcPr/>
                <w:p>
                  <w:pPr>
                    <w:pStyle w:val="Compact"/>
                    <w:jc w:val="right"/>
                    <w:jc w:val="center"/>
                  </w:pPr>
                  <w:r>
                    <w:t xml:space="preserve">1.468</w:t>
                  </w:r>
                </w:p>
              </w:tc>
              <w:tc>
                <w:tcPr/>
                <w:p>
                  <w:pPr>
                    <w:pStyle w:val="Compact"/>
                    <w:jc w:val="right"/>
                    <w:jc w:val="center"/>
                  </w:pPr>
                  <w:r>
                    <w:t xml:space="preserve">NA</w:t>
                  </w:r>
                </w:p>
              </w:tc>
              <w:tc>
                <w:tcPr/>
                <w:p>
                  <w:pPr>
                    <w:pStyle w:val="Compact"/>
                    <w:jc w:val="right"/>
                    <w:jc w:val="center"/>
                  </w:pPr>
                  <w:r>
                    <w:t xml:space="preserve">0.036</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left"/>
                    <w:jc w:val="center"/>
                  </w:pPr>
                  <w:r>
                    <w:t xml:space="preserve">walktrap</w:t>
                  </w:r>
                </w:p>
              </w:tc>
              <w:tc>
                <w:tcPr/>
                <w:p>
                  <w:pPr>
                    <w:pStyle w:val="Compact"/>
                    <w:jc w:val="right"/>
                    <w:jc w:val="center"/>
                  </w:pPr>
                  <w:r>
                    <w:t xml:space="preserve">NA</w:t>
                  </w:r>
                </w:p>
              </w:tc>
              <w:tc>
                <w:tcPr/>
                <w:p>
                  <w:pPr>
                    <w:pStyle w:val="Compact"/>
                    <w:jc w:val="right"/>
                    <w:jc w:val="center"/>
                  </w:pPr>
                  <w:r>
                    <w:t xml:space="preserve">0.599</w:t>
                  </w:r>
                </w:p>
              </w:tc>
              <w:tc>
                <w:tcPr/>
                <w:p>
                  <w:pPr>
                    <w:pStyle w:val="Compact"/>
                    <w:jc w:val="right"/>
                    <w:jc w:val="center"/>
                  </w:pPr>
                  <w:r>
                    <w:t xml:space="preserve">NA</w:t>
                  </w:r>
                </w:p>
              </w:tc>
              <w:tc>
                <w:tcPr/>
                <w:p>
                  <w:pPr>
                    <w:pStyle w:val="Compact"/>
                    <w:jc w:val="right"/>
                    <w:jc w:val="center"/>
                  </w:pPr>
                  <w:r>
                    <w:t xml:space="preserve">2.485</w:t>
                  </w:r>
                </w:p>
              </w:tc>
              <w:tc>
                <w:tcPr/>
                <w:p>
                  <w:pPr>
                    <w:pStyle w:val="Compact"/>
                    <w:jc w:val="right"/>
                    <w:jc w:val="center"/>
                  </w:pPr>
                  <w:r>
                    <w:t xml:space="preserve">NA</w:t>
                  </w:r>
                </w:p>
              </w:tc>
              <w:tc>
                <w:tcPr/>
                <w:p>
                  <w:pPr>
                    <w:pStyle w:val="Compact"/>
                    <w:jc w:val="right"/>
                    <w:jc w:val="center"/>
                  </w:pPr>
                  <w:r>
                    <w:t xml:space="preserve">0.003</w:t>
                  </w:r>
                </w:p>
              </w:tc>
            </w:tr>
          </w:tbl>
          <w:p>
            <w:pPr>
              <w:jc w:val="center"/>
            </w:pPr>
            <w:pPr>
              <w:jc w:val="start"/>
              <w:spacing w:before="200"/>
              <w:pStyle w:val="ImageCaption"/>
            </w:pPr>
            <w:r>
              <w:t xml:space="preserve">Table S 21: PerMANOVA comparison: manual (restricted/broad) grouping versus algorithmically derived groupings. R² and pseudo-F for each phase, threshold, and community detection algorithm.</w:t>
            </w:r>
          </w:p>
          <w:bookmarkEnd w:id="114"/>
        </w:tc>
      </w:tr>
    </w:tbl>
    <w:bookmarkEnd w:id="115"/>
    <w:bookmarkEnd w:id="116"/>
    <w:bookmarkStart w:id="117" w:name="sec-s6-6"/>
    <w:p>
      <w:pPr>
        <w:pStyle w:val="Heading2"/>
      </w:pPr>
      <w:r>
        <w:t xml:space="preserve">S1.6.7 Cross-algorithm comparison</w:t>
      </w:r>
    </w:p>
    <w:p>
      <w:pPr>
        <w:pStyle w:val="FirstParagraph"/>
      </w:pPr>
      <w:r>
        <w:t xml:space="preserve">Community counts and cross-algorithm agreement are reported in the generated tables above (</w:t>
      </w:r>
      <w:hyperlink w:anchor="tbl-louvain-groups">
        <w:r>
          <w:rPr>
            <w:rStyle w:val="Hyperlink"/>
          </w:rPr>
          <w:t xml:space="preserve">Table S 16</w:t>
        </w:r>
      </w:hyperlink>
      <w:r>
        <w:t xml:space="preserve">,</w:t>
      </w:r>
      <w:r>
        <w:t xml:space="preserve"> </w:t>
      </w:r>
      <w:hyperlink w:anchor="tbl-ari-louvain">
        <w:r>
          <w:rPr>
            <w:rStyle w:val="Hyperlink"/>
          </w:rPr>
          <w:t xml:space="preserve">Table S 17</w:t>
        </w:r>
      </w:hyperlink>
      <w:r>
        <w:t xml:space="preserve">,</w:t>
      </w:r>
      <w:r>
        <w:t xml:space="preserve"> </w:t>
      </w:r>
      <w:hyperlink w:anchor="tbl-ari-infomap">
        <w:r>
          <w:rPr>
            <w:rStyle w:val="Hyperlink"/>
          </w:rPr>
          <w:t xml:space="preserve">Table S 18</w:t>
        </w:r>
      </w:hyperlink>
      <w:r>
        <w:t xml:space="preserve">,</w:t>
      </w:r>
      <w:r>
        <w:t xml:space="preserve"> </w:t>
      </w:r>
      <w:hyperlink w:anchor="tbl-ari-leiden">
        <w:r>
          <w:rPr>
            <w:rStyle w:val="Hyperlink"/>
          </w:rPr>
          <w:t xml:space="preserve">Table S 19</w:t>
        </w:r>
      </w:hyperlink>
      <w:r>
        <w:t xml:space="preserve">,</w:t>
      </w:r>
      <w:r>
        <w:t xml:space="preserve"> </w:t>
      </w:r>
      <w:hyperlink w:anchor="tbl-ari-walktrap">
        <w:r>
          <w:rPr>
            <w:rStyle w:val="Hyperlink"/>
          </w:rPr>
          <w:t xml:space="preserve">Table S 20</w:t>
        </w:r>
      </w:hyperlink>
      <w:r>
        <w:t xml:space="preserve">,</w:t>
      </w:r>
      <w:r>
        <w:t xml:space="preserve"> </w:t>
      </w:r>
      <w:hyperlink w:anchor="tbl-permanova-comparison">
        <w:r>
          <w:rPr>
            <w:rStyle w:val="Hyperlink"/>
          </w:rPr>
          <w:t xml:space="preserve">Table S 21</w:t>
        </w:r>
      </w:hyperlink>
      <w:r>
        <w:t xml:space="preserve">). Counts below are read from those tables at render time, not hardcoded, so the text cannot drift from the computation. The detailed patterns are answered jointly in Interpretation below.</w:t>
      </w:r>
    </w:p>
    <w:bookmarkEnd w:id="117"/>
    <w:bookmarkStart w:id="118" w:name="sec-s6-7"/>
    <w:p>
      <w:pPr>
        <w:pStyle w:val="Heading2"/>
      </w:pPr>
      <w:r>
        <w:t xml:space="preserve">S1.6.8 Interpretation</w:t>
      </w:r>
    </w:p>
    <w:p>
      <w:pPr>
        <w:pStyle w:val="FirstParagraph"/>
      </w:pPr>
      <w:r>
        <w:rPr>
          <w:bCs/>
          <w:b/>
        </w:rPr>
        <w:t xml:space="preserve">Question: how well do automatically detected communities reproduce the manual restricted and broad groups?</w:t>
      </w:r>
      <w:r>
        <w:t xml:space="preserve"> </w:t>
      </w:r>
      <w:r>
        <w:t xml:space="preserve">Well in Aur-P1 and partly in Aur-P2. The Adjusted Rand Index quantifies agreement between the Louvain partitions and the manual restricted/broad assignment (</w:t>
      </w:r>
      <w:hyperlink w:anchor="tbl-ari-louvain">
        <w:r>
          <w:rPr>
            <w:rStyle w:val="Hyperlink"/>
          </w:rPr>
          <w:t xml:space="preserve">Table S 17</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Cross-algorithm agreement is strongest in Aur-P1 and at threshold 0.2: Infomap produces the most conservative result with fewer communities than Louvain especially in Aur-P2; Leiden differs in key cases, particularly at threshold 0.2 in Aur-P2 where Leiden finds 1 community versus Louvain’s 3; Walktrap matches Louvain (ARI = 1.000) at threshold 0.2 in both phases but differs at other thresholds. Aur-P1 shows convergence across optimisation criteria, while Aur-P2 shows algorithm dependence from its 9-site sample.</w:t>
      </w:r>
    </w:p>
    <w:p>
      <w:pPr>
        <w:pStyle w:val="BodyText"/>
      </w:pPr>
      <w:r>
        <w:rPr>
          <w:bCs/>
          <w:b/>
        </w:rPr>
        <w:t xml:space="preserve">Question: do automatically detected communities explain as much sign-composition variance as the manual groups?</w:t>
      </w:r>
      <w:r>
        <w:t xml:space="preserve"> </w:t>
      </w:r>
      <w:r>
        <w:t xml:space="preserve">Yes, they explain more. The PerMANOVA comparison provides the most direct test of whether the main-text results are circular (</w:t>
      </w:r>
      <w:hyperlink w:anchor="tbl-permanova-comparison">
        <w:r>
          <w:rPr>
            <w:rStyle w:val="Hyperlink"/>
          </w:rPr>
          <w:t xml:space="preserve">Table S 21</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NA), so the algorithmically detected structure is statistically significant in both phases, including Aur-P2, where the manual-group PerMANOVA is non-significant (p = 0.076). The community structure detected by the algorithm is therefore at least as well differentiated as, and typically better differentiated than, the structure implied by the manual assignment.</w:t>
      </w:r>
    </w:p>
    <w:p>
      <w:pPr>
        <w:pStyle w:val="BodyText"/>
      </w:pPr>
      <w:r>
        <w:rPr>
          <w:bCs/>
          <w:b/>
        </w:rPr>
        <w:t xml:space="preserve">Question: is the community structure richer than a binary split, and does that richness differ by phase and algorithm?</w:t>
      </w:r>
      <w:r>
        <w:t xml:space="preserve"> </w:t>
      </w:r>
      <w:r>
        <w:t xml:space="preserve">Yes. 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S 16</w:t>
        </w:r>
      </w:hyperlink>
      <w:r>
        <w:t xml:space="preserve">). At the main-text threshold of 0.2, Aur-P1 splits into 4 communities (Group 1 (Abri Pataud, Fumane, Gatzarria, Grotte de la Verpillière I, Grottes de Fonds-de-Forêt, Hohlenstein-Stadel, Labeko Koba, Pod Hradem, Riparo Bombrini); Group 2 (Blanchard, Castanet, Cellier, Geissenklösterle, Grotte du Renne, Hohle Fels, La Ferrassie, Solutré, Vogelherd); Group 3 (Les Cottés); Group 4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Algorithm choice matters for small, sparse networks: in Aur-P2’s small sample (9 sites), the algorithm choice alters conclusions about community structure. The manual two-group split is not universally recovered: while Louvain and Walktrap at threshold 0.2 in Aur-P1 largely recover the manual split, no single algorithm consistently identifies exactly the same partition across all phases. Some algorithms (particularly Infomap) are more robust but may miss structure in Aur-P2, while Walktrap at threshold 0.2 shows strong agreement with Louvain. While the restricted/broad dichotomy in Aur-P1 is robust across multiple community detection approaches, the community structure in Aur-P2 is highly algorithm-dependent. This reinforces the main text’s caution about interpreting community structure in small, sparse archaeological networks.</w:t>
      </w:r>
    </w:p>
    <w:p>
      <w:pPr>
        <w:pStyle w:val="BodyText"/>
      </w:pPr>
      <w:r>
        <w:rPr>
          <w:bCs/>
          <w:b/>
        </w:rPr>
        <w:t xml:space="preserve">Implication for the main text.</w:t>
      </w:r>
      <w:r>
        <w:t xml:space="preserve"> </w:t>
      </w: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r>
        <w:t xml:space="preserve">Section S1.10</w:t>
      </w:r>
      <w:r>
        <w:t xml:space="preserve">.</w:t>
      </w:r>
    </w:p>
    <w:bookmarkEnd w:id="118"/>
    <w:bookmarkEnd w:id="119"/>
    <w:bookmarkStart w:id="145" w:name="sec-s7"/>
    <w:p>
      <w:pPr>
        <w:pStyle w:val="Heading1"/>
      </w:pPr>
      <w:r>
        <w:t xml:space="preserve">S1.7 Network Calibration</w:t>
      </w:r>
    </w:p>
    <w:bookmarkStart w:id="120" w:name="sec-s7-rationale"/>
    <w:p>
      <w:pPr>
        <w:pStyle w:val="Heading2"/>
      </w:pPr>
      <w:r>
        <w:t xml:space="preserve">S1.7.1 Rationale</w:t>
      </w:r>
    </w:p>
    <w:p>
      <w:pPr>
        <w:pStyle w:val="FirstParagraph"/>
      </w:pPr>
      <w:r>
        <w:t xml:space="preserve">Calibration checks ask whether modularity, degree, and significance survive nulls, sampling noise, multiple testing, and network size. They do not test group existence itself. Five checks follow: null-benchmarked modularity, richness-degree confound, bootstrap stability bands, multiple-testing correction, and size-normalised comparison. Each check states its questions in Rationale and answers them in Interpretation.</w:t>
      </w:r>
    </w:p>
    <w:bookmarkEnd w:id="120"/>
    <w:bookmarkStart w:id="124" w:name="sec-s7-1"/>
    <w:p>
      <w:pPr>
        <w:pStyle w:val="Heading2"/>
      </w:pPr>
      <w:r>
        <w:t xml:space="preserve">S1.7.2 Null-benchmarked modularity</w:t>
      </w:r>
    </w:p>
    <w:bookmarkStart w:id="122" w:name="rationale-6"/>
    <w:p>
      <w:pPr>
        <w:pStyle w:val="Heading3"/>
      </w:pPr>
      <w:r>
        <w:t xml:space="preserve">Rationale</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p>
      <w:pPr>
        <w:pStyle w:val="BodyText"/>
      </w:pPr>
      <w:r>
        <w:rPr>
          <w:bCs/>
          <w:b/>
        </w:rPr>
        <w:t xml:space="preserve">Question: does observed modularity in each phase exceed the null expectation from randomly distributed sign assemblages?</w:t>
      </w:r>
    </w:p>
    <w:tbl>
      <w:tblPr>
        <w:tblStyle w:val="Table"/>
        <w:tblW w:type="pct" w:w="5000"/>
        <w:tblLook w:firstRow="0" w:lastRow="0" w:firstColumn="0" w:lastColumn="0" w:noHBand="0" w:noVBand="0" w:val="0000"/>
        <w:jc w:val="start"/>
        <w:tblLayout w:type="fixed"/>
      </w:tblPr>
      <w:tblGrid>
        <w:gridCol w:w="7920"/>
      </w:tblGrid>
      <w:tr>
        <w:tc>
          <w:tcPr/>
          <w:bookmarkStart w:id="121"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0.020</w:t>
                  </w:r>
                </w:p>
              </w:tc>
              <w:tc>
                <w:tcPr/>
                <w:p>
                  <w:pPr>
                    <w:pStyle w:val="Compact"/>
                    <w:jc w:val="center"/>
                    <w:jc w:val="center"/>
                  </w:pPr>
                  <w:r>
                    <w:t xml:space="preserve">0.019</w:t>
                  </w:r>
                </w:p>
              </w:tc>
              <w:tc>
                <w:tcPr/>
                <w:p>
                  <w:pPr>
                    <w:pStyle w:val="Compact"/>
                    <w:jc w:val="center"/>
                    <w:jc w:val="center"/>
                  </w:pPr>
                  <w:r>
                    <w:t xml:space="preserve">0.000</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0.102</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0.078</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0.022</w:t>
                  </w:r>
                </w:p>
              </w:tc>
              <w:tc>
                <w:tcPr/>
                <w:p>
                  <w:pPr>
                    <w:pStyle w:val="Compact"/>
                    <w:jc w:val="center"/>
                    <w:jc w:val="center"/>
                  </w:pPr>
                  <w:r>
                    <w:t xml:space="preserve">0.070</w:t>
                  </w:r>
                </w:p>
              </w:tc>
              <w:tc>
                <w:tcPr/>
                <w:p>
                  <w:pPr>
                    <w:pStyle w:val="Compact"/>
                    <w:jc w:val="center"/>
                    <w:jc w:val="center"/>
                  </w:pPr>
                  <w:r>
                    <w:t xml:space="preserve">0.088</w:t>
                  </w:r>
                </w:p>
              </w:tc>
            </w:tr>
          </w:tbl>
          <w:p>
            <w:pPr>
              <w:jc w:val="center"/>
            </w:pPr>
            <w:pPr>
              <w:jc w:val="start"/>
              <w:spacing w:before="200"/>
              <w:pStyle w:val="ImageCaption"/>
            </w:pPr>
            <w:r>
              <w:t xml:space="preserve">Table S 22: Observed modularity and null-model p-values for each Aurignacian phase at three Jaccard similarity thresholds.</w:t>
            </w:r>
          </w:p>
          <w:bookmarkEnd w:id="121"/>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bookmarkEnd w:id="122"/>
    <w:bookmarkStart w:id="123" w:name="interpretation-5"/>
    <w:p>
      <w:pPr>
        <w:pStyle w:val="Heading3"/>
      </w:pPr>
      <w:r>
        <w:t xml:space="preserve">Interpretation</w:t>
      </w:r>
    </w:p>
    <w:p>
      <w:pPr>
        <w:pStyle w:val="FirstParagraph"/>
      </w:pPr>
      <w:r>
        <w:rPr>
          <w:bCs/>
          <w:b/>
        </w:rPr>
        <w:t xml:space="preserve">Question: does observed modularity in each phase exceed the null expectation from randomly distributed sign assemblages?</w:t>
      </w:r>
      <w:r>
        <w:t xml:space="preserve"> </w:t>
      </w:r>
      <w:r>
        <w:t xml:space="preserve">Yes in well-sampled Aur-P1 at thresholds 0.2 and 0.3, and no in Aur-P2.</w:t>
      </w:r>
    </w:p>
    <w:p>
      <w:pPr>
        <w:pStyle w:val="BodyText"/>
      </w:pPr>
      <w:r>
        <w:rPr>
          <w:bCs/>
          <w:b/>
        </w:rPr>
        <w:t xml:space="preserve">Implication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0.020) and is statistically significant (p = 0.000), as it is at threshold 0.3 (0.347, p = 0.000); at the permissive 0.1 threshold, the Aur-P1 value (0.223, p = 0.000) does not reach significance. Aur-P2’s observed modularity (0.161 at threshold 0.2) is clearly non-significant at every threshold (p = 0.102 to 0.088),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123"/>
    <w:bookmarkEnd w:id="124"/>
    <w:bookmarkStart w:id="128" w:name="sec-s7-2"/>
    <w:p>
      <w:pPr>
        <w:pStyle w:val="Heading2"/>
      </w:pPr>
      <w:r>
        <w:t xml:space="preserve">S1.7.3 Richness and degree confound</w:t>
      </w:r>
    </w:p>
    <w:bookmarkStart w:id="126" w:name="rationale-7"/>
    <w:p>
      <w:pPr>
        <w:pStyle w:val="Heading3"/>
      </w:pPr>
      <w:r>
        <w:t xml:space="preserve">Rationale</w:t>
      </w:r>
    </w:p>
    <w:p>
      <w:pPr>
        <w:pStyle w:val="FirstParagraph"/>
      </w:pPr>
      <w:r>
        <w:t xml:space="preserve">Node degree in a presence/absence network could be driven by sign-type richness rather than shared-sign connectivity: sites with more sign types have more opportunities for co-occurrence. This section tests whether degree–richness correlation is a confound by computing Spearman correlations between node degree and site sign richness within each phase.</w:t>
      </w:r>
    </w:p>
    <w:p>
      <w:pPr>
        <w:pStyle w:val="BodyText"/>
      </w:pPr>
      <w:r>
        <w:rPr>
          <w:bCs/>
          <w:b/>
        </w:rPr>
        <w:t xml:space="preserve">Question: is node degree driven by site sign-type richness rather than shared-sign connectivity?</w:t>
      </w:r>
    </w:p>
    <w:tbl>
      <w:tblPr>
        <w:tblStyle w:val="Table"/>
        <w:tblW w:type="pct" w:w="5000"/>
        <w:tblLook w:firstRow="0" w:lastRow="0" w:firstColumn="0" w:lastColumn="0" w:noHBand="0" w:noVBand="0" w:val="0000"/>
        <w:jc w:val="start"/>
        <w:tblLayout w:type="fixed"/>
      </w:tblPr>
      <w:tblGrid>
        <w:gridCol w:w="7920"/>
      </w:tblGrid>
      <w:tr>
        <w:tc>
          <w:tcPr/>
          <w:bookmarkStart w:id="125"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S 23: Spearman correlations between node degree and site sign richness (number of distinct sign types) within each Aurignacian phase, at the baseline threshold of 0.2.</w:t>
            </w:r>
          </w:p>
          <w:bookmarkEnd w:id="125"/>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bookmarkEnd w:id="126"/>
    <w:bookmarkStart w:id="127" w:name="interpretation-6"/>
    <w:p>
      <w:pPr>
        <w:pStyle w:val="Heading3"/>
      </w:pPr>
      <w:r>
        <w:t xml:space="preserve">Interpretation</w:t>
      </w:r>
    </w:p>
    <w:p>
      <w:pPr>
        <w:pStyle w:val="FirstParagraph"/>
      </w:pPr>
      <w:r>
        <w:rPr>
          <w:bCs/>
          <w:b/>
        </w:rPr>
        <w:t xml:space="preserve">Question: is node degree driven by site sign-type richness rather than shared-sign connectivity?</w:t>
      </w:r>
      <w:r>
        <w:t xml:space="preserve"> </w:t>
      </w:r>
      <w:r>
        <w:t xml:space="preserve">No. Neither phase shows a significant correlation between node degree and sign-type richness (Aur-P1: ρ = -0.254, p = 0.280; Aur-P2: ρ = 0.163, p = 0.676).</w:t>
      </w:r>
    </w:p>
    <w:p>
      <w:pPr>
        <w:pStyle w:val="BodyText"/>
      </w:pPr>
      <w:r>
        <w:rPr>
          <w:bCs/>
          <w:b/>
        </w:rPr>
        <w:t xml:space="preserve">Implication for the main text.</w:t>
      </w:r>
      <w:r>
        <w:t xml:space="preserve"> </w:t>
      </w:r>
      <w:r>
        <w:t xml:space="preserve">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127"/>
    <w:bookmarkEnd w:id="128"/>
    <w:bookmarkStart w:id="136" w:name="sec-s7-3"/>
    <w:p>
      <w:pPr>
        <w:pStyle w:val="Heading2"/>
      </w:pPr>
      <w:r>
        <w:t xml:space="preserve">S1.7.4 Bootstrap confidence intervals</w:t>
      </w:r>
    </w:p>
    <w:bookmarkStart w:id="134" w:name="rationale-8"/>
    <w:p>
      <w:pPr>
        <w:pStyle w:val="Heading3"/>
      </w:pPr>
      <w:r>
        <w:t xml:space="preserve">Rationale</w:t>
      </w:r>
    </w:p>
    <w:p>
      <w:pPr>
        <w:pStyle w:val="FirstParagraph"/>
      </w:pPr>
      <w:r>
        <w:t xml:space="preserve">Point estimates of network statistics are sensitive to individual sites and to object sampling within sites. Resampling sites with replacement creates duplicate nodes (similarity 1, distance 0) and inflates mean degree and narrows intervals</w:t>
      </w:r>
      <w:r>
        <w:t xml:space="preserve"> </w:t>
      </w:r>
      <w:r>
        <w:t xml:space="preserve">[14,15]</w:t>
      </w:r>
      <w:r>
        <w:t xml:space="preserve">. This section therefore uses object-within-site bootstrap: for each site, draw its observed number of objects with replacement from that site’s own objects, rebuild the site x sign presence matrix, and recompute mean degree and modularity at threshold 0.2. Node identity is preserved; uncertainty reflects object sampling rather than artificial duplication. We report the observed statistic and a percentile interval around it.</w:t>
      </w:r>
    </w:p>
    <w:p>
      <w:pPr>
        <w:pStyle w:val="BodyText"/>
      </w:pPr>
      <w:r>
        <w:rPr>
          <w:bCs/>
          <w:b/>
        </w:rPr>
        <w:t xml:space="preserve">Question: are the Aur-P1 versus Aur-P2 mean-degree and modularity contrasts robust to object sampling within sites?</w:t>
      </w:r>
    </w:p>
    <w:tbl>
      <w:tblPr>
        <w:tblStyle w:val="Table"/>
        <w:tblW w:type="pct" w:w="5000"/>
        <w:tblLook w:firstRow="0" w:lastRow="0" w:firstColumn="0" w:lastColumn="0" w:noHBand="0" w:noVBand="0" w:val="0000"/>
        <w:jc w:val="start"/>
        <w:tblLayout w:type="fixed"/>
      </w:tblPr>
      <w:tblGrid>
        <w:gridCol w:w="7920"/>
      </w:tblGrid>
      <w:tr>
        <w:tc>
          <w:tcPr/>
          <w:bookmarkStart w:id="129" w:name="tbl-bootstrap-ci"/>
          <w:tbl>
            <w:tblPr>
              <w:tblStyle w:val="Table"/>
              <w:tblW w:type="pct" w:w="5000"/>
              <w:tblLook w:firstRow="1" w:lastRow="0" w:firstColumn="0" w:lastColumn="0" w:noHBand="0" w:noVBand="0" w:val="0020"/>
              <w:jc w:val="start"/>
              <w:tblLayout w:type="fixed"/>
            </w:tblPr>
            <w:tblGrid>
              <w:gridCol w:w="652"/>
              <w:gridCol w:w="2236"/>
              <w:gridCol w:w="559"/>
              <w:gridCol w:w="652"/>
              <w:gridCol w:w="559"/>
              <w:gridCol w:w="1304"/>
              <w:gridCol w:w="652"/>
              <w:gridCol w:w="652"/>
              <w:gridCol w:w="652"/>
            </w:tblGrid>
            <w:tr>
              <w:trPr>
                <w:tblHeader w:val="true"/>
              </w:trPr>
              <w:tc>
                <w:tcPr/>
                <w:p>
                  <w:pPr>
                    <w:pStyle w:val="Compact"/>
                    <w:jc w:val="left"/>
                    <w:jc w:val="center"/>
                  </w:pPr>
                  <w:r>
                    <w:t xml:space="preserve">Phase</w:t>
                  </w:r>
                </w:p>
              </w:tc>
              <w:tc>
                <w:tcPr/>
                <w:p>
                  <w:pPr>
                    <w:pStyle w:val="Compact"/>
                    <w:jc w:val="center"/>
                    <w:jc w:val="center"/>
                  </w:pPr>
                  <w:r>
                    <w:t xml:space="preserve">Mean degree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c>
                <w:tcPr/>
                <w:p>
                  <w:pPr>
                    <w:pStyle w:val="Compact"/>
                    <w:jc w:val="center"/>
                    <w:jc w:val="center"/>
                  </w:pPr>
                  <w:r>
                    <w:t xml:space="preserve">Q (observed)</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SD</w:t>
                  </w:r>
                </w:p>
              </w:tc>
            </w:tr>
            <w:tr>
              <w:tc>
                <w:tcPr/>
                <w:p>
                  <w:pPr>
                    <w:pStyle w:val="Compact"/>
                    <w:jc w:val="left"/>
                    <w:jc w:val="center"/>
                  </w:pPr>
                  <w:r>
                    <w:t xml:space="preserve">Aur-P1</w:t>
                  </w:r>
                </w:p>
              </w:tc>
              <w:tc>
                <w:tcPr/>
                <w:p>
                  <w:pPr>
                    <w:pStyle w:val="Compact"/>
                    <w:jc w:val="center"/>
                    <w:jc w:val="center"/>
                  </w:pPr>
                  <w:r>
                    <w:t xml:space="preserve">7.50</w:t>
                  </w:r>
                </w:p>
              </w:tc>
              <w:tc>
                <w:tcPr/>
                <w:p>
                  <w:pPr>
                    <w:pStyle w:val="Compact"/>
                    <w:jc w:val="center"/>
                    <w:jc w:val="center"/>
                  </w:pPr>
                  <w:r>
                    <w:t xml:space="preserve">5.70</w:t>
                  </w:r>
                </w:p>
              </w:tc>
              <w:tc>
                <w:tcPr/>
                <w:p>
                  <w:pPr>
                    <w:pStyle w:val="Compact"/>
                    <w:jc w:val="center"/>
                    <w:jc w:val="center"/>
                  </w:pPr>
                  <w:r>
                    <w:t xml:space="preserve">8.70</w:t>
                  </w:r>
                </w:p>
              </w:tc>
              <w:tc>
                <w:tcPr/>
                <w:p>
                  <w:pPr>
                    <w:pStyle w:val="Compact"/>
                    <w:jc w:val="center"/>
                    <w:jc w:val="center"/>
                  </w:pPr>
                  <w:r>
                    <w:t xml:space="preserve">0.74</w:t>
                  </w:r>
                </w:p>
              </w:tc>
              <w:tc>
                <w:tcPr/>
                <w:p>
                  <w:pPr>
                    <w:pStyle w:val="Compact"/>
                    <w:jc w:val="center"/>
                    <w:jc w:val="center"/>
                  </w:pPr>
                  <w:r>
                    <w:t xml:space="preserve">0.336</w:t>
                  </w:r>
                </w:p>
              </w:tc>
              <w:tc>
                <w:tcPr/>
                <w:p>
                  <w:pPr>
                    <w:pStyle w:val="Compact"/>
                    <w:jc w:val="center"/>
                    <w:jc w:val="center"/>
                  </w:pPr>
                  <w:r>
                    <w:t xml:space="preserve">0.239</w:t>
                  </w:r>
                </w:p>
              </w:tc>
              <w:tc>
                <w:tcPr/>
                <w:p>
                  <w:pPr>
                    <w:pStyle w:val="Compact"/>
                    <w:jc w:val="center"/>
                    <w:jc w:val="center"/>
                  </w:pPr>
                  <w:r>
                    <w:t xml:space="preserve">0.444</w:t>
                  </w:r>
                </w:p>
              </w:tc>
              <w:tc>
                <w:tcPr/>
                <w:p>
                  <w:pPr>
                    <w:pStyle w:val="Compact"/>
                    <w:jc w:val="center"/>
                    <w:jc w:val="center"/>
                  </w:pPr>
                  <w:r>
                    <w:t xml:space="preserve">0.051</w:t>
                  </w:r>
                </w:p>
              </w:tc>
            </w:tr>
            <w:tr>
              <w:tc>
                <w:tcPr/>
                <w:p>
                  <w:pPr>
                    <w:pStyle w:val="Compact"/>
                    <w:jc w:val="left"/>
                    <w:jc w:val="center"/>
                  </w:pPr>
                  <w:r>
                    <w:t xml:space="preserve">Aur-P2</w:t>
                  </w:r>
                </w:p>
              </w:tc>
              <w:tc>
                <w:tcPr/>
                <w:p>
                  <w:pPr>
                    <w:pStyle w:val="Compact"/>
                    <w:jc w:val="center"/>
                    <w:jc w:val="center"/>
                  </w:pPr>
                  <w:r>
                    <w:t xml:space="preserve">4.22</w:t>
                  </w:r>
                </w:p>
              </w:tc>
              <w:tc>
                <w:tcPr/>
                <w:p>
                  <w:pPr>
                    <w:pStyle w:val="Compact"/>
                    <w:jc w:val="center"/>
                    <w:jc w:val="center"/>
                  </w:pPr>
                  <w:r>
                    <w:t xml:space="preserve">3.33</w:t>
                  </w:r>
                </w:p>
              </w:tc>
              <w:tc>
                <w:tcPr/>
                <w:p>
                  <w:pPr>
                    <w:pStyle w:val="Compact"/>
                    <w:jc w:val="center"/>
                    <w:jc w:val="center"/>
                  </w:pPr>
                  <w:r>
                    <w:t xml:space="preserve">5.78</w:t>
                  </w:r>
                </w:p>
              </w:tc>
              <w:tc>
                <w:tcPr/>
                <w:p>
                  <w:pPr>
                    <w:pStyle w:val="Compact"/>
                    <w:jc w:val="center"/>
                    <w:jc w:val="center"/>
                  </w:pPr>
                  <w:r>
                    <w:t xml:space="preserve">0.62</w:t>
                  </w:r>
                </w:p>
              </w:tc>
              <w:tc>
                <w:tcPr/>
                <w:p>
                  <w:pPr>
                    <w:pStyle w:val="Compact"/>
                    <w:jc w:val="center"/>
                    <w:jc w:val="center"/>
                  </w:pPr>
                  <w:r>
                    <w:t xml:space="preserve">0.161</w:t>
                  </w:r>
                </w:p>
              </w:tc>
              <w:tc>
                <w:tcPr/>
                <w:p>
                  <w:pPr>
                    <w:pStyle w:val="Compact"/>
                    <w:jc w:val="center"/>
                    <w:jc w:val="center"/>
                  </w:pPr>
                  <w:r>
                    <w:t xml:space="preserve">0.081</w:t>
                  </w:r>
                </w:p>
              </w:tc>
              <w:tc>
                <w:tcPr/>
                <w:p>
                  <w:pPr>
                    <w:pStyle w:val="Compact"/>
                    <w:jc w:val="center"/>
                    <w:jc w:val="center"/>
                  </w:pPr>
                  <w:r>
                    <w:t xml:space="preserve">0.299</w:t>
                  </w:r>
                </w:p>
              </w:tc>
              <w:tc>
                <w:tcPr/>
                <w:p>
                  <w:pPr>
                    <w:pStyle w:val="Compact"/>
                    <w:jc w:val="center"/>
                    <w:jc w:val="center"/>
                  </w:pPr>
                  <w:r>
                    <w:t xml:space="preserve">0.045</w:t>
                  </w:r>
                </w:p>
              </w:tc>
            </w:tr>
          </w:tbl>
          <w:p>
            <w:pPr>
              <w:jc w:val="center"/>
            </w:pPr>
            <w:pPr>
              <w:jc w:val="start"/>
              <w:spacing w:before="200"/>
              <w:pStyle w:val="ImageCaption"/>
            </w:pPr>
            <w:r>
              <w:t xml:space="preserve">Table S 24: Object-within-site bootstrap stability bands for mean degree and modularity at threshold = 0.2, based on 999 resamples per phase. Observed is the statistic on the full data computed without rounding; 2.5% and 97.5% are quantiles of the raw bootstrap distribution; SD is the bootstrap standard deviation. Values are rounded for display only. These bands quantify stability to within-site object resampling, not confidence intervals for the true parameter: resampling drops rare signs, so a band may sit below or above its observed value. Site-with-replacement bootstrap is not used because it creates duplicate nodes with similarity 1 and distance 0, inflating degree (Roberts et al. 2021).</w:t>
            </w:r>
          </w:p>
          <w:bookmarkEnd w:id="129"/>
        </w:tc>
      </w:tr>
    </w:tbl>
    <w:tbl>
      <w:tblPr>
        <w:tblStyle w:val="Table"/>
        <w:tblW w:type="pct" w:w="5000"/>
        <w:tblLook w:firstRow="0" w:lastRow="0" w:firstColumn="0" w:lastColumn="0" w:noHBand="0" w:noVBand="0" w:val="0000"/>
        <w:jc w:val="start"/>
        <w:tblLayout w:type="fixed"/>
      </w:tblPr>
      <w:tblGrid>
        <w:gridCol w:w="7920"/>
      </w:tblGrid>
      <w:tr>
        <w:tc>
          <w:tcPr/>
          <w:bookmarkStart w:id="133" w:name="fig-bootstrap-dist"/>
          <w:p>
            <w:pPr>
              <w:pStyle w:val="Compact"/>
              <w:jc w:val="center"/>
            </w:pPr>
            <w:r>
              <w:drawing>
                <wp:inline>
                  <wp:extent cx="5943600" cy="4754880"/>
                  <wp:effectExtent b="0" l="0" r="0" t="0"/>
                  <wp:docPr descr="" title="" id="131" name="Picture"/>
                  <a:graphic>
                    <a:graphicData uri="http://schemas.openxmlformats.org/drawingml/2006/picture">
                      <pic:pic>
                        <pic:nvPicPr>
                          <pic:cNvPr descr="S1-supplement-sensitivity_files/figure-docx/fig-bootstrap-dist-1.png" id="132" name="Picture"/>
                          <pic:cNvPicPr>
                            <a:picLocks noChangeArrowheads="1" noChangeAspect="1"/>
                          </pic:cNvPicPr>
                        </pic:nvPicPr>
                        <pic:blipFill>
                          <a:blip r:embed="rId130"/>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6: Raw object-within-site bootstrap distributions (999 resamples per phase) for mean degree and modularity at threshold 0.2. Dashed lines mark the observed statistic on the full data; dotted lines mark the 2.5% and 97.5% quantiles. The distributions take many distinct values (see</w:t>
            </w:r>
            <w:r>
              <w:t xml:space="preserve"> </w:t>
            </w:r>
            <w:hyperlink w:anchor="tbl-bootstrap-ci">
              <w:r>
                <w:rPr>
                  <w:rStyle w:val="Hyperlink"/>
                </w:rPr>
                <w:t xml:space="preserve">Table S 24</w:t>
              </w:r>
            </w:hyperlink>
            <w:r>
              <w:t xml:space="preserve">); any offset between a band and its observed value reflects systematic rare-sign dropout under resampling, which is why the bands are read as stability checks rather than confidence intervals.</w:t>
            </w:r>
          </w:p>
          <w:bookmarkEnd w:id="133"/>
        </w:tc>
      </w:tr>
    </w:tbl>
    <w:p>
      <w:pPr>
        <w:pStyle w:val="BodyText"/>
      </w:pPr>
      <w:r>
        <w:t xml:space="preserve">The bands quantify stability to object sampling within sites: a narrow band means the observed statistic barely moves when objects are resampled within sites, while a wide band signals sensitivity to which objects were recovered. Bands are percentiles of the object-within-site bootstrap distribution (node identity preserved); they may sit off the observed statistic when resampling systematically gains or loses rare signs, and should be read alongside the observed value. Overlapping bands between phases mean the phase contrast could be produced by within-site object sampling alone, while non-overlapping bands would mean it could not; neither pattern is a significance test. An observed value outside its own band signals bootstrap bias rather than evidence for or against the point estimate.</w:t>
      </w:r>
    </w:p>
    <w:bookmarkEnd w:id="134"/>
    <w:bookmarkStart w:id="135" w:name="interpretation-7"/>
    <w:p>
      <w:pPr>
        <w:pStyle w:val="Heading3"/>
      </w:pPr>
      <w:r>
        <w:t xml:space="preserve">Interpretation</w:t>
      </w:r>
    </w:p>
    <w:p>
      <w:pPr>
        <w:pStyle w:val="FirstParagraph"/>
      </w:pPr>
      <w:r>
        <w:rPr>
          <w:bCs/>
          <w:b/>
        </w:rPr>
        <w:t xml:space="preserve">Question: are the Aur-P1 versus Aur-P2 mean-degree and modularity contrasts robust to object sampling within sites?</w:t>
      </w:r>
      <w:r>
        <w:t xml:space="preserve"> </w:t>
      </w:r>
      <w:r>
        <w:t xml:space="preserve">The object-within-site bootstrap bands show which main-text comparisons are robust to object sampling. For mean degree, the Aur-P1 observed 7.50 with band [5.70, 8.70] and Aur-P2 observed 4.22 with band [3.33, 5.78] overlap. Because the bands overlap, the bootstrap does not formally separate the two phases by the strict non-overlap criterion; the Aur-P1–Aur-P2 contrast is supported at the point-estimate level (Aur-P1 7.50 vs Aur-P2 4.22) but is not statistically decisive. Both observed values fall inside their own bands, and each band spans many distinct bootstrap values (41 distinct mean-degree values in Aur-P1, 16 in Aur-P2; 999 and 314 respectively for modularity), confirming the resampling explores a genuine distribution rather than a single point (</w:t>
      </w:r>
      <w:hyperlink w:anchor="fig-bootstrap-dist">
        <w:r>
          <w:rPr>
            <w:rStyle w:val="Hyperlink"/>
          </w:rPr>
          <w:t xml:space="preserve">Figure S 6</w:t>
        </w:r>
      </w:hyperlink>
      <w:r>
        <w:t xml:space="preserve">). 4 of 20 Aur-P1 sites and 4 of 9 Aur-P2 sites hold a single object and are therefore invariant under within-site resampling by construction; the band width comes from the remaining multi-object sites. For modularity, the bands overlap (Aur-P1 observed 0.336 band [0.239, 0.444] vs. Aur-P2 observed 0.161 band [0.081, 0.299]); the point-estimate difference (0.336 vs. 0.161) persists across the resampled replicates, but absolute values remain sensitive to threshold and small-P2 sample (9 sites) (see</w:t>
      </w:r>
      <w:r>
        <w:t xml:space="preserve"> </w:t>
      </w:r>
      <w:r>
        <w:t xml:space="preserve">Section S1.2.2.4</w:t>
      </w:r>
      <w:r>
        <w:t xml:space="preserve">).</w:t>
      </w:r>
    </w:p>
    <w:p>
      <w:pPr>
        <w:pStyle w:val="BodyText"/>
      </w:pPr>
      <w:r>
        <w:rPr>
          <w:bCs/>
          <w:b/>
        </w:rPr>
        <w:t xml:space="preserve">Implication for the main text.</w:t>
      </w:r>
      <w:r>
        <w:t xml:space="preserve"> </w:t>
      </w:r>
      <w:r>
        <w:t xml:space="preserve">Stability bands qualify but do not overturn the point-estimate contrasts; inference rests on the permutation tests.</w:t>
      </w:r>
    </w:p>
    <w:bookmarkEnd w:id="135"/>
    <w:bookmarkEnd w:id="136"/>
    <w:bookmarkStart w:id="140" w:name="sec-s7-4"/>
    <w:p>
      <w:pPr>
        <w:pStyle w:val="Heading2"/>
      </w:pPr>
      <w:r>
        <w:t xml:space="preserve">S1.7.5 Multiple-testing correction</w:t>
      </w:r>
    </w:p>
    <w:bookmarkStart w:id="138" w:name="rationale-9"/>
    <w:p>
      <w:pPr>
        <w:pStyle w:val="Heading3"/>
      </w:pPr>
      <w:r>
        <w:t xml:space="preserve">Rationale</w:t>
      </w:r>
    </w:p>
    <w:p>
      <w:pPr>
        <w:pStyle w:val="FirstParagraph"/>
      </w:pPr>
      <w:r>
        <w:t xml:space="preserve">The Mantel tests reported in</w:t>
      </w:r>
      <w:r>
        <w:t xml:space="preserve"> </w:t>
      </w:r>
      <w:hyperlink w:anchor="tbl-geodesic-mantel">
        <w:r>
          <w:rPr>
            <w:rStyle w:val="Hyperlink"/>
          </w:rPr>
          <w:t xml:space="preserve">Table S 6</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p>
      <w:pPr>
        <w:pStyle w:val="BodyText"/>
      </w:pPr>
      <w:r>
        <w:rPr>
          <w:bCs/>
          <w:b/>
        </w:rPr>
        <w:t xml:space="preserve">Question: does any Mantel correlation survive Benjamini-Hochberg correction for four tests?</w:t>
      </w:r>
    </w:p>
    <w:tbl>
      <w:tblPr>
        <w:tblStyle w:val="Table"/>
        <w:tblW w:type="pct" w:w="5000"/>
        <w:tblLook w:firstRow="0" w:lastRow="0" w:firstColumn="0" w:lastColumn="0" w:noHBand="0" w:noVBand="0" w:val="0000"/>
        <w:jc w:val="start"/>
        <w:tblLayout w:type="fixed"/>
      </w:tblPr>
      <w:tblGrid>
        <w:gridCol w:w="7920"/>
      </w:tblGrid>
      <w:tr>
        <w:tc>
          <w:tcPr/>
          <w:bookmarkStart w:id="137"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S 25: Mantel test p-values before and after Benjamini–Hochberg correction for multiple testing across 2 phases × 2 distance measures (4 tests total). Results with adjusted p &lt; 0.05 are highlighted.</w:t>
            </w:r>
          </w:p>
          <w:bookmarkEnd w:id="137"/>
        </w:tc>
      </w:tr>
    </w:tbl>
    <w:bookmarkEnd w:id="138"/>
    <w:bookmarkStart w:id="139" w:name="interpretation-8"/>
    <w:p>
      <w:pPr>
        <w:pStyle w:val="Heading3"/>
      </w:pPr>
      <w:r>
        <w:t xml:space="preserve">Interpretation</w:t>
      </w:r>
    </w:p>
    <w:p>
      <w:pPr>
        <w:pStyle w:val="FirstParagraph"/>
      </w:pPr>
      <w:r>
        <w:rPr>
          <w:bCs/>
          <w:b/>
        </w:rPr>
        <w:t xml:space="preserve">Question: does any Mantel correlation survive Benjamini-Hochberg correction for four tests?</w:t>
      </w:r>
      <w:r>
        <w:t xml:space="preserve"> </w:t>
      </w:r>
      <w:r>
        <w:t xml:space="preserve">No. 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p>
      <w:pPr>
        <w:pStyle w:val="BodyText"/>
      </w:pPr>
      <w:r>
        <w:rPr>
          <w:bCs/>
          <w:b/>
        </w:rPr>
        <w:t xml:space="preserve">Implication for the main text.</w:t>
      </w:r>
      <w:r>
        <w:t xml:space="preserve"> </w:t>
      </w:r>
      <w:r>
        <w:t xml:space="preserve">Correction does not change the null reading; no geographic correlation is claimed.</w:t>
      </w:r>
    </w:p>
    <w:bookmarkEnd w:id="139"/>
    <w:bookmarkEnd w:id="140"/>
    <w:bookmarkStart w:id="144" w:name="sec-s7-5"/>
    <w:p>
      <w:pPr>
        <w:pStyle w:val="Heading2"/>
      </w:pPr>
      <w:r>
        <w:t xml:space="preserve">S1.7.6 Size-normalised comparison</w:t>
      </w:r>
    </w:p>
    <w:bookmarkStart w:id="142" w:name="rationale-10"/>
    <w:p>
      <w:pPr>
        <w:pStyle w:val="Heading3"/>
      </w:pPr>
      <w:r>
        <w:t xml:space="preserve">Rationale</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p>
      <w:pPr>
        <w:pStyle w:val="BodyText"/>
      </w:pPr>
      <w:r>
        <w:rPr>
          <w:bCs/>
          <w:b/>
        </w:rPr>
        <w:t xml:space="preserve">Question: do mean-degree and modularity contrasts survive normalisation by size-matched random expectation?</w:t>
      </w:r>
    </w:p>
    <w:tbl>
      <w:tblPr>
        <w:tblStyle w:val="Table"/>
        <w:tblW w:type="pct" w:w="5000"/>
        <w:tblLook w:firstRow="0" w:lastRow="0" w:firstColumn="0" w:lastColumn="0" w:noHBand="0" w:noVBand="0" w:val="0000"/>
        <w:jc w:val="start"/>
        <w:tblLayout w:type="fixed"/>
      </w:tblPr>
      <w:tblGrid>
        <w:gridCol w:w="7920"/>
      </w:tblGrid>
      <w:tr>
        <w:tc>
          <w:tcPr/>
          <w:bookmarkStart w:id="141"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S 26: Network metrics normalised by size-matched Erdos-Renyi expectation. Ratio &gt; 1 indicates the observed value exceeds the random expectation for a network of the same size. ER mean and SD are based on 100 random graphs per phase.</w:t>
            </w:r>
          </w:p>
          <w:bookmarkEnd w:id="141"/>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bookmarkEnd w:id="142"/>
    <w:bookmarkStart w:id="143" w:name="interpretation-9"/>
    <w:p>
      <w:pPr>
        <w:pStyle w:val="Heading3"/>
      </w:pPr>
      <w:r>
        <w:t xml:space="preserve">Interpretation</w:t>
      </w:r>
    </w:p>
    <w:p>
      <w:pPr>
        <w:pStyle w:val="FirstParagraph"/>
      </w:pPr>
      <w:r>
        <w:rPr>
          <w:bCs/>
          <w:b/>
        </w:rPr>
        <w:t xml:space="preserve">Question: do mean-degree and modularity contrasts survive normalisation by size-matched random expectation?</w:t>
      </w:r>
      <w:r>
        <w:t xml:space="preserve"> </w:t>
      </w:r>
      <w:r>
        <w:t xml:space="preserve">Partly. The size-normalised results address a potential confound in the main-text phase comparison: because mean degree and modularity both scale with the number of nodes, the 20-site Aur-P1 network and the 9-site Aur-P2 network are not directly comparable on those raw measures. Each phase is benchmarked against an Erdos-Renyi random graph of the same size, so the ratios isolate structure beyond what node count alone produces.</w:t>
      </w:r>
    </w:p>
    <w:p>
      <w:pPr>
        <w:numPr>
          <w:ilvl w:val="0"/>
          <w:numId w:val="1007"/>
        </w:numPr>
        <w:pStyle w:val="Compact"/>
      </w:pPr>
      <w:r>
        <w:rPr>
          <w:bCs/>
          <w:b/>
        </w:rPr>
        <w:t xml:space="preserve">Mean degree.</w:t>
      </w:r>
      <w:r>
        <w:t xml:space="preserve"> </w:t>
      </w:r>
      <w:r>
        <w:t xml:space="preserve">The MD ratio is 1.00 for Aur-P1 and 1.01 for Aur-P2. Because the Erdos-Renyi benchmark preserves edge density, a ratio near 1 is expected and means each phase’s mean degree is fully accounted for by its size and wiring density. The raw gap (Aur-P1 7.50 vs Aur-P2 4.22) therefore reflects the 122% larger site sample in Aur-P1, not higher intrinsic connectivity. After size normalisation there is no evidence that Aur-P1 is more</w:t>
      </w:r>
      <w:r>
        <w:t xml:space="preserve"> </w:t>
      </w:r>
      <w:r>
        <w:t xml:space="preserve">“</w:t>
      </w:r>
      <w:r>
        <w:t xml:space="preserve">connected</w:t>
      </w:r>
      <w:r>
        <w:t xml:space="preserve">”</w:t>
      </w:r>
      <w:r>
        <w:t xml:space="preserve"> </w:t>
      </w:r>
      <w:r>
        <w:t xml:space="preserve">by degree, which is why the main text reports raw degree only descriptively and bases inference on the permutation tests.</w:t>
      </w:r>
    </w:p>
    <w:p>
      <w:pPr>
        <w:numPr>
          <w:ilvl w:val="0"/>
          <w:numId w:val="1007"/>
        </w:numPr>
        <w:pStyle w:val="Compact"/>
      </w:pPr>
      <w:r>
        <w:rPr>
          <w:bCs/>
          <w:b/>
        </w:rPr>
        <w:t xml:space="preserve">Modularity.</w:t>
      </w:r>
      <w:r>
        <w:t xml:space="preserve"> </w:t>
      </w:r>
      <w:r>
        <w:t xml:space="preserve">The Q ratio is 1.90 for Aur-P1 and 1.27 for Aur-P2, i.e. observed modularity exceeds the size-matched random expectation by about 90% in Aur-P1 and 27% in Aur-P2. Both phases therefore show modular structure that is not a mere size artefact. Aur-P1’s larger excess means its community structure is stronger than Aur-P2’s even after the 20-versus-9 site asymmetry is removed, so the phase difference in modularity is not a sample-size artefact; the Aur-P2 excess (1.27x) is modest and, with only 9 sites, should be read cautiously.</w:t>
      </w:r>
    </w:p>
    <w:p>
      <w:pPr>
        <w:pStyle w:val="FirstParagraph"/>
      </w:pPr>
      <w:r>
        <w:t xml:space="preserve">In short, size normalisation removes the mean-degree confound and confirms that the modularity-based claim of stronger community structure in Aur-P1 survives net of network size, whereas neither phase’s mean degree can be used as evidence of intrinsically higher connectivity.</w:t>
      </w:r>
    </w:p>
    <w:p>
      <w:pPr>
        <w:pStyle w:val="BodyText"/>
      </w:pPr>
      <w:r>
        <w:rPr>
          <w:bCs/>
          <w:b/>
        </w:rPr>
        <w:t xml:space="preserve">Implication for the main text.</w:t>
      </w:r>
      <w:r>
        <w:t xml:space="preserve"> </w:t>
      </w:r>
      <w:r>
        <w:t xml:space="preserve">The modularity contrast survives size normalisation.</w:t>
      </w:r>
    </w:p>
    <w:bookmarkEnd w:id="143"/>
    <w:bookmarkEnd w:id="144"/>
    <w:bookmarkEnd w:id="145"/>
    <w:bookmarkStart w:id="164" w:name="sec-s8"/>
    <w:p>
      <w:pPr>
        <w:pStyle w:val="Heading1"/>
      </w:pPr>
      <w:r>
        <w:t xml:space="preserve">S1.8 Space, Time, and Regional Drivers</w:t>
      </w:r>
    </w:p>
    <w:bookmarkStart w:id="146" w:name="sec-s8-rationale"/>
    <w:p>
      <w:pPr>
        <w:pStyle w:val="Heading2"/>
      </w:pPr>
      <w:r>
        <w:t xml:space="preserve">S1.8.1 Rationale</w:t>
      </w:r>
    </w:p>
    <w:p>
      <w:pPr>
        <w:pStyle w:val="FirstParagraph"/>
      </w:pPr>
      <w:r>
        <w:t xml:space="preserve">Geography, time, and regions test alternative drivers of sign dissimilarity. They do not test threshold or group existence. Three checks follow: multiple regression on distance matrices, time-lag turnover, and objective regional grouping. Each check states its questions in Rationale and answers them in Interpretation.</w:t>
      </w:r>
    </w:p>
    <w:bookmarkEnd w:id="146"/>
    <w:bookmarkStart w:id="149" w:name="sec-s8-1"/>
    <w:p>
      <w:pPr>
        <w:pStyle w:val="Heading2"/>
      </w:pPr>
      <w:r>
        <w:t xml:space="preserve">S1.8.2 Multiple regression on distance matrices</w:t>
      </w:r>
    </w:p>
    <w:bookmarkStart w:id="147" w:name="rationale-11"/>
    <w:p>
      <w:pPr>
        <w:pStyle w:val="Heading3"/>
      </w:pPr>
      <w:r>
        <w:t xml:space="preserve">Rationale</w:t>
      </w:r>
    </w:p>
    <w:p>
      <w:pPr>
        <w:pStyle w:val="FirstParagraph"/>
      </w:pPr>
      <w:r>
        <w:t xml:space="preserve">The Mantel tests establish that geographic distance is not significantly correlated with sign dissimilarity in either phase, but a non-significant result cannot by itself identify which alternative process — if any — generated the pattern. To split the variance of sign dissimilarity among the candidate drivers that are actually measured in the data, we fit a multiple regression on distance matrices (MRM;</w:t>
      </w:r>
      <w:r>
        <w:t xml:space="preserve"> </w:t>
      </w:r>
      <w:r>
        <w:t xml:space="preserve">[16]</w:t>
      </w:r>
      <w:r>
        <w:t xml:space="preserve">) in which the response is the Jaccard dissimilarity of sign presence/absence and the three predictors are, for every pair of sites, their geographic distance, their absolute temporal distance (|ΔMedianBP|), and their absolute difference in object count (a proxy for sampling effort). Each predictor is entered as a distance matrix so that all three are placed on a common pairwise footing. We fit the model separately for Aur-P1 and Aur-P2 to mirror the phase-specific Mantel tests, and we report the coefficient, permutation p-value, and 95% bootstrap confidence interval for each driver.</w:t>
      </w:r>
    </w:p>
    <w:p>
      <w:pPr>
        <w:pStyle w:val="BodyText"/>
      </w:pPr>
      <w:r>
        <w:rPr>
          <w:bCs/>
          <w:b/>
        </w:rPr>
        <w:t xml:space="preserve">Question: do geographic distance, temporal distance, and object-count difference jointly explain sign dissimilarity in either phase?</w:t>
      </w:r>
    </w:p>
    <w:bookmarkEnd w:id="147"/>
    <w:bookmarkStart w:id="148" w:name="interpretation-10"/>
    <w:p>
      <w:pPr>
        <w:pStyle w:val="Heading3"/>
      </w:pPr>
      <w:r>
        <w:t xml:space="preserve">Interpretation</w:t>
      </w:r>
    </w:p>
    <w:p>
      <w:pPr>
        <w:pStyle w:val="FirstParagraph"/>
      </w:pPr>
      <w:r>
        <w:rPr>
          <w:bCs/>
          <w:b/>
        </w:rPr>
        <w:t xml:space="preserve">Question: do geographic distance, temporal distance, and object-count difference jointly explain sign dissimilarity in either phase?</w:t>
      </w:r>
      <w:r>
        <w:t xml:space="preserve"> </w:t>
      </w:r>
      <w:r>
        <w:t xml:space="preserve">No. For Aur-P1 the MRM explains of the variance in sign dissimilarity; none of the three drivers is significant (geographic: β = 0.000, 95% CI [ NA, NA], p = 0.568; temporal: β = -0.000, 95% CI [ NA, NA], p = 0.420; object count: β = 0.027, 95% CI [ NA, NA], p = 0.408). Aur-P2 shows the same pattern (R² = ; geographic p = 0.194, temporal p = 0.537, object-count p = 0.493). Because no candidate driver reaches significance, the non-significant Mantel result does not identify any particular alternative process: it is consistent with several possibilities — including non-utilitarian mobility, aggregation, or independent invention — but demonstrates none of them. With only 9 sites, the Aur-P2 MRM is underpowered, so its non-significant coefficients should be read as indicative rather than conclusive; the substantive point is that the data contain no statistical evidence favouring one driver over another.</w:t>
      </w:r>
    </w:p>
    <w:p>
      <w:pPr>
        <w:pStyle w:val="BodyText"/>
      </w:pPr>
      <w:r>
        <w:rPr>
          <w:bCs/>
          <w:b/>
        </w:rPr>
        <w:t xml:space="preserve">Implication for the main text.</w:t>
      </w:r>
      <w:r>
        <w:t xml:space="preserve"> </w:t>
      </w:r>
      <w:r>
        <w:t xml:space="preserve">No measured driver explains the dissimilarity pattern; the null Mantel result points to no specific alternative process.</w:t>
      </w:r>
    </w:p>
    <w:bookmarkEnd w:id="148"/>
    <w:bookmarkEnd w:id="149"/>
    <w:bookmarkStart w:id="154" w:name="sec-s8-2"/>
    <w:p>
      <w:pPr>
        <w:pStyle w:val="Heading2"/>
      </w:pPr>
      <w:r>
        <w:t xml:space="preserve">S1.8.3 Time-lag check</w:t>
      </w:r>
    </w:p>
    <w:bookmarkStart w:id="150" w:name="rationale-12"/>
    <w:p>
      <w:pPr>
        <w:pStyle w:val="Heading3"/>
      </w:pPr>
      <w:r>
        <w:t xml:space="preserve">Rationale</w:t>
      </w:r>
    </w:p>
    <w:p>
      <w:pPr>
        <w:pStyle w:val="FirstParagraph"/>
      </w:pPr>
      <w:r>
        <w:t xml:space="preserve">The main text reports a temporal Mantel test in which sign dissimilarity is correlated with temporal distance (|ΔMedianBP|); that test is weakly but nominally significant (R ≈ 0.06, p ≈ 0.004) yet explains little variation, and it cannot demonstrate whether substantial change in sign types did or did not occur through time. A single global Mantel R is also indirect: it asks whether time and composition co-vary on average, not whether sites</w:t>
      </w:r>
      <w:r>
        <w:t xml:space="preserve"> </w:t>
      </w:r>
      <w:r>
        <w:rPr>
          <w:iCs/>
          <w:i/>
        </w:rPr>
        <w:t xml:space="preserve">further apart in time</w:t>
      </w:r>
      <w:r>
        <w:t xml:space="preserve"> </w:t>
      </w:r>
      <w:r>
        <w:t xml:space="preserve">have</w:t>
      </w:r>
      <w:r>
        <w:t xml:space="preserve"> </w:t>
      </w:r>
      <w:r>
        <w:rPr>
          <w:iCs/>
          <w:i/>
        </w:rPr>
        <w:t xml:space="preserve">more dissimilar</w:t>
      </w:r>
      <w:r>
        <w:t xml:space="preserve"> </w:t>
      </w:r>
      <w:r>
        <w:t xml:space="preserve">repertoires. To test temporal turnover more directly we ask three specific questions:</w:t>
      </w:r>
    </w:p>
    <w:p>
      <w:pPr>
        <w:pStyle w:val="BodyText"/>
      </w:pPr>
      <w:r>
        <w:rPr>
          <w:bCs/>
          <w:b/>
        </w:rPr>
        <w:t xml:space="preserve">Question: does sign dissimilarity increase with temporal lag?</w:t>
      </w:r>
      <w:r>
        <w:t xml:space="preserve"> </w:t>
      </w:r>
      <w:r>
        <w:t xml:space="preserve">We bin all site pairs by their absolute temporal separation (|ΔMedianBP|) and ask whether mean Jaccard dissimilarity of sign presence/absence rises as the lag grows — the signature of gradual compositional change through time.</w:t>
      </w:r>
    </w:p>
    <w:p>
      <w:pPr>
        <w:pStyle w:val="BodyText"/>
      </w:pPr>
      <w:r>
        <w:rPr>
          <w:bCs/>
          <w:b/>
        </w:rPr>
        <w:t xml:space="preserve">Question: is any time signal driven by the between-phase gap or by gradual within-phase change?</w:t>
      </w:r>
      <w:r>
        <w:t xml:space="preserve"> </w:t>
      </w:r>
      <w:r>
        <w:t xml:space="preserve">Because the two-phase scheme pools spans of several millennia, most temporal variance in a pooled sample is the ~5 ka gap between Aur-P1 and Aur-P2. We therefore separate within-phase pairs (gradual change) from between-phase pairs (the phase boundary) and test the lag–dissimilarity trend in each.</w:t>
      </w:r>
    </w:p>
    <w:p>
      <w:pPr>
        <w:pStyle w:val="BodyText"/>
      </w:pPr>
      <w:r>
        <w:rPr>
          <w:bCs/>
          <w:b/>
        </w:rPr>
        <w:t xml:space="preserve">Question: how should a flat or null trend be interpreted?</w:t>
      </w:r>
      <w:r>
        <w:t xml:space="preserve"> </w:t>
      </w:r>
      <w:r>
        <w:t xml:space="preserve">We state explicitly whether a non-significant result establishes absence of change, or merely a lack of evidence, given the small sample and time-averaging.</w:t>
      </w:r>
    </w:p>
    <w:bookmarkEnd w:id="150"/>
    <w:bookmarkStart w:id="152" w:name="analysis-2"/>
    <w:p>
      <w:pPr>
        <w:pStyle w:val="Heading3"/>
      </w:pPr>
      <w:r>
        <w:t xml:space="preserve">Analysis</w:t>
      </w:r>
    </w:p>
    <w:p>
      <w:pPr>
        <w:pStyle w:val="FirstParagraph"/>
      </w:pPr>
      <w:r>
        <w:t xml:space="preserve">We aggregate the cleaned object-level data to</w:t>
      </w:r>
      <w:r>
        <w:t xml:space="preserve"> </w:t>
      </w:r>
      <w:r>
        <w:rPr>
          <w:bCs/>
          <w:b/>
        </w:rPr>
        <w:t xml:space="preserve">site level</w:t>
      </w:r>
      <w:r>
        <w:t xml:space="preserve">: for each of the 28 sites we record the presence/absence of every sign type (any object at the site carrying the sign counts as present) and a single calibrated age taken as the median</w:t>
      </w:r>
      <w:r>
        <w:t xml:space="preserve"> </w:t>
      </w:r>
      <w:r>
        <w:rPr>
          <w:rStyle w:val="VerbatimChar"/>
        </w:rPr>
        <w:t xml:space="preserve">MedianBP</w:t>
      </w:r>
      <w:r>
        <w:t xml:space="preserve"> </w:t>
      </w:r>
      <w:r>
        <w:t xml:space="preserve">(years BP) across the site’s objects. Pairwise Jaccard dissimilarity of the binary sign vectors and the absolute temporal lag |ΔMedianBP| (converted to ka) are computed for all 378 unordered site pairs. The lag–dissimilarity trend is tested with Spearman rank correlation, overall and restricted to within-phase pairs, and summarised in temporal-lag bins.</w:t>
      </w:r>
    </w:p>
    <w:tbl>
      <w:tblPr>
        <w:tblStyle w:val="Table"/>
        <w:tblW w:type="pct" w:w="5000"/>
        <w:tblLook w:firstRow="0" w:lastRow="0" w:firstColumn="0" w:lastColumn="0" w:noHBand="0" w:noVBand="0" w:val="0000"/>
        <w:jc w:val="start"/>
        <w:tblLayout w:type="fixed"/>
      </w:tblPr>
      <w:tblGrid>
        <w:gridCol w:w="7920"/>
      </w:tblGrid>
      <w:tr>
        <w:tc>
          <w:tcPr/>
          <w:bookmarkStart w:id="151" w:name="tbl-ts-lag"/>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lag_bin</w:t>
                  </w:r>
                </w:p>
              </w:tc>
              <w:tc>
                <w:tcPr/>
                <w:p>
                  <w:pPr>
                    <w:pStyle w:val="Compact"/>
                    <w:jc w:val="right"/>
                    <w:jc w:val="center"/>
                  </w:pPr>
                  <w:r>
                    <w:t xml:space="preserve">Pairs</w:t>
                  </w:r>
                </w:p>
              </w:tc>
              <w:tc>
                <w:tcPr/>
                <w:p>
                  <w:pPr>
                    <w:pStyle w:val="Compact"/>
                    <w:jc w:val="right"/>
                    <w:jc w:val="center"/>
                  </w:pPr>
                  <w:r>
                    <w:t xml:space="preserve">Mean Jaccard dissimilarity</w:t>
                  </w:r>
                </w:p>
              </w:tc>
              <w:tc>
                <w:tcPr/>
                <w:p>
                  <w:pPr>
                    <w:pStyle w:val="Compact"/>
                    <w:jc w:val="right"/>
                    <w:jc w:val="center"/>
                  </w:pPr>
                  <w:r>
                    <w:t xml:space="preserve">SD</w:t>
                  </w:r>
                </w:p>
              </w:tc>
            </w:tr>
            <w:tr>
              <w:tc>
                <w:tcPr/>
                <w:p>
                  <w:pPr>
                    <w:pStyle w:val="Compact"/>
                    <w:jc w:val="left"/>
                    <w:jc w:val="center"/>
                  </w:pPr>
                  <w:r>
                    <w:t xml:space="preserve">[0,2]</w:t>
                  </w:r>
                </w:p>
              </w:tc>
              <w:tc>
                <w:tcPr/>
                <w:p>
                  <w:pPr>
                    <w:pStyle w:val="Compact"/>
                    <w:jc w:val="right"/>
                    <w:jc w:val="center"/>
                  </w:pPr>
                  <w:r>
                    <w:t xml:space="preserve">153</w:t>
                  </w:r>
                </w:p>
              </w:tc>
              <w:tc>
                <w:tcPr/>
                <w:p>
                  <w:pPr>
                    <w:pStyle w:val="Compact"/>
                    <w:jc w:val="right"/>
                    <w:jc w:val="center"/>
                  </w:pPr>
                  <w:r>
                    <w:t xml:space="preserve">0.768</w:t>
                  </w:r>
                </w:p>
              </w:tc>
              <w:tc>
                <w:tcPr/>
                <w:p>
                  <w:pPr>
                    <w:pStyle w:val="Compact"/>
                    <w:jc w:val="right"/>
                    <w:jc w:val="center"/>
                  </w:pPr>
                  <w:r>
                    <w:t xml:space="preserve">0.220</w:t>
                  </w:r>
                </w:p>
              </w:tc>
            </w:tr>
            <w:tr>
              <w:tc>
                <w:tcPr/>
                <w:p>
                  <w:pPr>
                    <w:pStyle w:val="Compact"/>
                    <w:jc w:val="left"/>
                    <w:jc w:val="center"/>
                  </w:pPr>
                  <w:r>
                    <w:t xml:space="preserve">(2,4]</w:t>
                  </w:r>
                </w:p>
              </w:tc>
              <w:tc>
                <w:tcPr/>
                <w:p>
                  <w:pPr>
                    <w:pStyle w:val="Compact"/>
                    <w:jc w:val="right"/>
                    <w:jc w:val="center"/>
                  </w:pPr>
                  <w:r>
                    <w:t xml:space="preserve">109</w:t>
                  </w:r>
                </w:p>
              </w:tc>
              <w:tc>
                <w:tcPr/>
                <w:p>
                  <w:pPr>
                    <w:pStyle w:val="Compact"/>
                    <w:jc w:val="right"/>
                    <w:jc w:val="center"/>
                  </w:pPr>
                  <w:r>
                    <w:t xml:space="preserve">0.761</w:t>
                  </w:r>
                </w:p>
              </w:tc>
              <w:tc>
                <w:tcPr/>
                <w:p>
                  <w:pPr>
                    <w:pStyle w:val="Compact"/>
                    <w:jc w:val="right"/>
                    <w:jc w:val="center"/>
                  </w:pPr>
                  <w:r>
                    <w:t xml:space="preserve">0.233</w:t>
                  </w:r>
                </w:p>
              </w:tc>
            </w:tr>
            <w:tr>
              <w:tc>
                <w:tcPr/>
                <w:p>
                  <w:pPr>
                    <w:pStyle w:val="Compact"/>
                    <w:jc w:val="left"/>
                    <w:jc w:val="center"/>
                  </w:pPr>
                  <w:r>
                    <w:t xml:space="preserve">(4,6]</w:t>
                  </w:r>
                </w:p>
              </w:tc>
              <w:tc>
                <w:tcPr/>
                <w:p>
                  <w:pPr>
                    <w:pStyle w:val="Compact"/>
                    <w:jc w:val="right"/>
                    <w:jc w:val="center"/>
                  </w:pPr>
                  <w:r>
                    <w:t xml:space="preserve">68</w:t>
                  </w:r>
                </w:p>
              </w:tc>
              <w:tc>
                <w:tcPr/>
                <w:p>
                  <w:pPr>
                    <w:pStyle w:val="Compact"/>
                    <w:jc w:val="right"/>
                    <w:jc w:val="center"/>
                  </w:pPr>
                  <w:r>
                    <w:t xml:space="preserve">0.693</w:t>
                  </w:r>
                </w:p>
              </w:tc>
              <w:tc>
                <w:tcPr/>
                <w:p>
                  <w:pPr>
                    <w:pStyle w:val="Compact"/>
                    <w:jc w:val="right"/>
                    <w:jc w:val="center"/>
                  </w:pPr>
                  <w:r>
                    <w:t xml:space="preserve">0.295</w:t>
                  </w:r>
                </w:p>
              </w:tc>
            </w:tr>
            <w:tr>
              <w:tc>
                <w:tcPr/>
                <w:p>
                  <w:pPr>
                    <w:pStyle w:val="Compact"/>
                    <w:jc w:val="left"/>
                    <w:jc w:val="center"/>
                  </w:pPr>
                  <w:r>
                    <w:t xml:space="preserve">(6,8]</w:t>
                  </w:r>
                </w:p>
              </w:tc>
              <w:tc>
                <w:tcPr/>
                <w:p>
                  <w:pPr>
                    <w:pStyle w:val="Compact"/>
                    <w:jc w:val="right"/>
                    <w:jc w:val="center"/>
                  </w:pPr>
                  <w:r>
                    <w:t xml:space="preserve">35</w:t>
                  </w:r>
                </w:p>
              </w:tc>
              <w:tc>
                <w:tcPr/>
                <w:p>
                  <w:pPr>
                    <w:pStyle w:val="Compact"/>
                    <w:jc w:val="right"/>
                    <w:jc w:val="center"/>
                  </w:pPr>
                  <w:r>
                    <w:t xml:space="preserve">0.766</w:t>
                  </w:r>
                </w:p>
              </w:tc>
              <w:tc>
                <w:tcPr/>
                <w:p>
                  <w:pPr>
                    <w:pStyle w:val="Compact"/>
                    <w:jc w:val="right"/>
                    <w:jc w:val="center"/>
                  </w:pPr>
                  <w:r>
                    <w:t xml:space="preserve">0.256</w:t>
                  </w:r>
                </w:p>
              </w:tc>
            </w:tr>
            <w:tr>
              <w:tc>
                <w:tcPr/>
                <w:p>
                  <w:pPr>
                    <w:pStyle w:val="Compact"/>
                    <w:jc w:val="left"/>
                    <w:jc w:val="center"/>
                  </w:pPr>
                  <w:r>
                    <w:t xml:space="preserve">(8,10]</w:t>
                  </w:r>
                </w:p>
              </w:tc>
              <w:tc>
                <w:tcPr/>
                <w:p>
                  <w:pPr>
                    <w:pStyle w:val="Compact"/>
                    <w:jc w:val="right"/>
                    <w:jc w:val="center"/>
                  </w:pPr>
                  <w:r>
                    <w:t xml:space="preserve">10</w:t>
                  </w:r>
                </w:p>
              </w:tc>
              <w:tc>
                <w:tcPr/>
                <w:p>
                  <w:pPr>
                    <w:pStyle w:val="Compact"/>
                    <w:jc w:val="right"/>
                    <w:jc w:val="center"/>
                  </w:pPr>
                  <w:r>
                    <w:t xml:space="preserve">0.638</w:t>
                  </w:r>
                </w:p>
              </w:tc>
              <w:tc>
                <w:tcPr/>
                <w:p>
                  <w:pPr>
                    <w:pStyle w:val="Compact"/>
                    <w:jc w:val="right"/>
                    <w:jc w:val="center"/>
                  </w:pPr>
                  <w:r>
                    <w:t xml:space="preserve">0.359</w:t>
                  </w:r>
                </w:p>
              </w:tc>
            </w:tr>
            <w:tr>
              <w:tc>
                <w:tcPr/>
                <w:p>
                  <w:pPr>
                    <w:pStyle w:val="Compact"/>
                    <w:jc w:val="left"/>
                    <w:jc w:val="center"/>
                  </w:pPr>
                  <w:r>
                    <w:t xml:space="preserve">(10,12]</w:t>
                  </w:r>
                </w:p>
              </w:tc>
              <w:tc>
                <w:tcPr/>
                <w:p>
                  <w:pPr>
                    <w:pStyle w:val="Compact"/>
                    <w:jc w:val="right"/>
                    <w:jc w:val="center"/>
                  </w:pPr>
                  <w:r>
                    <w:t xml:space="preserve">3</w:t>
                  </w:r>
                </w:p>
              </w:tc>
              <w:tc>
                <w:tcPr/>
                <w:p>
                  <w:pPr>
                    <w:pStyle w:val="Compact"/>
                    <w:jc w:val="right"/>
                    <w:jc w:val="center"/>
                  </w:pPr>
                  <w:r>
                    <w:t xml:space="preserve">0.625</w:t>
                  </w:r>
                </w:p>
              </w:tc>
              <w:tc>
                <w:tcPr/>
                <w:p>
                  <w:pPr>
                    <w:pStyle w:val="Compact"/>
                    <w:jc w:val="right"/>
                    <w:jc w:val="center"/>
                  </w:pPr>
                  <w:r>
                    <w:t xml:space="preserve">0.545</w:t>
                  </w:r>
                </w:p>
              </w:tc>
            </w:tr>
          </w:tbl>
          <w:p>
            <w:pPr>
              <w:jc w:val="center"/>
            </w:pPr>
            <w:pPr>
              <w:jc w:val="start"/>
              <w:spacing w:before="200"/>
              <w:pStyle w:val="ImageCaption"/>
            </w:pPr>
            <w:r>
              <w:t xml:space="preserve">Table S 27: Mean Jaccard dissimilarity of geometric-sign repertoires by temporal-lag class (absolute |ΔMedianBP| between site pairs, in ka). Each row pools all site pairs whose temporal separation falls in the bin; Pairs is the number of site pairs; Mean Jaccard dissimilarity is the average over those pairs.</w:t>
            </w:r>
          </w:p>
          <w:bookmarkEnd w:id="151"/>
        </w:tc>
      </w:tr>
    </w:tbl>
    <w:bookmarkEnd w:id="152"/>
    <w:bookmarkStart w:id="153" w:name="interpretation-11"/>
    <w:p>
      <w:pPr>
        <w:pStyle w:val="Heading3"/>
      </w:pPr>
      <w:r>
        <w:t xml:space="preserve">Interpretation</w:t>
      </w:r>
    </w:p>
    <w:p>
      <w:pPr>
        <w:pStyle w:val="FirstParagraph"/>
      </w:pPr>
      <w:r>
        <w:rPr>
          <w:bCs/>
          <w:b/>
        </w:rPr>
        <w:t xml:space="preserve">Question: does sign dissimilarity increase with temporal lag?</w:t>
      </w:r>
      <w:r>
        <w:t xml:space="preserve"> </w:t>
      </w:r>
      <w:r>
        <w:t xml:space="preserve">No. Across all 378 site pairs the Spearman correlation between temporal lag (|ΔMedianBP|, ka) and Jaccard sign dissimilarity is -0.045 (p = 0.387) — essentially zero and non-significant — so dissimilarity does not rise as sites become more separated in time. The binned means are flat and non-monotonic (</w:t>
      </w:r>
      <w:hyperlink w:anchor="tbl-ts-lag">
        <w:r>
          <w:rPr>
            <w:rStyle w:val="Hyperlink"/>
          </w:rPr>
          <w:t xml:space="preserve">Table S 27</w:t>
        </w:r>
      </w:hyperlink>
      <w:r>
        <w:t xml:space="preserve">): mean dissimilarity is 0.768 at the shortest lags (0–2 ka) and shows no orderly increase at longer lags; the highest-lag bin ((10,12], only 3 pairs) is too sparsely sampled to support any trend. As a more direct test of temporal turnover than the single global temporal Mantel, this analysis finds no evidence that sign repertoires became more dissimilar with time.</w:t>
      </w:r>
    </w:p>
    <w:p>
      <w:pPr>
        <w:pStyle w:val="BodyText"/>
      </w:pPr>
      <w:r>
        <w:rPr>
          <w:bCs/>
          <w:b/>
        </w:rPr>
        <w:t xml:space="preserve">Question: is any time signal driven by the between-phase gap or by gradual within-phase change?</w:t>
      </w:r>
      <w:r>
        <w:t xml:space="preserve"> </w:t>
      </w:r>
      <w:r>
        <w:t xml:space="preserve">The time signal is absent in both components. Within-phase pairs (mean lag 2.12 ka) give ρ = -0.038 (p = 0.583), again flat. The between-phase gap dominates the temporal variance in the pooled sample — between-phase pairs have a mean lag of 4.25 ka, roughly double the within-phase mean — yet between-phase pairs are if anything slightly</w:t>
      </w:r>
      <w:r>
        <w:t xml:space="preserve"> </w:t>
      </w:r>
      <w:r>
        <w:rPr>
          <w:iCs/>
          <w:i/>
        </w:rPr>
        <w:t xml:space="preserve">less</w:t>
      </w:r>
      <w:r>
        <w:t xml:space="preserve"> </w:t>
      </w:r>
      <w:r>
        <w:t xml:space="preserve">dissimilar (mean Jaccard 0.727) than within-phase pairs (mean Jaccard 0.765). The ~5 ka phase boundary therefore does not impose a temporal-turnover signal: sites in different phases are no more dissimilar in sign repertoire than sites within the same phase. This also clarifies the main-text temporal Mantel, which was weakly but nominally significant (R ≈ 0.06, p ≈ 0.004) only because it pairs 438 objects that largely share a site</w:t>
      </w:r>
      <w:r>
        <w:t xml:space="preserve"> </w:t>
      </w:r>
      <w:r>
        <w:rPr>
          <w:rStyle w:val="VerbatimChar"/>
        </w:rPr>
        <w:t xml:space="preserve">MedianBP</w:t>
      </w:r>
      <w:r>
        <w:t xml:space="preserve">, inflating the effective sample; at the site level, where each age is measured once, no monotonic time trend remains.</w:t>
      </w:r>
    </w:p>
    <w:p>
      <w:pPr>
        <w:pStyle w:val="BodyText"/>
      </w:pPr>
      <w:r>
        <w:rPr>
          <w:bCs/>
          <w:b/>
        </w:rPr>
        <w:t xml:space="preserve">Question: how should a flat or null trend be interpreted?</w:t>
      </w:r>
      <w:r>
        <w:t xml:space="preserve"> </w:t>
      </w:r>
      <w:r>
        <w:t xml:space="preserve">A null result here cannot establish that substantial change did</w:t>
      </w:r>
      <w:r>
        <w:t xml:space="preserve"> </w:t>
      </w:r>
      <w:r>
        <w:rPr>
          <w:iCs/>
          <w:i/>
        </w:rPr>
        <w:t xml:space="preserve">not</w:t>
      </w:r>
      <w:r>
        <w:t xml:space="preserve"> </w:t>
      </w:r>
      <w:r>
        <w:t xml:space="preserve">occur. The test is underpowered — only 28 sites (19 in Aur-P1, 9 in Aur-P2) yielding 378 pairs — each phase spans several millennia and each site is collapsed to a single</w:t>
      </w:r>
      <w:r>
        <w:t xml:space="preserve"> </w:t>
      </w:r>
      <w:r>
        <w:rPr>
          <w:rStyle w:val="VerbatimChar"/>
        </w:rPr>
        <w:t xml:space="preserve">MedianBP</w:t>
      </w:r>
      <w:r>
        <w:t xml:space="preserve"> </w:t>
      </w:r>
      <w:r>
        <w:t xml:space="preserve">with large calibrated errors (time-averaging), and genuine change could be non-monotonic (signs appearing and later disappearing) or additive (later sites retaining earlier repertoires while adding new ones), either of which would leave Jaccard dissimilarity nearly constant. The lag analysis therefore shows only that the data contain</w:t>
      </w:r>
      <w:r>
        <w:t xml:space="preserve"> </w:t>
      </w:r>
      <w:r>
        <w:rPr>
          <w:iCs/>
          <w:i/>
        </w:rPr>
        <w:t xml:space="preserve">no strong evidence</w:t>
      </w:r>
      <w:r>
        <w:t xml:space="preserve"> </w:t>
      </w:r>
      <w:r>
        <w:t xml:space="preserve">of time-structured change in sign repertoires; it does</w:t>
      </w:r>
      <w:r>
        <w:t xml:space="preserve"> </w:t>
      </w:r>
      <w:r>
        <w:rPr>
          <w:bCs/>
          <w:b/>
        </w:rPr>
        <w:t xml:space="preserve">not</w:t>
      </w:r>
      <w:r>
        <w:t xml:space="preserve"> </w:t>
      </w:r>
      <w:r>
        <w:t xml:space="preserve">demonstrate the absence of change. This is consistent with the corrected temporal-Mantel wording in the main text and with the</w:t>
      </w:r>
      <w:r>
        <w:t xml:space="preserve"> </w:t>
      </w:r>
      <w:r>
        <w:t xml:space="preserve">Section S1.8.2</w:t>
      </w:r>
      <w:r>
        <w:t xml:space="preserve"> </w:t>
      </w:r>
      <w:r>
        <w:t xml:space="preserve">multiple regression, both of which conclude that temporal distance explains little of the variation in sign composition and cannot establish whether substantial change did or did not occur.</w:t>
      </w:r>
    </w:p>
    <w:p>
      <w:pPr>
        <w:pStyle w:val="BodyText"/>
      </w:pPr>
      <w:r>
        <w:rPr>
          <w:bCs/>
          <w:b/>
        </w:rPr>
        <w:t xml:space="preserve">Implication for the main text.</w:t>
      </w:r>
      <w:r>
        <w:t xml:space="preserve"> </w:t>
      </w:r>
      <w:r>
        <w:t xml:space="preserve">Time does not structure dissimilarity at site level; the flat trend is lack of evidence, not evidence of absence.</w:t>
      </w:r>
    </w:p>
    <w:bookmarkEnd w:id="153"/>
    <w:bookmarkEnd w:id="154"/>
    <w:bookmarkStart w:id="163" w:name="sec-s8-3"/>
    <w:p>
      <w:pPr>
        <w:pStyle w:val="Heading2"/>
      </w:pPr>
      <w:r>
        <w:t xml:space="preserve">S1.8.4 Objective regional grouping</w:t>
      </w:r>
    </w:p>
    <w:bookmarkStart w:id="161" w:name="rationale-13"/>
    <w:p>
      <w:pPr>
        <w:pStyle w:val="Heading3"/>
      </w:pPr>
      <w:r>
        <w:t xml:space="preserve">Rationale</w:t>
      </w:r>
    </w:p>
    <w:p>
      <w:pPr>
        <w:pStyle w:val="FirstParagraph"/>
      </w:pPr>
      <w:r>
        <w:t xml:space="preserve">If Aurignacian signs were regionally structured in the Vanhaeren 14-group sense, a geography-first partition should explain Jaccard variation. We run the discovery with</w:t>
      </w:r>
      <w:r>
        <w:t xml:space="preserve"> </w:t>
      </w:r>
      <w:r>
        <w:rPr>
          <w:rStyle w:val="VerbatimChar"/>
        </w:rPr>
        <w:t xml:space="preserve">PAM</w:t>
      </w:r>
      <w:r>
        <w:t xml:space="preserve"> </w:t>
      </w:r>
      <w:r>
        <w:t xml:space="preserve">(k-medoids) on geodesic kilometres (</w:t>
      </w:r>
      <w:r>
        <w:rPr>
          <w:rStyle w:val="VerbatimChar"/>
        </w:rPr>
        <w:t xml:space="preserve">sf::st_distance</w:t>
      </w:r>
      <w:r>
        <w:t xml:space="preserve">) as primary and report</w:t>
      </w:r>
      <w:r>
        <w:t xml:space="preserve"> </w:t>
      </w:r>
      <w:r>
        <w:rPr>
          <w:rStyle w:val="VerbatimChar"/>
        </w:rPr>
        <w:t xml:space="preserve">k-means</w:t>
      </w:r>
      <w:r>
        <w:t xml:space="preserve"> </w:t>
      </w:r>
      <w:r>
        <w:t xml:space="preserve">on flat</w:t>
      </w:r>
      <w:r>
        <w:t xml:space="preserve"> </w:t>
      </w:r>
      <w:r>
        <w:rPr>
          <w:rStyle w:val="VerbatimChar"/>
        </w:rPr>
        <w:t xml:space="preserve">cbind(lon, lat)</w:t>
      </w:r>
      <w:r>
        <w:t xml:space="preserve"> </w:t>
      </w:r>
      <w:r>
        <w:t xml:space="preserve">as a one-line sensitivity. We test</w:t>
      </w:r>
      <w:r>
        <w:t xml:space="preserve"> </w:t>
      </w:r>
      <w:r>
        <w:rPr>
          <w:rStyle w:val="VerbatimChar"/>
        </w:rPr>
        <w:t xml:space="preserve">k=2..5</w:t>
      </w:r>
      <w:r>
        <w:t xml:space="preserve"> </w:t>
      </w:r>
      <w:r>
        <w:t xml:space="preserve">(k=4,5 in Aur-P2,</w:t>
      </w:r>
      <w:r>
        <w:t xml:space="preserve"> </w:t>
      </w:r>
      <w:r>
        <w:rPr>
          <w:rStyle w:val="VerbatimChar"/>
        </w:rPr>
        <w:t xml:space="preserve">n=9</w:t>
      </w:r>
      <w:r>
        <w:t xml:space="preserve">, inevitably leaves singleton regions and is flagged unstable). For context the</w:t>
      </w:r>
      <w:r>
        <w:t xml:space="preserve"> </w:t>
      </w:r>
      <w:r>
        <w:rPr>
          <w:rStyle w:val="VerbatimChar"/>
        </w:rPr>
        <w:t xml:space="preserve">country</w:t>
      </w:r>
      <w:r>
        <w:t xml:space="preserve"> </w:t>
      </w:r>
      <w:r>
        <w:t xml:space="preserve">row is retained as sensitivity only.</w:t>
      </w:r>
    </w:p>
    <w:p>
      <w:pPr>
        <w:pStyle w:val="BodyText"/>
      </w:pPr>
      <w:r>
        <w:rPr>
          <w:bCs/>
          <w:b/>
        </w:rPr>
        <w:t xml:space="preserve">Question: does a geography-first regional partition explain sign-composition variation in either phase?</w:t>
      </w:r>
    </w:p>
    <w:tbl>
      <w:tblPr>
        <w:tblStyle w:val="Table"/>
        <w:tblW w:type="pct" w:w="5000"/>
        <w:tblLook w:firstRow="0" w:lastRow="0" w:firstColumn="0" w:lastColumn="0" w:noHBand="0" w:noVBand="0" w:val="0000"/>
        <w:jc w:val="start"/>
        <w:tblLayout w:type="fixed"/>
      </w:tblPr>
      <w:tblGrid>
        <w:gridCol w:w="7920"/>
      </w:tblGrid>
      <w:tr>
        <w:tc>
          <w:tcPr/>
          <w:bookmarkStart w:id="155" w:name="tbl-region-silhouette"/>
          <w:tbl>
            <w:tblPr>
              <w:tblStyle w:val="Table"/>
              <w:tblW w:type="pct" w:w="5000"/>
              <w:tblLook w:firstRow="1" w:lastRow="0" w:firstColumn="0" w:lastColumn="0" w:noHBand="0" w:noVBand="0" w:val="0020"/>
              <w:jc w:val="start"/>
              <w:tblLayout w:type="fixed"/>
            </w:tblPr>
            <w:tblGrid>
              <w:gridCol w:w="815"/>
              <w:gridCol w:w="1514"/>
              <w:gridCol w:w="349"/>
              <w:gridCol w:w="1980"/>
              <w:gridCol w:w="2096"/>
              <w:gridCol w:w="1164"/>
            </w:tblGrid>
            <w:tr>
              <w:trPr>
                <w:tblHeader w:val="true"/>
              </w:trPr>
              <w:tc>
                <w:tcPr/>
                <w:p>
                  <w:pPr>
                    <w:pStyle w:val="Compact"/>
                    <w:jc w:val="left"/>
                    <w:jc w:val="center"/>
                  </w:pPr>
                  <w:r>
                    <w:t xml:space="preserve">Phase</w:t>
                  </w:r>
                </w:p>
              </w:tc>
              <w:tc>
                <w:tcPr/>
                <w:p>
                  <w:pPr>
                    <w:pStyle w:val="Compact"/>
                    <w:jc w:val="left"/>
                    <w:jc w:val="center"/>
                  </w:pPr>
                  <w:r>
                    <w:t xml:space="preserve">Method</w:t>
                  </w:r>
                </w:p>
              </w:tc>
              <w:tc>
                <w:tcPr/>
                <w:p>
                  <w:pPr>
                    <w:pStyle w:val="Compact"/>
                    <w:jc w:val="center"/>
                    <w:jc w:val="center"/>
                  </w:pPr>
                  <w:r>
                    <w:t xml:space="preserve">k</w:t>
                  </w:r>
                </w:p>
              </w:tc>
              <w:tc>
                <w:tcPr/>
                <w:p>
                  <w:pPr>
                    <w:pStyle w:val="Compact"/>
                    <w:jc w:val="center"/>
                    <w:jc w:val="center"/>
                  </w:pPr>
                  <w:r>
                    <w:t xml:space="preserve">Mean silhouette</w:t>
                  </w:r>
                </w:p>
              </w:tc>
              <w:tc>
                <w:tcPr/>
                <w:p>
                  <w:pPr>
                    <w:pStyle w:val="Compact"/>
                    <w:jc w:val="center"/>
                    <w:jc w:val="center"/>
                  </w:pPr>
                  <w:r>
                    <w:t xml:space="preserve">Sites per region</w:t>
                  </w:r>
                </w:p>
              </w:tc>
              <w:tc>
                <w:tcPr/>
                <w:p>
                  <w:pPr>
                    <w:pStyle w:val="Compact"/>
                    <w:jc w:val="center"/>
                    <w:jc w:val="center"/>
                  </w:pPr>
                  <w:r>
                    <w:t xml:space="preserve">Unstable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0.540</w:t>
                  </w:r>
                </w:p>
              </w:tc>
              <w:tc>
                <w:tcPr/>
                <w:p>
                  <w:pPr>
                    <w:pStyle w:val="Compact"/>
                    <w:jc w:val="center"/>
                    <w:jc w:val="center"/>
                  </w:pPr>
                  <w:r>
                    <w:t xml:space="preserve">12/8</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0.441</w:t>
                  </w:r>
                </w:p>
              </w:tc>
              <w:tc>
                <w:tcPr/>
                <w:p>
                  <w:pPr>
                    <w:pStyle w:val="Compact"/>
                    <w:jc w:val="center"/>
                    <w:jc w:val="center"/>
                  </w:pPr>
                  <w:r>
                    <w:t xml:space="preserve">8/7/5</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0.550</w:t>
                  </w:r>
                </w:p>
              </w:tc>
              <w:tc>
                <w:tcPr/>
                <w:p>
                  <w:pPr>
                    <w:pStyle w:val="Compact"/>
                    <w:jc w:val="center"/>
                    <w:jc w:val="center"/>
                  </w:pPr>
                  <w:r>
                    <w:t xml:space="preserve">8/6/4/2</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0.574</w:t>
                  </w:r>
                </w:p>
              </w:tc>
              <w:tc>
                <w:tcPr/>
                <w:p>
                  <w:pPr>
                    <w:pStyle w:val="Compact"/>
                    <w:jc w:val="center"/>
                    <w:jc w:val="center"/>
                  </w:pPr>
                  <w:r>
                    <w:t xml:space="preserve">8/5/4/2/1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2</w:t>
                  </w:r>
                </w:p>
              </w:tc>
              <w:tc>
                <w:tcPr/>
                <w:p>
                  <w:pPr>
                    <w:pStyle w:val="Compact"/>
                    <w:jc w:val="center"/>
                    <w:jc w:val="center"/>
                  </w:pPr>
                  <w:r>
                    <w:t xml:space="preserve">0.609</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3</w:t>
                  </w:r>
                </w:p>
              </w:tc>
              <w:tc>
                <w:tcPr/>
                <w:p>
                  <w:pPr>
                    <w:pStyle w:val="Compact"/>
                    <w:jc w:val="center"/>
                    <w:jc w:val="center"/>
                  </w:pPr>
                  <w:r>
                    <w:t xml:space="preserve">0.561</w:t>
                  </w:r>
                </w:p>
              </w:tc>
              <w:tc>
                <w:tcPr/>
                <w:p>
                  <w:pPr>
                    <w:pStyle w:val="Compact"/>
                    <w:jc w:val="center"/>
                    <w:jc w:val="center"/>
                  </w:pPr>
                  <w:r>
                    <w:t xml:space="preserve">4/3/2</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4</w:t>
                  </w:r>
                </w:p>
              </w:tc>
              <w:tc>
                <w:tcPr/>
                <w:p>
                  <w:pPr>
                    <w:pStyle w:val="Compact"/>
                    <w:jc w:val="center"/>
                    <w:jc w:val="center"/>
                  </w:pPr>
                  <w:r>
                    <w:t xml:space="preserve">0.477</w:t>
                  </w:r>
                </w:p>
              </w:tc>
              <w:tc>
                <w:tcPr/>
                <w:p>
                  <w:pPr>
                    <w:pStyle w:val="Compact"/>
                    <w:jc w:val="center"/>
                    <w:jc w:val="center"/>
                  </w:pPr>
                  <w:r>
                    <w:t xml:space="preserve">4/2/1/2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PAM geodesic</w:t>
                  </w:r>
                </w:p>
              </w:tc>
              <w:tc>
                <w:tcPr/>
                <w:p>
                  <w:pPr>
                    <w:pStyle w:val="Compact"/>
                    <w:jc w:val="center"/>
                    <w:jc w:val="center"/>
                  </w:pPr>
                  <w:r>
                    <w:t xml:space="preserve">5</w:t>
                  </w:r>
                </w:p>
              </w:tc>
              <w:tc>
                <w:tcPr/>
                <w:p>
                  <w:pPr>
                    <w:pStyle w:val="Compact"/>
                    <w:jc w:val="center"/>
                    <w:jc w:val="center"/>
                  </w:pPr>
                  <w:r>
                    <w:t xml:space="preserve">0.480</w:t>
                  </w:r>
                </w:p>
              </w:tc>
              <w:tc>
                <w:tcPr/>
                <w:p>
                  <w:pPr>
                    <w:pStyle w:val="Compact"/>
                    <w:jc w:val="center"/>
                    <w:jc w:val="center"/>
                  </w:pPr>
                  <w:r>
                    <w:t xml:space="preserve">3/2/1/2/1</w:t>
                  </w:r>
                </w:p>
              </w:tc>
              <w:tc>
                <w:tcPr/>
                <w:p>
                  <w:pPr>
                    <w:pStyle w:val="Compact"/>
                    <w:jc w:val="center"/>
                    <w:jc w:val="center"/>
                  </w:pPr>
                  <w:r>
                    <w:t xml:space="preserve">TRUE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0.541</w:t>
                  </w:r>
                </w:p>
              </w:tc>
              <w:tc>
                <w:tcPr/>
                <w:p>
                  <w:pPr>
                    <w:pStyle w:val="Compact"/>
                    <w:jc w:val="center"/>
                    <w:jc w:val="center"/>
                  </w:pPr>
                  <w:r>
                    <w:t xml:space="preserve">11/9</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0.547</w:t>
                  </w:r>
                </w:p>
              </w:tc>
              <w:tc>
                <w:tcPr/>
                <w:p>
                  <w:pPr>
                    <w:pStyle w:val="Compact"/>
                    <w:jc w:val="center"/>
                    <w:jc w:val="center"/>
                  </w:pPr>
                  <w:r>
                    <w:t xml:space="preserve">8/6/6</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0.556</w:t>
                  </w:r>
                </w:p>
              </w:tc>
              <w:tc>
                <w:tcPr/>
                <w:p>
                  <w:pPr>
                    <w:pStyle w:val="Compact"/>
                    <w:jc w:val="center"/>
                    <w:jc w:val="center"/>
                  </w:pPr>
                  <w:r>
                    <w:t xml:space="preserve">5/6/8/1</w:t>
                  </w:r>
                </w:p>
              </w:tc>
              <w:tc>
                <w:tcPr/>
                <w:p>
                  <w:pPr>
                    <w:pStyle w:val="Compact"/>
                    <w:jc w:val="center"/>
                    <w:jc w:val="center"/>
                  </w:pPr>
                  <w:r>
                    <w:t xml:space="preserve">FALSE</w:t>
                  </w:r>
                </w:p>
              </w:tc>
            </w:tr>
            <w:tr>
              <w:tc>
                <w:tcPr/>
                <w:p>
                  <w:pPr>
                    <w:pStyle w:val="Compact"/>
                    <w:jc w:val="left"/>
                    <w:jc w:val="center"/>
                  </w:pPr>
                  <w:r>
                    <w:t xml:space="preserve">Aur-P1</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0.609</w:t>
                  </w:r>
                </w:p>
              </w:tc>
              <w:tc>
                <w:tcPr/>
                <w:p>
                  <w:pPr>
                    <w:pStyle w:val="Compact"/>
                    <w:jc w:val="center"/>
                    <w:jc w:val="center"/>
                  </w:pPr>
                  <w:r>
                    <w:t xml:space="preserve">4/2/5/8/1</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2</w:t>
                  </w:r>
                </w:p>
              </w:tc>
              <w:tc>
                <w:tcPr/>
                <w:p>
                  <w:pPr>
                    <w:pStyle w:val="Compact"/>
                    <w:jc w:val="center"/>
                    <w:jc w:val="center"/>
                  </w:pPr>
                  <w:r>
                    <w:t xml:space="preserve">0.593</w:t>
                  </w:r>
                </w:p>
              </w:tc>
              <w:tc>
                <w:tcPr/>
                <w:p>
                  <w:pPr>
                    <w:pStyle w:val="Compact"/>
                    <w:jc w:val="center"/>
                    <w:jc w:val="center"/>
                  </w:pPr>
                  <w:r>
                    <w:t xml:space="preserve">6/3</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3</w:t>
                  </w:r>
                </w:p>
              </w:tc>
              <w:tc>
                <w:tcPr/>
                <w:p>
                  <w:pPr>
                    <w:pStyle w:val="Compact"/>
                    <w:jc w:val="center"/>
                    <w:jc w:val="center"/>
                  </w:pPr>
                  <w:r>
                    <w:t xml:space="preserve">0.599</w:t>
                  </w:r>
                </w:p>
              </w:tc>
              <w:tc>
                <w:tcPr/>
                <w:p>
                  <w:pPr>
                    <w:pStyle w:val="Compact"/>
                    <w:jc w:val="center"/>
                    <w:jc w:val="center"/>
                  </w:pPr>
                  <w:r>
                    <w:t xml:space="preserve">3/2/4</w:t>
                  </w:r>
                </w:p>
              </w:tc>
              <w:tc>
                <w:tcPr/>
                <w:p>
                  <w:pPr>
                    <w:pStyle w:val="Compact"/>
                    <w:jc w:val="center"/>
                    <w:jc w:val="center"/>
                  </w:pPr>
                  <w:r>
                    <w:t xml:space="preserve">FALSE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4</w:t>
                  </w:r>
                </w:p>
              </w:tc>
              <w:tc>
                <w:tcPr/>
                <w:p>
                  <w:pPr>
                    <w:pStyle w:val="Compact"/>
                    <w:jc w:val="center"/>
                    <w:jc w:val="center"/>
                  </w:pPr>
                  <w:r>
                    <w:t xml:space="preserve">0.532</w:t>
                  </w:r>
                </w:p>
              </w:tc>
              <w:tc>
                <w:tcPr/>
                <w:p>
                  <w:pPr>
                    <w:pStyle w:val="Compact"/>
                    <w:jc w:val="center"/>
                    <w:jc w:val="center"/>
                  </w:pPr>
                  <w:r>
                    <w:t xml:space="preserve">1/2/4/2</w:t>
                  </w:r>
                </w:p>
              </w:tc>
              <w:tc>
                <w:tcPr/>
                <w:p>
                  <w:pPr>
                    <w:pStyle w:val="Compact"/>
                    <w:jc w:val="center"/>
                    <w:jc w:val="center"/>
                  </w:pPr>
                  <w:r>
                    <w:t xml:space="preserve">TRUE</w:t>
                  </w:r>
                </w:p>
              </w:tc>
            </w:tr>
            <w:tr>
              <w:tc>
                <w:tcPr/>
                <w:p>
                  <w:pPr>
                    <w:pStyle w:val="Compact"/>
                    <w:jc w:val="left"/>
                    <w:jc w:val="center"/>
                  </w:pPr>
                  <w:r>
                    <w:t xml:space="preserve">Aur-P2</w:t>
                  </w:r>
                </w:p>
              </w:tc>
              <w:tc>
                <w:tcPr/>
                <w:p>
                  <w:pPr>
                    <w:pStyle w:val="Compact"/>
                    <w:jc w:val="left"/>
                    <w:jc w:val="center"/>
                  </w:pPr>
                  <w:r>
                    <w:t xml:space="preserve">k-means flat</w:t>
                  </w:r>
                </w:p>
              </w:tc>
              <w:tc>
                <w:tcPr/>
                <w:p>
                  <w:pPr>
                    <w:pStyle w:val="Compact"/>
                    <w:jc w:val="center"/>
                    <w:jc w:val="center"/>
                  </w:pPr>
                  <w:r>
                    <w:t xml:space="preserve">5</w:t>
                  </w:r>
                </w:p>
              </w:tc>
              <w:tc>
                <w:tcPr/>
                <w:p>
                  <w:pPr>
                    <w:pStyle w:val="Compact"/>
                    <w:jc w:val="center"/>
                    <w:jc w:val="center"/>
                  </w:pPr>
                  <w:r>
                    <w:t xml:space="preserve">0.558</w:t>
                  </w:r>
                </w:p>
              </w:tc>
              <w:tc>
                <w:tcPr/>
                <w:p>
                  <w:pPr>
                    <w:pStyle w:val="Compact"/>
                    <w:jc w:val="center"/>
                    <w:jc w:val="center"/>
                  </w:pPr>
                  <w:r>
                    <w:t xml:space="preserve">2/3/1/1/2</w:t>
                  </w:r>
                </w:p>
              </w:tc>
              <w:tc>
                <w:tcPr/>
                <w:p>
                  <w:pPr>
                    <w:pStyle w:val="Compact"/>
                    <w:jc w:val="center"/>
                    <w:jc w:val="center"/>
                  </w:pPr>
                  <w:r>
                    <w:t xml:space="preserve">FALSE</w:t>
                  </w:r>
                </w:p>
              </w:tc>
            </w:tr>
          </w:tbl>
          <w:p>
            <w:pPr>
              <w:jc w:val="center"/>
            </w:pPr>
            <w:pPr>
              <w:jc w:val="start"/>
              <w:spacing w:before="200"/>
              <w:pStyle w:val="ImageCaption"/>
            </w:pPr>
            <w:r>
              <w:t xml:space="preserve">Table S 28: Objective geographic region choice: PAM on geodesic kilometres (primary) and k-means on flat lon/lat (sensitivity) for k=2..5. Mean silhouette computed on the same distance used for clustering. k=2 (West vs Central) is primary interpretive partition (Core vs Extended sensu Schmidt &amp; Zimmermann); k=4,5 in Aur-P2 (n=9) leaves singleton regions and is flagged unstable. Best PAM k by silhouette is marked.</w:t>
            </w:r>
          </w:p>
          <w:bookmarkEnd w:id="15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56" w:name="tbl-region-permanova"/>
          <w:tbl>
            <w:tblPr>
              <w:tblStyle w:val="Table"/>
              <w:tblW w:type="pct" w:w="5000"/>
              <w:tblLook w:firstRow="1" w:lastRow="0" w:firstColumn="0" w:lastColumn="0" w:noHBand="0" w:noVBand="0" w:val="0020"/>
              <w:jc w:val="start"/>
              <w:tblLayout w:type="fixed"/>
            </w:tblPr>
            <w:tblGrid>
              <w:gridCol w:w="596"/>
              <w:gridCol w:w="2299"/>
              <w:gridCol w:w="2043"/>
              <w:gridCol w:w="596"/>
              <w:gridCol w:w="596"/>
              <w:gridCol w:w="596"/>
              <w:gridCol w:w="1192"/>
            </w:tblGrid>
            <w:tr>
              <w:trPr>
                <w:tblHeader w:val="true"/>
              </w:trPr>
              <w:tc>
                <w:tcPr/>
                <w:p>
                  <w:pPr>
                    <w:pStyle w:val="Compact"/>
                    <w:jc w:val="left"/>
                    <w:jc w:val="center"/>
                  </w:pPr>
                  <w:r>
                    <w:t xml:space="preserve">Phase</w:t>
                  </w:r>
                </w:p>
              </w:tc>
              <w:tc>
                <w:tcPr/>
                <w:p>
                  <w:pPr>
                    <w:pStyle w:val="Compact"/>
                    <w:jc w:val="left"/>
                    <w:jc w:val="center"/>
                  </w:pPr>
                  <w:r>
                    <w:t xml:space="preserve">Partition</w:t>
                  </w:r>
                </w:p>
              </w:tc>
              <w:tc>
                <w:tcPr/>
                <w:p>
                  <w:pPr>
                    <w:pStyle w:val="Compact"/>
                    <w:jc w:val="left"/>
                    <w:jc w:val="center"/>
                  </w:pPr>
                  <w:r>
                    <w:t xml:space="preserve">Term</w:t>
                  </w:r>
                </w:p>
              </w:tc>
              <w:tc>
                <w:tcPr/>
                <w:p>
                  <w:pPr>
                    <w:pStyle w:val="Compact"/>
                    <w:jc w:val="center"/>
                    <w:jc w:val="center"/>
                  </w:pPr>
                  <w:r>
                    <w:t xml:space="preserve">R2</w:t>
                  </w:r>
                </w:p>
              </w:tc>
              <w:tc>
                <w:tcPr/>
                <w:p>
                  <w:pPr>
                    <w:pStyle w:val="Compact"/>
                    <w:jc w:val="center"/>
                    <w:jc w:val="center"/>
                  </w:pPr>
                  <w:r>
                    <w:t xml:space="preserve">F</w:t>
                  </w:r>
                </w:p>
              </w:tc>
              <w:tc>
                <w:tcPr/>
                <w:p>
                  <w:pPr>
                    <w:pStyle w:val="Compact"/>
                    <w:jc w:val="center"/>
                    <w:jc w:val="center"/>
                  </w:pPr>
                  <w:r>
                    <w:t xml:space="preserve">p</w:t>
                  </w:r>
                </w:p>
              </w:tc>
              <w:tc>
                <w:tcPr/>
                <w:p>
                  <w:pPr>
                    <w:pStyle w:val="Compact"/>
                    <w:jc w:val="center"/>
                    <w:jc w:val="center"/>
                  </w:pPr>
                  <w:r>
                    <w:t xml:space="preserve">Betadisper p</w:t>
                  </w:r>
                </w:p>
              </w:tc>
            </w:tr>
            <w:tr>
              <w:tc>
                <w:tcPr/>
                <w:p>
                  <w:pPr>
                    <w:pStyle w:val="Compact"/>
                    <w:jc w:val="left"/>
                    <w:jc w:val="center"/>
                  </w:pPr>
                  <w:r>
                    <w:t xml:space="preserve">Aur-P1</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0.059</w:t>
                  </w:r>
                </w:p>
              </w:tc>
              <w:tc>
                <w:tcPr/>
                <w:p>
                  <w:pPr>
                    <w:pStyle w:val="Compact"/>
                    <w:jc w:val="center"/>
                    <w:jc w:val="center"/>
                  </w:pPr>
                  <w:r>
                    <w:t xml:space="preserve">1.122</w:t>
                  </w:r>
                </w:p>
              </w:tc>
              <w:tc>
                <w:tcPr/>
                <w:p>
                  <w:pPr>
                    <w:pStyle w:val="Compact"/>
                    <w:jc w:val="center"/>
                    <w:jc w:val="center"/>
                  </w:pPr>
                  <w:r>
                    <w:t xml:space="preserve">0.287</w:t>
                  </w:r>
                </w:p>
              </w:tc>
              <w:tc>
                <w:tcPr/>
                <w:p>
                  <w:pPr>
                    <w:pStyle w:val="Compact"/>
                    <w:jc w:val="center"/>
                    <w:jc w:val="center"/>
                  </w:pPr>
                  <w:r>
                    <w:t xml:space="preserve">0.989</w:t>
                  </w:r>
                </w:p>
              </w:tc>
            </w:tr>
            <w:tr>
              <w:tc>
                <w:tcPr/>
                <w:p>
                  <w:pPr>
                    <w:pStyle w:val="Compact"/>
                    <w:jc w:val="left"/>
                    <w:jc w:val="center"/>
                  </w:pPr>
                  <w:r>
                    <w:t xml:space="preserve">Aur-P2</w:t>
                  </w:r>
                </w:p>
              </w:tc>
              <w:tc>
                <w:tcPr/>
                <w:p>
                  <w:pPr>
                    <w:pStyle w:val="Compact"/>
                    <w:jc w:val="left"/>
                    <w:jc w:val="center"/>
                  </w:pPr>
                  <w:r>
                    <w:t xml:space="preserve">PAM geodesic k=2 (primary)</w:t>
                  </w:r>
                </w:p>
              </w:tc>
              <w:tc>
                <w:tcPr/>
                <w:p>
                  <w:pPr>
                    <w:pStyle w:val="Compact"/>
                    <w:jc w:val="left"/>
                    <w:jc w:val="center"/>
                  </w:pPr>
                  <w:r>
                    <w:t xml:space="preserve">objective_region</w:t>
                  </w:r>
                </w:p>
              </w:tc>
              <w:tc>
                <w:tcPr/>
                <w:p>
                  <w:pPr>
                    <w:pStyle w:val="Compact"/>
                    <w:jc w:val="center"/>
                    <w:jc w:val="center"/>
                  </w:pPr>
                  <w:r>
                    <w:t xml:space="preserve">0.088</w:t>
                  </w:r>
                </w:p>
              </w:tc>
              <w:tc>
                <w:tcPr/>
                <w:p>
                  <w:pPr>
                    <w:pStyle w:val="Compact"/>
                    <w:jc w:val="center"/>
                    <w:jc w:val="center"/>
                  </w:pPr>
                  <w:r>
                    <w:t xml:space="preserve">0.679</w:t>
                  </w:r>
                </w:p>
              </w:tc>
              <w:tc>
                <w:tcPr/>
                <w:p>
                  <w:pPr>
                    <w:pStyle w:val="Compact"/>
                    <w:jc w:val="center"/>
                    <w:jc w:val="center"/>
                  </w:pPr>
                  <w:r>
                    <w:t xml:space="preserve">0.783</w:t>
                  </w:r>
                </w:p>
              </w:tc>
              <w:tc>
                <w:tcPr/>
                <w:p>
                  <w:pPr>
                    <w:pStyle w:val="Compact"/>
                    <w:jc w:val="center"/>
                    <w:jc w:val="center"/>
                  </w:pPr>
                  <w:r>
                    <w:t xml:space="preserve">0.252</w:t>
                  </w:r>
                </w:p>
              </w:tc>
            </w:tr>
            <w:tr>
              <w:tc>
                <w:tcPr/>
                <w:p>
                  <w:pPr>
                    <w:pStyle w:val="Compact"/>
                    <w:jc w:val="left"/>
                    <w:jc w:val="center"/>
                  </w:pPr>
                  <w:r>
                    <w:t xml:space="preserve">Aur-P1</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0.339</w:t>
                  </w:r>
                </w:p>
              </w:tc>
              <w:tc>
                <w:tcPr/>
                <w:p>
                  <w:pPr>
                    <w:pStyle w:val="Compact"/>
                    <w:jc w:val="center"/>
                    <w:jc w:val="center"/>
                  </w:pPr>
                  <w:r>
                    <w:t xml:space="preserve">1.433</w:t>
                  </w:r>
                </w:p>
              </w:tc>
              <w:tc>
                <w:tcPr/>
                <w:p>
                  <w:pPr>
                    <w:pStyle w:val="Compact"/>
                    <w:jc w:val="center"/>
                    <w:jc w:val="center"/>
                  </w:pPr>
                  <w:r>
                    <w:t xml:space="preserve">0.020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country (sensitivity)</w:t>
                  </w:r>
                </w:p>
              </w:tc>
              <w:tc>
                <w:tcPr/>
                <w:p>
                  <w:pPr>
                    <w:pStyle w:val="Compact"/>
                    <w:jc w:val="left"/>
                    <w:jc w:val="center"/>
                  </w:pPr>
                  <w:r>
                    <w:t xml:space="preserve">country</w:t>
                  </w:r>
                </w:p>
              </w:tc>
              <w:tc>
                <w:tcPr/>
                <w:p>
                  <w:pPr>
                    <w:pStyle w:val="Compact"/>
                    <w:jc w:val="center"/>
                    <w:jc w:val="center"/>
                  </w:pPr>
                  <w:r>
                    <w:t xml:space="preserve">0.622</w:t>
                  </w:r>
                </w:p>
              </w:tc>
              <w:tc>
                <w:tcPr/>
                <w:p>
                  <w:pPr>
                    <w:pStyle w:val="Compact"/>
                    <w:jc w:val="center"/>
                    <w:jc w:val="center"/>
                  </w:pPr>
                  <w:r>
                    <w:t xml:space="preserve">0.988</w:t>
                  </w:r>
                </w:p>
              </w:tc>
              <w:tc>
                <w:tcPr/>
                <w:p>
                  <w:pPr>
                    <w:pStyle w:val="Compact"/>
                    <w:jc w:val="center"/>
                    <w:jc w:val="center"/>
                  </w:pPr>
                  <w:r>
                    <w:t xml:space="preserve">0.464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0.058</w:t>
                  </w:r>
                </w:p>
              </w:tc>
              <w:tc>
                <w:tcPr/>
                <w:p>
                  <w:pPr>
                    <w:pStyle w:val="Compact"/>
                    <w:jc w:val="center"/>
                    <w:jc w:val="center"/>
                  </w:pPr>
                  <w:r>
                    <w:t xml:space="preserve">1.319</w:t>
                  </w:r>
                </w:p>
              </w:tc>
              <w:tc>
                <w:tcPr/>
                <w:p>
                  <w:pPr>
                    <w:pStyle w:val="Compact"/>
                    <w:jc w:val="center"/>
                    <w:jc w:val="center"/>
                  </w:pPr>
                  <w:r>
                    <w:t xml:space="preserve">0.164</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0.195</w:t>
                  </w:r>
                </w:p>
              </w:tc>
              <w:tc>
                <w:tcPr/>
                <w:p>
                  <w:pPr>
                    <w:pStyle w:val="Compact"/>
                    <w:jc w:val="center"/>
                    <w:jc w:val="center"/>
                  </w:pPr>
                  <w:r>
                    <w:t xml:space="preserve">4.442</w:t>
                  </w:r>
                </w:p>
              </w:tc>
              <w:tc>
                <w:tcPr/>
                <w:p>
                  <w:pPr>
                    <w:pStyle w:val="Compact"/>
                    <w:jc w:val="center"/>
                    <w:jc w:val="center"/>
                  </w:pPr>
                  <w:r>
                    <w:t xml:space="preserve">0.001</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region|group (k=2)</w:t>
                  </w:r>
                </w:p>
              </w:tc>
              <w:tc>
                <w:tcPr/>
                <w:p>
                  <w:pPr>
                    <w:pStyle w:val="Compact"/>
                    <w:jc w:val="center"/>
                    <w:jc w:val="center"/>
                  </w:pPr>
                  <w:r>
                    <w:t xml:space="preserve">0.030</w:t>
                  </w:r>
                </w:p>
              </w:tc>
              <w:tc>
                <w:tcPr/>
                <w:p>
                  <w:pPr>
                    <w:pStyle w:val="Compact"/>
                    <w:jc w:val="center"/>
                    <w:jc w:val="center"/>
                  </w:pPr>
                  <w:r>
                    <w:t xml:space="preserve">0.237</w:t>
                  </w:r>
                </w:p>
              </w:tc>
              <w:tc>
                <w:tcPr/>
                <w:p>
                  <w:pPr>
                    <w:pStyle w:val="Compact"/>
                    <w:jc w:val="center"/>
                    <w:jc w:val="center"/>
                  </w:pPr>
                  <w:r>
                    <w:t xml:space="preserve">1.000</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left"/>
                    <w:jc w:val="center"/>
                  </w:pPr>
                  <w:r>
                    <w:t xml:space="preserve">marginal: region + group</w:t>
                  </w:r>
                </w:p>
              </w:tc>
              <w:tc>
                <w:tcPr/>
                <w:p>
                  <w:pPr>
                    <w:pStyle w:val="Compact"/>
                    <w:jc w:val="left"/>
                    <w:jc w:val="center"/>
                  </w:pPr>
                  <w:r>
                    <w:t xml:space="preserve">group|region (k=2)</w:t>
                  </w:r>
                </w:p>
              </w:tc>
              <w:tc>
                <w:tcPr/>
                <w:p>
                  <w:pPr>
                    <w:pStyle w:val="Compact"/>
                    <w:jc w:val="center"/>
                    <w:jc w:val="center"/>
                  </w:pPr>
                  <w:r>
                    <w:t xml:space="preserve">0.164</w:t>
                  </w:r>
                </w:p>
              </w:tc>
              <w:tc>
                <w:tcPr/>
                <w:p>
                  <w:pPr>
                    <w:pStyle w:val="Compact"/>
                    <w:jc w:val="center"/>
                    <w:jc w:val="center"/>
                  </w:pPr>
                  <w:r>
                    <w:t xml:space="preserve">1.316</w:t>
                  </w:r>
                </w:p>
              </w:tc>
              <w:tc>
                <w:tcPr/>
                <w:p>
                  <w:pPr>
                    <w:pStyle w:val="Compact"/>
                    <w:jc w:val="center"/>
                    <w:jc w:val="center"/>
                  </w:pPr>
                  <w:r>
                    <w:t xml:space="preserve">0.267</w:t>
                  </w:r>
                </w:p>
              </w:tc>
              <w:tc>
                <w:tcPr/>
                <w:p>
                  <w:pPr>
                    <w:pStyle w:val="Compact"/>
                    <w:jc w:val="center"/>
                    <w:jc w:val="center"/>
                  </w:pPr>
                  <w:r>
                    <w:t xml:space="preserve">NA</w:t>
                  </w:r>
                </w:p>
              </w:tc>
            </w:tr>
            <w:tr>
              <w:tc>
                <w:tcPr/>
                <w:p>
                  <w:pPr>
                    <w:pStyle w:val="Compact"/>
                    <w:jc w:val="left"/>
                    <w:jc w:val="center"/>
                  </w:pPr>
                  <w:r>
                    <w:t xml:space="preserve">Aur-P1</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0.107</w:t>
                  </w:r>
                </w:p>
              </w:tc>
              <w:tc>
                <w:tcPr/>
                <w:p>
                  <w:pPr>
                    <w:pStyle w:val="Compact"/>
                    <w:jc w:val="center"/>
                    <w:jc w:val="center"/>
                  </w:pPr>
                  <w:r>
                    <w:t xml:space="preserve">1.014</w:t>
                  </w:r>
                </w:p>
              </w:tc>
              <w:tc>
                <w:tcPr/>
                <w:p>
                  <w:pPr>
                    <w:pStyle w:val="Compact"/>
                    <w:jc w:val="center"/>
                    <w:jc w:val="center"/>
                  </w:pPr>
                  <w:r>
                    <w:t xml:space="preserve">0.410</w:t>
                  </w:r>
                </w:p>
              </w:tc>
              <w:tc>
                <w:tcPr/>
                <w:p>
                  <w:pPr>
                    <w:pStyle w:val="Compact"/>
                    <w:jc w:val="center"/>
                    <w:jc w:val="center"/>
                  </w:pPr>
                  <w:r>
                    <w:t xml:space="preserve">0.741</w:t>
                  </w:r>
                </w:p>
              </w:tc>
            </w:tr>
            <w:tr>
              <w:tc>
                <w:tcPr/>
                <w:p>
                  <w:pPr>
                    <w:pStyle w:val="Compact"/>
                    <w:jc w:val="left"/>
                    <w:jc w:val="center"/>
                  </w:pPr>
                  <w:r>
                    <w:t xml:space="preserve">Aur-P2</w:t>
                  </w:r>
                </w:p>
              </w:tc>
              <w:tc>
                <w:tcPr/>
                <w:p>
                  <w:pPr>
                    <w:pStyle w:val="Compact"/>
                    <w:jc w:val="left"/>
                    <w:jc w:val="center"/>
                  </w:pPr>
                  <w:r>
                    <w:t xml:space="preserve">PAM geodesic k=3</w:t>
                  </w:r>
                </w:p>
              </w:tc>
              <w:tc>
                <w:tcPr/>
                <w:p>
                  <w:pPr>
                    <w:pStyle w:val="Compact"/>
                    <w:jc w:val="left"/>
                    <w:jc w:val="center"/>
                  </w:pPr>
                  <w:r>
                    <w:t xml:space="preserve">objective_region</w:t>
                  </w:r>
                </w:p>
              </w:tc>
              <w:tc>
                <w:tcPr/>
                <w:p>
                  <w:pPr>
                    <w:pStyle w:val="Compact"/>
                    <w:jc w:val="center"/>
                    <w:jc w:val="center"/>
                  </w:pPr>
                  <w:r>
                    <w:t xml:space="preserve">0.226</w:t>
                  </w:r>
                </w:p>
              </w:tc>
              <w:tc>
                <w:tcPr/>
                <w:p>
                  <w:pPr>
                    <w:pStyle w:val="Compact"/>
                    <w:jc w:val="center"/>
                    <w:jc w:val="center"/>
                  </w:pPr>
                  <w:r>
                    <w:t xml:space="preserve">0.876</w:t>
                  </w:r>
                </w:p>
              </w:tc>
              <w:tc>
                <w:tcPr/>
                <w:p>
                  <w:pPr>
                    <w:pStyle w:val="Compact"/>
                    <w:jc w:val="center"/>
                    <w:jc w:val="center"/>
                  </w:pPr>
                  <w:r>
                    <w:t xml:space="preserve">0.595</w:t>
                  </w:r>
                </w:p>
              </w:tc>
              <w:tc>
                <w:tcPr/>
                <w:p>
                  <w:pPr>
                    <w:pStyle w:val="Compact"/>
                    <w:jc w:val="center"/>
                    <w:jc w:val="center"/>
                  </w:pPr>
                  <w:r>
                    <w:t xml:space="preserve">0.517</w:t>
                  </w:r>
                </w:p>
              </w:tc>
            </w:tr>
          </w:tbl>
          <w:p>
            <w:pPr>
              <w:jc w:val="center"/>
            </w:pPr>
            <w:pPr>
              <w:jc w:val="start"/>
              <w:spacing w:before="200"/>
              <w:pStyle w:val="ImageCaption"/>
            </w:pPr>
            <w:r>
              <w:t xml:space="preserve">Table S 29: Sign composition (Jaccard, sqrt.dist=TRUE, 999 permutations) across objective geographic regions. PAM geodesic k=2 is primary; k=3 and modern country are sensitivity rows. Marginal rows are from adonis2(J ~ region + group, by=</w:t>
            </w:r>
            <w:r>
              <w:t xml:space="preserve">‘</w:t>
            </w:r>
            <w:r>
              <w:t xml:space="preserve">margin</w:t>
            </w:r>
            <w:r>
              <w:t xml:space="preserve">’</w:t>
            </w:r>
            <w:r>
              <w:t xml:space="preserve">). Betadisper p tests homogeneity of dispersions for the region term; country row betadisper not shown. Aur-P2 n=9 so k&gt;=4 and all Aur-P2 PERMANOVAs are indicative (Anderson &amp; Walsh 2013).</w:t>
            </w:r>
          </w:p>
          <w:bookmarkEnd w:id="156"/>
        </w:tc>
      </w:tr>
    </w:tbl>
    <w:tbl>
      <w:tblPr>
        <w:tblStyle w:val="Table"/>
        <w:tblW w:type="pct" w:w="5000"/>
        <w:tblLook w:firstRow="0" w:lastRow="0" w:firstColumn="0" w:lastColumn="0" w:noHBand="0" w:noVBand="0" w:val="0000"/>
        <w:jc w:val="start"/>
        <w:tblLayout w:type="fixed"/>
      </w:tblPr>
      <w:tblGrid>
        <w:gridCol w:w="7920"/>
      </w:tblGrid>
      <w:tr>
        <w:tc>
          <w:tcPr/>
          <w:bookmarkStart w:id="160" w:name="fig-region-map"/>
          <w:p>
            <w:pPr>
              <w:pStyle w:val="Compact"/>
              <w:jc w:val="center"/>
            </w:pPr>
            <w:r>
              <w:drawing>
                <wp:inline>
                  <wp:extent cx="5943600" cy="4457699"/>
                  <wp:effectExtent b="0" l="0" r="0" t="0"/>
                  <wp:docPr descr="" title="" id="158" name="Picture"/>
                  <a:graphic>
                    <a:graphicData uri="http://schemas.openxmlformats.org/drawingml/2006/picture">
                      <pic:pic>
                        <pic:nvPicPr>
                          <pic:cNvPr descr="../figures/s513-region-map.png" id="159" name="Picture"/>
                          <pic:cNvPicPr>
                            <a:picLocks noChangeArrowheads="1" noChangeAspect="1"/>
                          </pic:cNvPicPr>
                        </pic:nvPicPr>
                        <pic:blipFill>
                          <a:blip r:embed="rId157"/>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7: Objective geographic regions discovered by PAM on geodesic distances (primary, k=2). Sites coloured by region; Jaccard sign data not used. West vs Central (Aur-P1) partitions the Dordogne vs Swabian research blocks.</w:t>
            </w:r>
          </w:p>
          <w:bookmarkEnd w:id="160"/>
        </w:tc>
      </w:tr>
    </w:tbl>
    <w:bookmarkEnd w:id="161"/>
    <w:bookmarkStart w:id="162" w:name="interpretation-12"/>
    <w:p>
      <w:pPr>
        <w:pStyle w:val="Heading3"/>
      </w:pPr>
      <w:r>
        <w:t xml:space="preserve">Interpretation</w:t>
      </w:r>
    </w:p>
    <w:p>
      <w:pPr>
        <w:pStyle w:val="FirstParagraph"/>
      </w:pPr>
      <w:r>
        <w:rPr>
          <w:bCs/>
          <w:b/>
        </w:rPr>
        <w:t xml:space="preserve">Question: does a geography-first regional partition explain sign-composition variation in either phase?</w:t>
      </w:r>
      <w:r>
        <w:t xml:space="preserve"> </w:t>
      </w:r>
      <w:r>
        <w:t xml:space="preserve">No. PAM on geodesic distances finds</w:t>
      </w:r>
      <w:r>
        <w:t xml:space="preserve"> </w:t>
      </w:r>
      <w:r>
        <w:rPr>
          <w:rStyle w:val="VerbatimChar"/>
        </w:rPr>
        <w:t xml:space="preserve">k=2</w:t>
      </w:r>
      <w:r>
        <w:t xml:space="preserve"> </w:t>
      </w:r>
      <w:r>
        <w:t xml:space="preserve">as the parsimonious objective region — West versus Central — which in practice separates the Dordogne bloc tradition from the Swabian ivory tradition. For Aur-P1 the mean silhouette is 0.574 at best</w:t>
      </w:r>
      <w:r>
        <w:t xml:space="preserve"> </w:t>
      </w:r>
      <w:r>
        <w:rPr>
          <w:rStyle w:val="VerbatimChar"/>
        </w:rPr>
        <w:t xml:space="preserve">k=</w:t>
      </w:r>
      <w:r>
        <w:t xml:space="preserve"> </w:t>
      </w:r>
      <w:r>
        <w:t xml:space="preserve">5 (PAM geodesic), versus flat</w:t>
      </w:r>
      <w:r>
        <w:t xml:space="preserve"> </w:t>
      </w:r>
      <w:r>
        <w:rPr>
          <w:rStyle w:val="VerbatimChar"/>
        </w:rPr>
        <w:t xml:space="preserve">k-means</w:t>
      </w:r>
      <w:r>
        <w:t xml:space="preserve"> </w:t>
      </w:r>
      <w:r>
        <w:t xml:space="preserve">silhouette within 0.001; agreement between the two geography clusterings at</w:t>
      </w:r>
      <w:r>
        <w:t xml:space="preserve"> </w:t>
      </w:r>
      <w:r>
        <w:rPr>
          <w:rStyle w:val="VerbatimChar"/>
        </w:rPr>
        <w:t xml:space="preserve">k=2</w:t>
      </w:r>
      <w:r>
        <w:t xml:space="preserve"> </w:t>
      </w:r>
      <w:r>
        <w:t xml:space="preserve">is</w:t>
      </w:r>
      <w:r>
        <w:t xml:space="preserve"> </w:t>
      </w:r>
      <w:r>
        <w:rPr>
          <w:rStyle w:val="VerbatimChar"/>
        </w:rPr>
        <w:t xml:space="preserve">ARI=</w:t>
      </w:r>
      <w:r>
        <w:t xml:space="preserve"> </w:t>
      </w:r>
      <w:r>
        <w:t xml:space="preserve">0.8 (Aur-P1) and 1 (Aur-P2), so the flat version changes</w:t>
      </w:r>
      <w:r>
        <w:t xml:space="preserve"> </w:t>
      </w:r>
      <w:r>
        <w:rPr>
          <w:rStyle w:val="VerbatimChar"/>
        </w:rPr>
        <w:t xml:space="preserve">R2</w:t>
      </w:r>
      <w:r>
        <w:t xml:space="preserve"> </w:t>
      </w:r>
      <w:r>
        <w:t xml:space="preserve">by</w:t>
      </w:r>
      <w:r>
        <w:t xml:space="preserve"> </w:t>
      </w:r>
      <w:r>
        <w:rPr>
          <w:rStyle w:val="VerbatimChar"/>
        </w:rPr>
        <w:t xml:space="preserve">&lt;0.02</w:t>
      </w:r>
      <w:r>
        <w:t xml:space="preserve"> </w:t>
      </w:r>
      <w:r>
        <w:t xml:space="preserve">and does not alter the conclusion.</w:t>
      </w:r>
      <w:r>
        <w:t xml:space="preserve"> </w:t>
      </w:r>
      <w:r>
        <w:rPr>
          <w:rStyle w:val="VerbatimChar"/>
        </w:rPr>
        <w:t xml:space="preserve">k=4,5</w:t>
      </w:r>
      <w:r>
        <w:t xml:space="preserve"> </w:t>
      </w:r>
      <w:r>
        <w:t xml:space="preserve">in Aur-P2 (</w:t>
      </w:r>
      <w:r>
        <w:rPr>
          <w:rStyle w:val="VerbatimChar"/>
        </w:rPr>
        <w:t xml:space="preserve">n=9</w:t>
      </w:r>
      <w:r>
        <w:t xml:space="preserve">) leaves singleton regions and is flagged unstable — not interpreted, shown only for completeness.</w:t>
      </w:r>
    </w:p>
    <w:p>
      <w:pPr>
        <w:pStyle w:val="BodyText"/>
      </w:pPr>
      <w:r>
        <w:t xml:space="preserve">Signs do not form Vanhaeren-style regional provinces. For Aur-P1 the geography-first region explains</w:t>
      </w:r>
      <w:r>
        <w:t xml:space="preserve"> </w:t>
      </w:r>
      <w:r>
        <w:rPr>
          <w:rStyle w:val="VerbatimChar"/>
        </w:rPr>
        <w:t xml:space="preserve">R2=</w:t>
      </w:r>
      <w:r>
        <w:t xml:space="preserve"> </w:t>
      </w:r>
      <w:r>
        <w:t xml:space="preserve">0.059 (</w:t>
      </w:r>
      <w:r>
        <w:rPr>
          <w:rStyle w:val="VerbatimChar"/>
        </w:rPr>
        <w:t xml:space="preserve">F=</w:t>
      </w:r>
      <w:r>
        <w:t xml:space="preserve"> </w:t>
      </w:r>
      <w:r>
        <w:t xml:space="preserve">1.122,</w:t>
      </w:r>
      <w:r>
        <w:t xml:space="preserve"> </w:t>
      </w:r>
      <w:r>
        <w:rPr>
          <w:rStyle w:val="VerbatimChar"/>
        </w:rPr>
        <w:t xml:space="preserve">p=</w:t>
      </w:r>
      <w:r>
        <w:t xml:space="preserve"> </w:t>
      </w:r>
      <w:r>
        <w:t xml:space="preserve">0.287, betadisper</w:t>
      </w:r>
      <w:r>
        <w:t xml:space="preserve"> </w:t>
      </w:r>
      <w:r>
        <w:rPr>
          <w:rStyle w:val="VerbatimChar"/>
        </w:rPr>
        <w:t xml:space="preserve">p=</w:t>
      </w:r>
      <w:r>
        <w:t xml:space="preserve"> </w:t>
      </w:r>
      <w:r>
        <w:t xml:space="preserve">0.989) at</w:t>
      </w:r>
      <w:r>
        <w:t xml:space="preserve"> </w:t>
      </w:r>
      <w:r>
        <w:rPr>
          <w:rStyle w:val="VerbatimChar"/>
        </w:rPr>
        <w:t xml:space="preserve">k=2</w:t>
      </w:r>
      <w:r>
        <w:t xml:space="preserve">. At</w:t>
      </w:r>
      <w:r>
        <w:t xml:space="preserve"> </w:t>
      </w:r>
      <w:r>
        <w:rPr>
          <w:rStyle w:val="VerbatimChar"/>
        </w:rPr>
        <w:t xml:space="preserve">k=3</w:t>
      </w:r>
      <w:r>
        <w:t xml:space="preserve"> </w:t>
      </w:r>
      <w:r>
        <w:t xml:space="preserve">the objective region explains</w:t>
      </w:r>
      <w:r>
        <w:t xml:space="preserve"> </w:t>
      </w:r>
      <w:r>
        <w:rPr>
          <w:rStyle w:val="VerbatimChar"/>
        </w:rPr>
        <w:t xml:space="preserve">R2=</w:t>
      </w:r>
      <w:r>
        <w:t xml:space="preserve"> </w:t>
      </w:r>
      <w:r>
        <w:t xml:space="preserve">0.107 (</w:t>
      </w:r>
      <w:r>
        <w:rPr>
          <w:rStyle w:val="VerbatimChar"/>
        </w:rPr>
        <w:t xml:space="preserve">p=</w:t>
      </w:r>
      <w:r>
        <w:t xml:space="preserve"> </w:t>
      </w:r>
      <w:r>
        <w:t xml:space="preserve">0.41), no stronger. In the marginal model</w:t>
      </w:r>
      <w:r>
        <w:t xml:space="preserve"> </w:t>
      </w:r>
      <w:r>
        <w:rPr>
          <w:rStyle w:val="VerbatimChar"/>
        </w:rPr>
        <w:t xml:space="preserve">J ~ region + group</w:t>
      </w:r>
      <w:r>
        <w:t xml:space="preserve"> </w:t>
      </w:r>
      <w:r>
        <w:t xml:space="preserve">(by margin), region is</w:t>
      </w:r>
      <w:r>
        <w:t xml:space="preserve"> </w:t>
      </w:r>
      <w:r>
        <w:rPr>
          <w:rStyle w:val="VerbatimChar"/>
        </w:rPr>
        <w:t xml:space="preserve">R2=</w:t>
      </w:r>
      <w:r>
        <w:t xml:space="preserve"> </w:t>
      </w:r>
      <w:r>
        <w:t xml:space="preserve">0.058 (</w:t>
      </w:r>
      <w:r>
        <w:rPr>
          <w:rStyle w:val="VerbatimChar"/>
        </w:rPr>
        <w:t xml:space="preserve">p=</w:t>
      </w:r>
      <w:r>
        <w:t xml:space="preserve"> </w:t>
      </w:r>
      <w:r>
        <w:t xml:space="preserve">0.164) and</w:t>
      </w:r>
      <w:r>
        <w:t xml:space="preserve"> </w:t>
      </w:r>
      <w:r>
        <w:rPr>
          <w:rStyle w:val="VerbatimChar"/>
        </w:rPr>
        <w:t xml:space="preserve">group</w:t>
      </w:r>
      <w:r>
        <w:t xml:space="preserve"> </w:t>
      </w:r>
      <w:r>
        <w:t xml:space="preserve">is</w:t>
      </w:r>
      <w:r>
        <w:t xml:space="preserve"> </w:t>
      </w:r>
      <w:r>
        <w:rPr>
          <w:rStyle w:val="VerbatimChar"/>
        </w:rPr>
        <w:t xml:space="preserve">R2=</w:t>
      </w:r>
      <w:r>
        <w:t xml:space="preserve"> </w:t>
      </w:r>
      <w:r>
        <w:t xml:space="preserve">0.195 (</w:t>
      </w:r>
      <w:r>
        <w:rPr>
          <w:rStyle w:val="VerbatimChar"/>
        </w:rPr>
        <w:t xml:space="preserve">p=</w:t>
      </w:r>
      <w:r>
        <w:t xml:space="preserve"> </w:t>
      </w:r>
      <w:r>
        <w:t xml:space="preserve">0.001) for Aur-P1, so group is not subsumed by geography — consistent with</w:t>
      </w:r>
      <w:r>
        <w:t xml:space="preserve"> </w:t>
      </w:r>
      <w:r>
        <w:t xml:space="preserve">Section S1.12.4</w:t>
      </w:r>
      <w:r>
        <w:t xml:space="preserve">–</w:t>
      </w:r>
      <w:r>
        <w:t xml:space="preserve">Section S1.12.5</w:t>
      </w:r>
      <w:r>
        <w:t xml:space="preserve"> </w:t>
      </w:r>
      <w:r>
        <w:t xml:space="preserve">where broad sites remain richer at equal coverage and saturating effort. Louvain sign clusters align weakly with objective regions (</w:t>
      </w:r>
      <w:r>
        <w:rPr>
          <w:rStyle w:val="VerbatimChar"/>
        </w:rPr>
        <w:t xml:space="preserve">ARI=</w:t>
      </w:r>
      <w:r>
        <w:t xml:space="preserve"> </w:t>
      </w:r>
      <w:r>
        <w:t xml:space="preserve">-0.03 Aur-P1, 0 Aur-P2), and manual restricted/broad aligns only moderately (</w:t>
      </w:r>
      <w:r>
        <w:rPr>
          <w:rStyle w:val="VerbatimChar"/>
        </w:rPr>
        <w:t xml:space="preserve">ARI=</w:t>
      </w:r>
      <w:r>
        <w:t xml:space="preserve"> </w:t>
      </w:r>
      <w:r>
        <w:t xml:space="preserve">-0.04 / 0.22), confirming sign-driven groups are richness-driven, not region-driven, as in</w:t>
      </w:r>
      <w:r>
        <w:t xml:space="preserve"> </w:t>
      </w:r>
      <w:r>
        <w:t xml:space="preserve">Section S1.6.2</w:t>
      </w:r>
      <w:r>
        <w:t xml:space="preserve">.</w:t>
      </w:r>
    </w:p>
    <w:p>
      <w:pPr>
        <w:pStyle w:val="BodyText"/>
      </w:pPr>
      <w:r>
        <w:t xml:space="preserve">Aur-P2 results are indicative. With</w:t>
      </w:r>
      <w:r>
        <w:t xml:space="preserve"> </w:t>
      </w:r>
      <w:r>
        <w:rPr>
          <w:rStyle w:val="VerbatimChar"/>
        </w:rPr>
        <w:t xml:space="preserve">n=9</w:t>
      </w:r>
      <w:r>
        <w:t xml:space="preserve"> </w:t>
      </w:r>
      <w:r>
        <w:t xml:space="preserve">the PAM</w:t>
      </w:r>
      <w:r>
        <w:t xml:space="preserve"> </w:t>
      </w:r>
      <w:r>
        <w:rPr>
          <w:rStyle w:val="VerbatimChar"/>
        </w:rPr>
        <w:t xml:space="preserve">k=2</w:t>
      </w:r>
      <w:r>
        <w:t xml:space="preserve"> </w:t>
      </w:r>
      <w:r>
        <w:t xml:space="preserve">region explains</w:t>
      </w:r>
      <w:r>
        <w:t xml:space="preserve"> </w:t>
      </w:r>
      <w:r>
        <w:rPr>
          <w:rStyle w:val="VerbatimChar"/>
        </w:rPr>
        <w:t xml:space="preserve">R2=</w:t>
      </w:r>
      <w:r>
        <w:t xml:space="preserve"> </w:t>
      </w:r>
      <w:r>
        <w:t xml:space="preserve">0.088 (</w:t>
      </w:r>
      <w:r>
        <w:rPr>
          <w:rStyle w:val="VerbatimChar"/>
        </w:rPr>
        <w:t xml:space="preserve">p=</w:t>
      </w:r>
      <w:r>
        <w:t xml:space="preserve"> </w:t>
      </w:r>
      <w:r>
        <w:t xml:space="preserve">0.783, betadisper</w:t>
      </w:r>
      <w:r>
        <w:t xml:space="preserve"> </w:t>
      </w:r>
      <w:r>
        <w:rPr>
          <w:rStyle w:val="VerbatimChar"/>
        </w:rPr>
        <w:t xml:space="preserve">p=</w:t>
      </w:r>
      <w:r>
        <w:t xml:space="preserve"> </w:t>
      </w:r>
      <w:r>
        <w:t xml:space="preserve">0.252), marginal</w:t>
      </w:r>
      <w:r>
        <w:t xml:space="preserve"> </w:t>
      </w:r>
      <w:r>
        <w:rPr>
          <w:rStyle w:val="VerbatimChar"/>
        </w:rPr>
        <w:t xml:space="preserve">region|group R2=</w:t>
      </w:r>
      <w:r>
        <w:t xml:space="preserve"> </w:t>
      </w:r>
      <w:r>
        <w:t xml:space="preserve">0.03 (</w:t>
      </w:r>
      <w:r>
        <w:rPr>
          <w:rStyle w:val="VerbatimChar"/>
        </w:rPr>
        <w:t xml:space="preserve">p=</w:t>
      </w:r>
      <w:r>
        <w:t xml:space="preserve"> </w:t>
      </w:r>
      <w:r>
        <w:t xml:space="preserve">1) and</w:t>
      </w:r>
      <w:r>
        <w:t xml:space="preserve"> </w:t>
      </w:r>
      <w:r>
        <w:rPr>
          <w:rStyle w:val="VerbatimChar"/>
        </w:rPr>
        <w:t xml:space="preserve">group|region R2=</w:t>
      </w:r>
      <w:r>
        <w:t xml:space="preserve"> </w:t>
      </w:r>
      <w:r>
        <w:t xml:space="preserve">0.164 (</w:t>
      </w:r>
      <w:r>
        <w:rPr>
          <w:rStyle w:val="VerbatimChar"/>
        </w:rPr>
        <w:t xml:space="preserve">p=</w:t>
      </w:r>
      <w:r>
        <w:t xml:space="preserve"> </w:t>
      </w:r>
      <w:r>
        <w:t xml:space="preserve">0.267), all with low power. Per Anderson &amp; Walsh 2013, small unbalanced PERMANOVA (</w:t>
      </w:r>
      <w:r>
        <w:rPr>
          <w:rStyle w:val="VerbatimChar"/>
        </w:rPr>
        <w:t xml:space="preserve">6</w:t>
      </w:r>
      <w:r>
        <w:t xml:space="preserve"> </w:t>
      </w:r>
      <w:r>
        <w:t xml:space="preserve">vs</w:t>
      </w:r>
      <w:r>
        <w:t xml:space="preserve"> </w:t>
      </w:r>
      <w:r>
        <w:rPr>
          <w:rStyle w:val="VerbatimChar"/>
        </w:rPr>
        <w:t xml:space="preserve">3</w:t>
      </w:r>
      <w:r>
        <w:t xml:space="preserve"> </w:t>
      </w:r>
      <w:r>
        <w:t xml:space="preserve">groups in</w:t>
      </w:r>
      <w:r>
        <w:t xml:space="preserve"> </w:t>
      </w:r>
      <w:r>
        <w:t xml:space="preserve">Section S1.10.3</w:t>
      </w:r>
      <w:r>
        <w:t xml:space="preserve"> </w:t>
      </w:r>
      <w:r>
        <w:t xml:space="preserve">terms) uses permutations with caution; per Boemke et al. 2023, the Aur-P1 geography signal coincides with research intensity (German ivory — 225/346 objects — versus French limestone blocs) rather than past cultural groups.</w:t>
      </w:r>
    </w:p>
    <w:p>
      <w:pPr>
        <w:pStyle w:val="BodyText"/>
      </w:pPr>
      <w:r>
        <w:rPr>
          <w:bCs/>
          <w:b/>
        </w:rPr>
        <w:t xml:space="preserve">Implication for the main text.</w:t>
      </w:r>
      <w:r>
        <w:t xml:space="preserve"> </w:t>
      </w:r>
      <w:r>
        <w:t xml:space="preserve">Objective regions do not explain sign composition; the restricted/broad contrast is not a geographic province effect.</w:t>
      </w:r>
    </w:p>
    <w:bookmarkEnd w:id="162"/>
    <w:bookmarkEnd w:id="163"/>
    <w:bookmarkEnd w:id="164"/>
    <w:bookmarkStart w:id="188" w:name="sec-s9"/>
    <w:p>
      <w:pPr>
        <w:pStyle w:val="Heading1"/>
      </w:pPr>
      <w:r>
        <w:t xml:space="preserve">S1.9 Partition Stability and Generative Models</w:t>
      </w:r>
    </w:p>
    <w:bookmarkStart w:id="165" w:name="sec-s9-1"/>
    <w:p>
      <w:pPr>
        <w:pStyle w:val="Heading2"/>
      </w:pPr>
      <w:r>
        <w:t xml:space="preserve">S1.9.1 Rationale</w:t>
      </w:r>
    </w:p>
    <w:p>
      <w:pPr>
        <w:pStyle w:val="FirstParagraph"/>
      </w:pPr>
      <w:r>
        <w:t xml:space="preserve">The main-text claim that each phase resolves into two cultural groups, restricted-range versus broader-range sign repertoires, rests on a single Brower-Kile seriation run followed by manual block assignment (see</w:t>
      </w:r>
      <w:r>
        <w:t xml:space="preserve"> </w:t>
      </w:r>
      <w:r>
        <w:t xml:space="preserve">Section S1.5</w:t>
      </w:r>
      <w:r>
        <w:t xml:space="preserve">). Two limitations remain unaddressed by</w:t>
      </w:r>
      <w:r>
        <w:t xml:space="preserve"> </w:t>
      </w:r>
      <w:r>
        <w:t xml:space="preserve">Section S1.2</w:t>
      </w:r>
      <w:r>
        <w:t xml:space="preserve">–</w:t>
      </w:r>
      <w:r>
        <w:t xml:space="preserve">Section S1.8</w:t>
      </w:r>
      <w:r>
        <w:t xml:space="preserve">.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w:t>
      </w:r>
      <w:r>
        <w:t xml:space="preserve"> </w:t>
      </w:r>
      <w:r>
        <w:t xml:space="preserve">Section S1.9.2</w:t>
      </w:r>
      <w:r>
        <w:t xml:space="preserve"> </w:t>
      </w:r>
      <w:r>
        <w:t xml:space="preserve">we use bootstrap resampling of sites within each phase to build a</w:t>
      </w:r>
      <w:r>
        <w:t xml:space="preserve"> </w:t>
      </w:r>
      <w:r>
        <w:rPr>
          <w:bCs/>
          <w:b/>
        </w:rPr>
        <w:t xml:space="preserve">consensus co-clustering matrix</w:t>
      </w:r>
      <w:r>
        <w:t xml:space="preserve"> </w:t>
      </w:r>
      <w:r>
        <w:t xml:space="preserve">[17]</w:t>
      </w:r>
      <w:r>
        <w:t xml:space="preserve">, quantifying the stability of the two-group partition as a whole and of each site’s assignment. In</w:t>
      </w:r>
      <w:r>
        <w:t xml:space="preserve"> </w:t>
      </w:r>
      <w:r>
        <w:t xml:space="preserve">Section S1.9.3</w:t>
      </w:r>
      <w:r>
        <w:t xml:space="preserve"> </w:t>
      </w:r>
      <w:r>
        <w:t xml:space="preserve">we fit</w:t>
      </w:r>
      <w:r>
        <w:t xml:space="preserve"> </w:t>
      </w:r>
      <w:r>
        <w:rPr>
          <w:bCs/>
          <w:b/>
        </w:rPr>
        <w:t xml:space="preserve">stochastic block models (SBM)</w:t>
      </w:r>
      <w:r>
        <w:t xml:space="preserve"> </w:t>
      </w:r>
      <w:r>
        <w:t xml:space="preserve">using the</w:t>
      </w:r>
      <w:r>
        <w:t xml:space="preserve"> </w:t>
      </w:r>
      <w:r>
        <w:rPr>
          <w:rStyle w:val="VerbatimChar"/>
        </w:rPr>
        <w:t xml:space="preserve">blockmodels</w:t>
      </w:r>
      <w:r>
        <w:t xml:space="preserve"> </w:t>
      </w:r>
      <w:r>
        <w:t xml:space="preserve">R package</w:t>
      </w:r>
      <w:r>
        <w:t xml:space="preserve"> </w:t>
      </w:r>
      <w:r>
        <w:t xml:space="preserve">[18]</w:t>
      </w:r>
      <w:r>
        <w:t xml:space="preserve">, which treat block membership as a latent variable, select the number of blocks via the Integrated Classification Likelihood (ICL), and return posterior membership probabilities for every site. In</w:t>
      </w:r>
      <w:r>
        <w:t xml:space="preserve"> </w:t>
      </w:r>
      <w:r>
        <w:t xml:space="preserve">Section S1.9.4</w:t>
      </w:r>
      <w:r>
        <w:t xml:space="preserve"> </w:t>
      </w:r>
      <w:r>
        <w:t xml:space="preserve">we cross-validate the bootstrap and SBM assignments against the main-text restricted/broad groups using the Adjusted Rand Index (ARI)</w:t>
      </w:r>
      <w:r>
        <w:t xml:space="preserve"> </w:t>
      </w:r>
      <w:r>
        <w:t xml:space="preserve">[19]</w:t>
      </w:r>
      <w:r>
        <w:t xml:space="preserve">.</w:t>
      </w:r>
    </w:p>
    <w:bookmarkEnd w:id="165"/>
    <w:bookmarkStart w:id="174" w:name="sec-s9-2"/>
    <w:p>
      <w:pPr>
        <w:pStyle w:val="Heading2"/>
      </w:pPr>
      <w:r>
        <w:t xml:space="preserve">S1.9.2 Bootstrap Consensus Analysis</w:t>
      </w:r>
    </w:p>
    <w:bookmarkStart w:id="172" w:name="rationale-14"/>
    <w:p>
      <w:pPr>
        <w:pStyle w:val="Heading3"/>
      </w:pPr>
      <w:r>
        <w:t xml:space="preserve">Rationale</w:t>
      </w:r>
    </w:p>
    <w:p>
      <w:pPr>
        <w:pStyle w:val="FirstParagraph"/>
      </w:pPr>
      <w:r>
        <w:t xml:space="preserve">For each phase we assess stability of the two-group partition by resampling (</w:t>
      </w:r>
      <w:r>
        <w:rPr>
          <w:bCs/>
          <w:b/>
        </w:rPr>
        <w:t xml:space="preserve">site subsampling without replacement, 80% of sites per replicate</w:t>
      </w:r>
      <w:r>
        <w:t xml:space="preserve">) Site resampling with replacement creates duplicate nodes that always co-cluster (similarity 1) and inflates within-block co-clustering; we therefore use subsampling without replacement (80% of sites per replicate) as implemented below. For every pair of original sites we record the proportion of replicates in which the two fall in the same cluster, the</w:t>
      </w:r>
      <w:r>
        <w:t xml:space="preserve"> </w:t>
      </w:r>
      <w:r>
        <w:rPr>
          <w:iCs/>
          <w:i/>
        </w:rPr>
        <w:t xml:space="preserve">consensus co-clustering probability</w:t>
      </w:r>
      <w:r>
        <w:t xml:space="preserve">. If the two-group structure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w:t>
      </w:r>
    </w:p>
    <w:p>
      <w:pPr>
        <w:pStyle w:val="BodyText"/>
      </w:pPr>
      <w:r>
        <w:rPr>
          <w:bCs/>
          <w:b/>
        </w:rPr>
        <w:t xml:space="preserve">Question: does within-block co-clustering exceed across-block co-clustering under site resampling, and which sites hold stable assignments?</w:t>
      </w:r>
    </w:p>
    <w:tbl>
      <w:tblPr>
        <w:tblStyle w:val="Table"/>
        <w:tblW w:type="pct" w:w="5000"/>
        <w:tblLook w:firstRow="0" w:lastRow="0" w:firstColumn="0" w:lastColumn="0" w:noHBand="0" w:noVBand="0" w:val="0000"/>
        <w:jc w:val="start"/>
        <w:tblLayout w:type="fixed"/>
      </w:tblPr>
      <w:tblGrid>
        <w:gridCol w:w="7920"/>
      </w:tblGrid>
      <w:tr>
        <w:tc>
          <w:tcPr/>
          <w:bookmarkStart w:id="16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0.75</w:t>
                  </w:r>
                </w:p>
              </w:tc>
              <w:tc>
                <w:tcPr/>
                <w:p>
                  <w:pPr>
                    <w:pStyle w:val="Compact"/>
                    <w:jc w:val="center"/>
                    <w:jc w:val="center"/>
                  </w:pPr>
                  <w:r>
                    <w:t xml:space="preserve">0.97</w:t>
                  </w:r>
                </w:p>
              </w:tc>
              <w:tc>
                <w:tcPr/>
                <w:p>
                  <w:pPr>
                    <w:pStyle w:val="Compact"/>
                    <w:jc w:val="center"/>
                    <w:jc w:val="center"/>
                  </w:pPr>
                  <w:r>
                    <w:t xml:space="preserve">0.88</w:t>
                  </w:r>
                </w:p>
              </w:tc>
              <w:tc>
                <w:tcPr/>
                <w:p>
                  <w:pPr>
                    <w:pStyle w:val="Compact"/>
                    <w:jc w:val="center"/>
                    <w:jc w:val="center"/>
                  </w:pPr>
                  <w:r>
                    <w:t xml:space="preserve">0.2</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0.49</w:t>
                  </w:r>
                </w:p>
              </w:tc>
              <w:tc>
                <w:tcPr/>
                <w:p>
                  <w:pPr>
                    <w:pStyle w:val="Compact"/>
                    <w:jc w:val="center"/>
                    <w:jc w:val="center"/>
                  </w:pPr>
                  <w:r>
                    <w:t xml:space="preserve">0.92</w:t>
                  </w:r>
                </w:p>
              </w:tc>
              <w:tc>
                <w:tcPr/>
                <w:p>
                  <w:pPr>
                    <w:pStyle w:val="Compact"/>
                    <w:jc w:val="center"/>
                    <w:jc w:val="center"/>
                  </w:pPr>
                  <w:r>
                    <w:t xml:space="preserve">0.56</w:t>
                  </w:r>
                </w:p>
              </w:tc>
              <w:tc>
                <w:tcPr/>
                <w:p>
                  <w:pPr>
                    <w:pStyle w:val="Compact"/>
                    <w:jc w:val="center"/>
                    <w:jc w:val="center"/>
                  </w:pPr>
                  <w:r>
                    <w:t xml:space="preserve">0.4</w:t>
                  </w:r>
                </w:p>
              </w:tc>
            </w:tr>
          </w:tbl>
          <w:p>
            <w:pPr>
              <w:jc w:val="center"/>
            </w:pPr>
            <w:pPr>
              <w:jc w:val="start"/>
              <w:spacing w:before="200"/>
              <w:pStyle w:val="ImageCaption"/>
            </w:pPr>
            <w:r>
              <w:t xml:space="preserve">Table S 30: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1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6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0.61</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2</w:t>
                  </w:r>
                </w:p>
              </w:tc>
              <w:tc>
                <w:tcPr/>
                <w:p>
                  <w:pPr>
                    <w:pStyle w:val="Compact"/>
                    <w:jc w:val="center"/>
                    <w:jc w:val="center"/>
                  </w:pPr>
                  <w:r>
                    <w:t xml:space="preserve">0.52</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0.95</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1.00</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0.58</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0.83</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0.84</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0.98</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0.81</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0.94</w:t>
                  </w:r>
                </w:p>
              </w:tc>
            </w:tr>
          </w:tbl>
          <w:p>
            <w:pPr>
              <w:jc w:val="center"/>
            </w:pPr>
            <w:pPr>
              <w:jc w:val="start"/>
              <w:spacing w:before="200"/>
              <w:pStyle w:val="ImageCaption"/>
            </w:pPr>
            <w:r>
              <w:t xml:space="preserve">Table S 31: Per-site bootstrap consistency: proportion of 1000 resamples in which each site is assigned to its modal (most frequent) block. Consistency near 1 indicates robust assignment; values near 0.5 indicate sites whose group membership flips across resamples.</w:t>
            </w:r>
          </w:p>
          <w:bookmarkEnd w:id="167"/>
        </w:tc>
      </w:tr>
    </w:tbl>
    <w:tbl>
      <w:tblPr>
        <w:tblStyle w:val="Table"/>
        <w:tblW w:type="pct" w:w="5000"/>
        <w:tblLook w:firstRow="0" w:lastRow="0" w:firstColumn="0" w:lastColumn="0" w:noHBand="0" w:noVBand="0" w:val="0000"/>
        <w:jc w:val="start"/>
        <w:tblLayout w:type="fixed"/>
      </w:tblPr>
      <w:tblGrid>
        <w:gridCol w:w="7920"/>
      </w:tblGrid>
      <w:tr>
        <w:tc>
          <w:tcPr/>
          <w:bookmarkStart w:id="171" w:name="fig-bootstrap-consensus"/>
          <w:p>
            <w:pPr>
              <w:pStyle w:val="Compact"/>
              <w:jc w:val="center"/>
            </w:pPr>
            <w:r>
              <w:drawing>
                <wp:inline>
                  <wp:extent cx="5943600" cy="6604000"/>
                  <wp:effectExtent b="0" l="0" r="0" t="0"/>
                  <wp:docPr descr="" title="" id="169" name="Picture"/>
                  <a:graphic>
                    <a:graphicData uri="http://schemas.openxmlformats.org/drawingml/2006/picture">
                      <pic:pic>
                        <pic:nvPicPr>
                          <pic:cNvPr descr="../figures/bootstrap-consensus-plot.png" id="170" name="Picture"/>
                          <pic:cNvPicPr>
                            <a:picLocks noChangeArrowheads="1" noChangeAspect="1"/>
                          </pic:cNvPicPr>
                        </pic:nvPicPr>
                        <pic:blipFill>
                          <a:blip r:embed="rId16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8: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171"/>
        </w:tc>
      </w:tr>
    </w:tbl>
    <w:bookmarkEnd w:id="172"/>
    <w:bookmarkStart w:id="173" w:name="interpretation-13"/>
    <w:p>
      <w:pPr>
        <w:pStyle w:val="Heading3"/>
      </w:pPr>
      <w:r>
        <w:t xml:space="preserve">Interpretation</w:t>
      </w:r>
    </w:p>
    <w:p>
      <w:pPr>
        <w:pStyle w:val="FirstParagraph"/>
      </w:pPr>
      <w:r>
        <w:rPr>
          <w:bCs/>
          <w:b/>
        </w:rPr>
        <w:t xml:space="preserve">Question: does within-block co-clustering exceed across-block co-clustering under site resampling, and which sites hold stable assignments?</w:t>
      </w:r>
      <w:r>
        <w:t xml:space="preserve"> </w:t>
      </w: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0.75 for the restricted-range block and 0.97 for the broader-range block, against 0.2 across the two blocks , a strong signal that both groups are internally coherent and sharply separated. In</w:t>
      </w:r>
      <w:r>
        <w:t xml:space="preserve"> </w:t>
      </w:r>
      <w:r>
        <w:rPr>
          <w:bCs/>
          <w:b/>
        </w:rPr>
        <w:t xml:space="preserve">Aur-P2</w:t>
      </w:r>
      <w:r>
        <w:t xml:space="preserve">, the pattern is 0.49 within the restricted block and 0.92 within the broader block, against 0.4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S 31</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S 31</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S 8</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two groups are a robust but not invariant partition, with per-site confidence available in</w:t>
      </w:r>
      <w:r>
        <w:t xml:space="preserve"> </w:t>
      </w:r>
      <w:hyperlink w:anchor="tbl-bootstrap-sites">
        <w:r>
          <w:rPr>
            <w:rStyle w:val="Hyperlink"/>
          </w:rPr>
          <w:t xml:space="preserve">Table S 31</w:t>
        </w:r>
      </w:hyperlink>
      <w:r>
        <w:t xml:space="preserve">.</w:t>
      </w:r>
    </w:p>
    <w:bookmarkEnd w:id="173"/>
    <w:bookmarkEnd w:id="174"/>
    <w:bookmarkStart w:id="183" w:name="sec-s9-3"/>
    <w:p>
      <w:pPr>
        <w:pStyle w:val="Heading2"/>
      </w:pPr>
      <w:r>
        <w:t xml:space="preserve">S1.9.3 Stochastic Block Models</w:t>
      </w:r>
    </w:p>
    <w:bookmarkStart w:id="181" w:name="rationale-15"/>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three symmetric stochastic block model (</w:t>
      </w:r>
      <w:r>
        <w:rPr>
          <w:rStyle w:val="VerbatimChar"/>
        </w:rPr>
        <w:t xml:space="preserve">SBM_sym</w:t>
      </w:r>
      <w:r>
        <w:t xml:space="preserve">) variants using the</w:t>
      </w:r>
      <w:r>
        <w:t xml:space="preserve"> </w:t>
      </w:r>
      <w:r>
        <w:rPr>
          <w:rStyle w:val="VerbatimChar"/>
        </w:rPr>
        <w:t xml:space="preserve">blockmodels</w:t>
      </w:r>
      <w:r>
        <w:t xml:space="preserve"> </w:t>
      </w:r>
      <w:r>
        <w:t xml:space="preserve">package: (1) a</w:t>
      </w:r>
      <w:r>
        <w:t xml:space="preserve"> </w:t>
      </w:r>
      <w:r>
        <w:rPr>
          <w:bCs/>
          <w:b/>
        </w:rPr>
        <w:t xml:space="preserve">Bernoulli SBM</w:t>
      </w:r>
      <w:r>
        <w:t xml:space="preserve"> </w:t>
      </w:r>
      <w:r>
        <w:t xml:space="preserve">on a binarized adjacency matrix where an edge exists if Jaccard similarity ≥ 0.2, (2) a</w:t>
      </w:r>
      <w:r>
        <w:t xml:space="preserve"> </w:t>
      </w:r>
      <w:r>
        <w:rPr>
          <w:bCs/>
          <w:b/>
        </w:rPr>
        <w:t xml:space="preserve">Gaussian SBM</w:t>
      </w:r>
      <w:r>
        <w:t xml:space="preserve"> </w:t>
      </w:r>
      <w:r>
        <w:t xml:space="preserve">on the unthresholded weighted adjacency matrix (1 − Jaccard similarity, values in [0, 1]), and (3) a</w:t>
      </w:r>
      <w:r>
        <w:t xml:space="preserve"> </w:t>
      </w:r>
      <w:r>
        <w:rPr>
          <w:bCs/>
          <w:b/>
        </w:rPr>
        <w:t xml:space="preserve">Poisson SBM</w:t>
      </w:r>
      <w:r>
        <w:t xml:space="preserve"> </w:t>
      </w:r>
      <w:r>
        <w:t xml:space="preserve">on a count adjacency matrix where each edge weight is the number of shared sign types between two sites; the Poisson and negative-binomial families are designed for count data such as shared-repertoire overlap, and the Poisson variant lets us assess whether the intensity of shared sign types, rather than mere presence/absence of an edge, identifies multi-block structure. Models select the number of blocks via the Integrated Classification Likelihood (ICL; a penalised likelihood that trades fit against model complexity) and return posterior membership probabilities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rPr>
          <w:bCs/>
          <w:b/>
        </w:rPr>
        <w:t xml:space="preserve">Question: how many blocks does a generative model support in each phase, and how do posterior memberships qualify the manual assignments?</w:t>
      </w:r>
    </w:p>
    <w:tbl>
      <w:tblPr>
        <w:tblStyle w:val="Table"/>
        <w:tblW w:type="pct" w:w="5000"/>
        <w:tblLook w:firstRow="0" w:lastRow="0" w:firstColumn="0" w:lastColumn="0" w:noHBand="0" w:noVBand="0" w:val="0000"/>
        <w:jc w:val="start"/>
        <w:tblLayout w:type="fixed"/>
      </w:tblPr>
      <w:tblGrid>
        <w:gridCol w:w="7920"/>
      </w:tblGrid>
      <w:tr>
        <w:tc>
          <w:tcPr/>
          <w:bookmarkStart w:id="175" w:name="tbl-sbm-icl"/>
          <w:tbl>
            <w:tblPr>
              <w:tblStyle w:val="Table"/>
              <w:tblW w:type="pct" w:w="5000"/>
              <w:tblLook w:firstRow="1" w:lastRow="0" w:firstColumn="0" w:lastColumn="0" w:noHBand="0" w:noVBand="0" w:val="0020"/>
              <w:jc w:val="start"/>
              <w:tblLayout w:type="fixed"/>
            </w:tblPr>
            <w:tblGrid>
              <w:gridCol w:w="866"/>
              <w:gridCol w:w="1361"/>
              <w:gridCol w:w="866"/>
              <w:gridCol w:w="990"/>
              <w:gridCol w:w="990"/>
              <w:gridCol w:w="990"/>
              <w:gridCol w:w="990"/>
              <w:gridCol w:w="866"/>
            </w:tblGrid>
            <w:tr>
              <w:trPr>
                <w:tblHeader w:val="true"/>
              </w:trPr>
              <w:tc>
                <w:tcPr/>
                <w:p>
                  <w:pPr>
                    <w:pStyle w:val="Compact"/>
                    <w:jc w:val="left"/>
                    <w:jc w:val="center"/>
                  </w:pPr>
                  <w:r>
                    <w:t xml:space="preserve">Phase</w:t>
                  </w:r>
                </w:p>
              </w:tc>
              <w:tc>
                <w:tcPr/>
                <w:p>
                  <w:pPr>
                    <w:pStyle w:val="Compact"/>
                    <w:jc w:val="center"/>
                    <w:jc w:val="center"/>
                  </w:pPr>
                  <w:r>
                    <w:t xml:space="preserve">Model</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left"/>
                    <w:jc w:val="center"/>
                  </w:pPr>
                  <w:r>
                    <w:t xml:space="preserve">Best K</w:t>
                  </w:r>
                </w:p>
              </w:tc>
            </w:tr>
            <w:tr>
              <w:tc>
                <w:tcPr/>
                <w:p>
                  <w:pPr>
                    <w:pStyle w:val="Compact"/>
                    <w:jc w:val="left"/>
                    <w:jc w:val="center"/>
                  </w:pPr>
                  <w:r>
                    <w:t xml:space="preserve">Aur-P1</w:t>
                  </w:r>
                </w:p>
              </w:tc>
              <w:tc>
                <w:tcPr/>
                <w:p>
                  <w:pPr>
                    <w:pStyle w:val="Compact"/>
                    <w:jc w:val="center"/>
                    <w:jc w:val="center"/>
                  </w:pPr>
                  <w:r>
                    <w:t xml:space="preserve">bernoulli</w:t>
                  </w:r>
                </w:p>
              </w:tc>
              <w:tc>
                <w:tcPr/>
                <w:p>
                  <w:pPr>
                    <w:pStyle w:val="Compact"/>
                    <w:jc w:val="center"/>
                    <w:jc w:val="center"/>
                  </w:pPr>
                  <w:r>
                    <w:t xml:space="preserve">3</w:t>
                  </w:r>
                </w:p>
              </w:tc>
              <w:tc>
                <w:tcPr/>
                <w:p>
                  <w:pPr>
                    <w:pStyle w:val="Compact"/>
                    <w:jc w:val="center"/>
                    <w:jc w:val="center"/>
                  </w:pPr>
                  <w:r>
                    <w:t xml:space="preserve">-130.1</w:t>
                  </w:r>
                </w:p>
              </w:tc>
              <w:tc>
                <w:tcPr/>
                <w:p>
                  <w:pPr>
                    <w:pStyle w:val="Compact"/>
                    <w:jc w:val="center"/>
                    <w:jc w:val="center"/>
                  </w:pPr>
                  <w:r>
                    <w:t xml:space="preserve">-115.7</w:t>
                  </w:r>
                </w:p>
              </w:tc>
              <w:tc>
                <w:tcPr/>
                <w:p>
                  <w:pPr>
                    <w:pStyle w:val="Compact"/>
                    <w:jc w:val="center"/>
                    <w:jc w:val="center"/>
                  </w:pPr>
                  <w:r>
                    <w:t xml:space="preserve">-110.1</w:t>
                  </w:r>
                </w:p>
              </w:tc>
              <w:tc>
                <w:tcPr/>
                <w:p>
                  <w:pPr>
                    <w:pStyle w:val="Compact"/>
                    <w:jc w:val="center"/>
                    <w:jc w:val="center"/>
                  </w:pPr>
                  <w:r>
                    <w:t xml:space="preserve">-114.9</w:t>
                  </w:r>
                </w:p>
              </w:tc>
              <w:tc>
                <w:tcPr/>
                <w:p>
                  <w:pPr>
                    <w:pStyle w:val="Compact"/>
                    <w:jc w:val="left"/>
                    <w:jc w:val="center"/>
                  </w:pPr>
                  <w:r>
                    <w:t xml:space="preserve">-120.0</w:t>
                  </w:r>
                </w:p>
              </w:tc>
            </w:tr>
            <w:tr>
              <w:tc>
                <w:tcPr/>
                <w:p>
                  <w:pPr>
                    <w:pStyle w:val="Compact"/>
                    <w:jc w:val="left"/>
                    <w:jc w:val="center"/>
                  </w:pPr>
                  <w:r>
                    <w:t xml:space="preserve">Aur-P1</w:t>
                  </w:r>
                </w:p>
              </w:tc>
              <w:tc>
                <w:tcPr/>
                <w:p>
                  <w:pPr>
                    <w:pStyle w:val="Compact"/>
                    <w:jc w:val="center"/>
                    <w:jc w:val="center"/>
                  </w:pPr>
                  <w:r>
                    <w:t xml:space="preserve">gaussian</w:t>
                  </w:r>
                </w:p>
              </w:tc>
              <w:tc>
                <w:tcPr/>
                <w:p>
                  <w:pPr>
                    <w:pStyle w:val="Compact"/>
                    <w:jc w:val="center"/>
                    <w:jc w:val="center"/>
                  </w:pPr>
                  <w:r>
                    <w:t xml:space="preserve">4</w:t>
                  </w:r>
                </w:p>
              </w:tc>
              <w:tc>
                <w:tcPr/>
                <w:p>
                  <w:pPr>
                    <w:pStyle w:val="Compact"/>
                    <w:jc w:val="center"/>
                    <w:jc w:val="center"/>
                  </w:pPr>
                  <w:r>
                    <w:t xml:space="preserve">8.2</w:t>
                  </w:r>
                </w:p>
              </w:tc>
              <w:tc>
                <w:tcPr/>
                <w:p>
                  <w:pPr>
                    <w:pStyle w:val="Compact"/>
                    <w:jc w:val="center"/>
                    <w:jc w:val="center"/>
                  </w:pPr>
                  <w:r>
                    <w:t xml:space="preserve">47.2</w:t>
                  </w:r>
                </w:p>
              </w:tc>
              <w:tc>
                <w:tcPr/>
                <w:p>
                  <w:pPr>
                    <w:pStyle w:val="Compact"/>
                    <w:jc w:val="center"/>
                    <w:jc w:val="center"/>
                  </w:pPr>
                  <w:r>
                    <w:t xml:space="preserve">59.8</w:t>
                  </w:r>
                </w:p>
              </w:tc>
              <w:tc>
                <w:tcPr/>
                <w:p>
                  <w:pPr>
                    <w:pStyle w:val="Compact"/>
                    <w:jc w:val="center"/>
                    <w:jc w:val="center"/>
                  </w:pPr>
                  <w:r>
                    <w:t xml:space="preserve">73.5</w:t>
                  </w:r>
                </w:p>
              </w:tc>
              <w:tc>
                <w:tcPr/>
                <w:p>
                  <w:pPr>
                    <w:pStyle w:val="Compact"/>
                    <w:jc w:val="left"/>
                    <w:jc w:val="center"/>
                  </w:pPr>
                  <w:r>
                    <w:t xml:space="preserve">70.1</w:t>
                  </w:r>
                </w:p>
              </w:tc>
            </w:tr>
            <w:tr>
              <w:tc>
                <w:tcPr/>
                <w:p>
                  <w:pPr>
                    <w:pStyle w:val="Compact"/>
                    <w:jc w:val="left"/>
                    <w:jc w:val="center"/>
                  </w:pPr>
                  <w:r>
                    <w:t xml:space="preserve">Aur-P1</w:t>
                  </w:r>
                </w:p>
              </w:tc>
              <w:tc>
                <w:tcPr/>
                <w:p>
                  <w:pPr>
                    <w:pStyle w:val="Compact"/>
                    <w:jc w:val="center"/>
                    <w:jc w:val="center"/>
                  </w:pPr>
                  <w:r>
                    <w:t xml:space="preserve">poisson</w:t>
                  </w:r>
                </w:p>
              </w:tc>
              <w:tc>
                <w:tcPr/>
                <w:p>
                  <w:pPr>
                    <w:pStyle w:val="Compact"/>
                    <w:jc w:val="center"/>
                    <w:jc w:val="center"/>
                  </w:pPr>
                  <w:r>
                    <w:t xml:space="preserve">3</w:t>
                  </w:r>
                </w:p>
              </w:tc>
              <w:tc>
                <w:tcPr/>
                <w:p>
                  <w:pPr>
                    <w:pStyle w:val="Compact"/>
                    <w:jc w:val="center"/>
                    <w:jc w:val="center"/>
                  </w:pPr>
                  <w:r>
                    <w:t xml:space="preserve">-326.0</w:t>
                  </w:r>
                </w:p>
              </w:tc>
              <w:tc>
                <w:tcPr/>
                <w:p>
                  <w:pPr>
                    <w:pStyle w:val="Compact"/>
                    <w:jc w:val="center"/>
                    <w:jc w:val="center"/>
                  </w:pPr>
                  <w:r>
                    <w:t xml:space="preserve">-265.9</w:t>
                  </w:r>
                </w:p>
              </w:tc>
              <w:tc>
                <w:tcPr/>
                <w:p>
                  <w:pPr>
                    <w:pStyle w:val="Compact"/>
                    <w:jc w:val="center"/>
                    <w:jc w:val="center"/>
                  </w:pPr>
                  <w:r>
                    <w:t xml:space="preserve">-263.3</w:t>
                  </w:r>
                </w:p>
              </w:tc>
              <w:tc>
                <w:tcPr/>
                <w:p>
                  <w:pPr>
                    <w:pStyle w:val="Compact"/>
                    <w:jc w:val="center"/>
                    <w:jc w:val="center"/>
                  </w:pPr>
                  <w:r>
                    <w:t xml:space="preserve">-272.0</w:t>
                  </w:r>
                </w:p>
              </w:tc>
              <w:tc>
                <w:tcPr/>
                <w:p>
                  <w:pPr>
                    <w:pStyle w:val="Compact"/>
                    <w:jc w:val="left"/>
                    <w:jc w:val="center"/>
                  </w:pPr>
                  <w:r>
                    <w:t xml:space="preserve">-286.0</w:t>
                  </w:r>
                </w:p>
              </w:tc>
            </w:tr>
            <w:tr>
              <w:tc>
                <w:tcPr/>
                <w:p>
                  <w:pPr>
                    <w:pStyle w:val="Compact"/>
                    <w:jc w:val="left"/>
                    <w:jc w:val="center"/>
                  </w:pPr>
                  <w:r>
                    <w:t xml:space="preserve">Aur-P2</w:t>
                  </w:r>
                </w:p>
              </w:tc>
              <w:tc>
                <w:tcPr/>
                <w:p>
                  <w:pPr>
                    <w:pStyle w:val="Compact"/>
                    <w:jc w:val="center"/>
                    <w:jc w:val="center"/>
                  </w:pPr>
                  <w:r>
                    <w:t xml:space="preserve">bernoulli</w:t>
                  </w:r>
                </w:p>
              </w:tc>
              <w:tc>
                <w:tcPr/>
                <w:p>
                  <w:pPr>
                    <w:pStyle w:val="Compact"/>
                    <w:jc w:val="center"/>
                    <w:jc w:val="center"/>
                  </w:pPr>
                  <w:r>
                    <w:t xml:space="preserve">1</w:t>
                  </w:r>
                </w:p>
              </w:tc>
              <w:tc>
                <w:tcPr/>
                <w:p>
                  <w:pPr>
                    <w:pStyle w:val="Compact"/>
                    <w:jc w:val="center"/>
                    <w:jc w:val="center"/>
                  </w:pPr>
                  <w:r>
                    <w:t xml:space="preserve">-26.7</w:t>
                  </w:r>
                </w:p>
              </w:tc>
              <w:tc>
                <w:tcPr/>
                <w:p>
                  <w:pPr>
                    <w:pStyle w:val="Compact"/>
                    <w:jc w:val="center"/>
                    <w:jc w:val="center"/>
                  </w:pPr>
                  <w:r>
                    <w:t xml:space="preserve">-30.2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gaussian</w:t>
                  </w:r>
                </w:p>
              </w:tc>
              <w:tc>
                <w:tcPr/>
                <w:p>
                  <w:pPr>
                    <w:pStyle w:val="Compact"/>
                    <w:jc w:val="center"/>
                    <w:jc w:val="center"/>
                  </w:pPr>
                  <w:r>
                    <w:t xml:space="preserve">2</w:t>
                  </w:r>
                </w:p>
              </w:tc>
              <w:tc>
                <w:tcPr/>
                <w:p>
                  <w:pPr>
                    <w:pStyle w:val="Compact"/>
                    <w:jc w:val="center"/>
                    <w:jc w:val="center"/>
                  </w:pPr>
                  <w:r>
                    <w:t xml:space="preserve">-2.2</w:t>
                  </w:r>
                </w:p>
              </w:tc>
              <w:tc>
                <w:tcPr/>
                <w:p>
                  <w:pPr>
                    <w:pStyle w:val="Compact"/>
                    <w:jc w:val="center"/>
                    <w:jc w:val="center"/>
                  </w:pPr>
                  <w:r>
                    <w:t xml:space="preserve">-1.3</w:t>
                  </w:r>
                </w:p>
              </w:tc>
              <w:tc>
                <w:tcPr/>
                <w:p>
                  <w:pPr>
                    <w:pStyle w:val="Compact"/>
                    <w:jc w:val="center"/>
                    <w:jc w:val="center"/>
                  </w:pPr>
                  <w:r>
                    <w:t xml:space="preserve">-9.9</w:t>
                  </w:r>
                </w:p>
              </w:tc>
              <w:tc>
                <w:tcPr/>
                <w:p>
                  <w:pPr>
                    <w:pStyle w:val="Compact"/>
                    <w:jc w:val="center"/>
                    <w:jc w:val="center"/>
                  </w:pPr>
                  <w:r>
                    <w:t xml:space="preserve">NA</w:t>
                  </w:r>
                </w:p>
              </w:tc>
              <w:tc>
                <w:tcPr/>
                <w:p>
                  <w:pPr>
                    <w:pStyle w:val="Compact"/>
                    <w:jc w:val="left"/>
                    <w:jc w:val="center"/>
                  </w:pPr>
                  <w:r>
                    <w:t xml:space="preserve">NA</w:t>
                  </w:r>
                </w:p>
              </w:tc>
            </w:tr>
            <w:tr>
              <w:tc>
                <w:tcPr/>
                <w:p>
                  <w:pPr>
                    <w:pStyle w:val="Compact"/>
                    <w:jc w:val="left"/>
                    <w:jc w:val="center"/>
                  </w:pPr>
                  <w:r>
                    <w:t xml:space="preserve">Aur-P2</w:t>
                  </w:r>
                </w:p>
              </w:tc>
              <w:tc>
                <w:tcPr/>
                <w:p>
                  <w:pPr>
                    <w:pStyle w:val="Compact"/>
                    <w:jc w:val="center"/>
                    <w:jc w:val="center"/>
                  </w:pPr>
                  <w:r>
                    <w:t xml:space="preserve">poisson</w:t>
                  </w:r>
                </w:p>
              </w:tc>
              <w:tc>
                <w:tcPr/>
                <w:p>
                  <w:pPr>
                    <w:pStyle w:val="Compact"/>
                    <w:jc w:val="center"/>
                    <w:jc w:val="center"/>
                  </w:pPr>
                  <w:r>
                    <w:t xml:space="preserve">1</w:t>
                  </w:r>
                </w:p>
              </w:tc>
              <w:tc>
                <w:tcPr/>
                <w:p>
                  <w:pPr>
                    <w:pStyle w:val="Compact"/>
                    <w:jc w:val="center"/>
                    <w:jc w:val="center"/>
                  </w:pPr>
                  <w:r>
                    <w:t xml:space="preserve">-49.0</w:t>
                  </w:r>
                </w:p>
              </w:tc>
              <w:tc>
                <w:tcPr/>
                <w:p>
                  <w:pPr>
                    <w:pStyle w:val="Compact"/>
                    <w:jc w:val="center"/>
                    <w:jc w:val="center"/>
                  </w:pPr>
                  <w:r>
                    <w:t xml:space="preserve">-53.2</w:t>
                  </w:r>
                </w:p>
              </w:tc>
              <w:tc>
                <w:tcPr/>
                <w:p>
                  <w:pPr>
                    <w:pStyle w:val="Compact"/>
                    <w:jc w:val="center"/>
                    <w:jc w:val="center"/>
                  </w:pPr>
                  <w:r>
                    <w:t xml:space="preserve">NA</w:t>
                  </w:r>
                </w:p>
              </w:tc>
              <w:tc>
                <w:tcPr/>
                <w:p>
                  <w:pPr>
                    <w:pStyle w:val="Compact"/>
                    <w:jc w:val="center"/>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32: Integrated Classification Likelihood (ICL) for stochastic block models with K = 1 to 5 blocks, by phase and emission model. The best-supported number of blocks (maximum ICL) is reported in the final column. A decisive maximum (large gap in ICL) indicates that the number of groups is well determined by the data; a flat ICL profile indicates the number of groups is weakly constrained. Higher-K fits fail for the small Aur-P2 sample (NA). Bernoulli model uses binarized adjacency (edge if Jaccard similarity ≥ 0.2); Gaussian model uses unthresholded weighted similarities (1 − Jaccard); Poisson model uses count adjacency (number of shared sign types).</w:t>
            </w:r>
          </w:p>
          <w:bookmarkEnd w:id="175"/>
        </w:tc>
      </w:tr>
    </w:tbl>
    <w:tbl>
      <w:tblPr>
        <w:tblStyle w:val="Table"/>
        <w:tblW w:type="pct" w:w="5000"/>
        <w:tblLook w:firstRow="0" w:lastRow="0" w:firstColumn="0" w:lastColumn="0" w:noHBand="0" w:noVBand="0" w:val="0000"/>
        <w:jc w:val="start"/>
        <w:tblLayout w:type="fixed"/>
      </w:tblPr>
      <w:tblGrid>
        <w:gridCol w:w="7920"/>
      </w:tblGrid>
      <w:tr>
        <w:tc>
          <w:tcPr/>
          <w:bookmarkStart w:id="179" w:name="fig-sbm-icl"/>
          <w:p>
            <w:pPr>
              <w:pStyle w:val="Compact"/>
              <w:jc w:val="center"/>
            </w:pPr>
            <w:r>
              <w:drawing>
                <wp:inline>
                  <wp:extent cx="5943600" cy="2971800"/>
                  <wp:effectExtent b="0" l="0" r="0" t="0"/>
                  <wp:docPr descr="" title="" id="177" name="Picture"/>
                  <a:graphic>
                    <a:graphicData uri="http://schemas.openxmlformats.org/drawingml/2006/picture">
                      <pic:pic>
                        <pic:nvPicPr>
                          <pic:cNvPr descr="S1-supplement-sensitivity_files/figure-docx/fig-sbm-icl-1.png" id="178" name="Picture"/>
                          <pic:cNvPicPr>
                            <a:picLocks noChangeArrowheads="1" noChangeAspect="1"/>
                          </pic:cNvPicPr>
                        </pic:nvPicPr>
                        <pic:blipFill>
                          <a:blip r:embed="rId176"/>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9: Integrated Classification Likelihood (ICL) by number of blocks (K) for Bernoulli, Gaussian, and Poisson stochastic block models, by phase. Higher ICL marks stronger support. Large dots mark the best-supported K within each curve. Y-scales differ by facet because count and binary likelihoods are not comparable in absolute value; the ranking within each curve is the inference. Bernoulli uses binarized adjacency (edge if Jaccard similarity ≥ 0.2); Gaussian uses unthresholded weighted similarities (1 − Jaccard); Poisson uses count adjacency (number of shared sign types). Curves stop early where higher-K fits fail (small Aur-P2 sample).</w:t>
            </w:r>
          </w:p>
          <w:bookmarkEnd w:id="179"/>
        </w:tc>
      </w:tr>
    </w:tbl>
    <w:tbl>
      <w:tblPr>
        <w:tblStyle w:val="Table"/>
        <w:tblW w:type="pct" w:w="5000"/>
        <w:tblLook w:firstRow="0" w:lastRow="0" w:firstColumn="0" w:lastColumn="0" w:noHBand="0" w:noVBand="0" w:val="0000"/>
        <w:jc w:val="start"/>
        <w:tblLayout w:type="fixed"/>
      </w:tblPr>
      <w:tblGrid>
        <w:gridCol w:w="7920"/>
      </w:tblGrid>
      <w:tr>
        <w:tc>
          <w:tcPr/>
          <w:bookmarkStart w:id="180" w:name="tbl-sbm-membership"/>
          <w:tbl>
            <w:tblPr>
              <w:tblStyle w:val="Table"/>
              <w:tblW w:type="pct" w:w="5000"/>
              <w:tblLook w:firstRow="1" w:lastRow="0" w:firstColumn="0" w:lastColumn="0" w:noHBand="0" w:noVBand="0" w:val="0020"/>
              <w:jc w:val="start"/>
              <w:tblLayout w:type="fixed"/>
            </w:tblPr>
            <w:tblGrid>
              <w:gridCol w:w="2223"/>
              <w:gridCol w:w="486"/>
              <w:gridCol w:w="694"/>
              <w:gridCol w:w="1875"/>
              <w:gridCol w:w="903"/>
              <w:gridCol w:w="486"/>
              <w:gridCol w:w="416"/>
              <w:gridCol w:w="416"/>
              <w:gridCol w:w="416"/>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Model</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P(B1)</w:t>
                  </w:r>
                </w:p>
              </w:tc>
              <w:tc>
                <w:tcPr/>
                <w:p>
                  <w:pPr>
                    <w:pStyle w:val="Compact"/>
                    <w:jc w:val="left"/>
                    <w:jc w:val="center"/>
                  </w:pPr>
                  <w:r>
                    <w:t xml:space="preserve">P(B2)</w:t>
                  </w:r>
                </w:p>
              </w:tc>
              <w:tc>
                <w:tcPr/>
                <w:p>
                  <w:pPr>
                    <w:pStyle w:val="Compact"/>
                    <w:jc w:val="left"/>
                    <w:jc w:val="center"/>
                  </w:pPr>
                  <w:r>
                    <w:t xml:space="preserve">P(B3)</w:t>
                  </w:r>
                </w:p>
              </w:tc>
              <w:tc>
                <w:tcPr/>
                <w:p>
                  <w:pPr>
                    <w:pStyle w:val="Compact"/>
                    <w:jc w:val="left"/>
                    <w:jc w:val="center"/>
                  </w:pPr>
                  <w:r>
                    <w:t xml:space="preserve">P(B4)</w:t>
                  </w:r>
                </w:p>
              </w:tc>
            </w:tr>
            <w:tr>
              <w:tc>
                <w:tcPr/>
                <w:p>
                  <w:pPr>
                    <w:pStyle w:val="Compact"/>
                    <w:jc w:val="left"/>
                    <w:jc w:val="center"/>
                  </w:pPr>
                  <w:r>
                    <w:t xml:space="preserve">Abri Pataud…1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Abri Pataud</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Blanchard…2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Fumane…5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Fumane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Gatzarria…6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Geissenklösterle…7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du Renne…9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Grottes de Fonds-de-Forêt…10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Hohlenstein-Stadel…12</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 Ferrassie…13</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Koba…14</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Cottés…15</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Pod Hradem…16</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Pod Hradem</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Riparo Bombrini…17</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Riparo Bombrini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Solutré…18</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al’Wesse…19</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Vogelherd…20</w:t>
                  </w:r>
                </w:p>
              </w:tc>
              <w:tc>
                <w:tcPr/>
                <w:p>
                  <w:pPr>
                    <w:pStyle w:val="Compact"/>
                    <w:jc w:val="left"/>
                    <w:jc w:val="center"/>
                  </w:pPr>
                  <w:r>
                    <w:t xml:space="preserve">Aur-P1</w:t>
                  </w:r>
                </w:p>
              </w:tc>
              <w:tc>
                <w:tcPr/>
                <w:p>
                  <w:pPr>
                    <w:pStyle w:val="Compact"/>
                    <w:jc w:val="left"/>
                    <w:jc w:val="center"/>
                  </w:pPr>
                  <w:r>
                    <w:t xml:space="preserve">bernoulli</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Abri Pataud…21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Abri Pataud</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Blanchard…22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Castanet…23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Cellier…24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Fumane…25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Fumane</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Gatzarria…26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Gatzarria</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Geissenklösterle…27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de la Verpillière I…28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de la Verpillière I</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 du Renne…29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 du Renne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Grottes de Fonds-de-Forêt…30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Grottes de Fonds-de-Forêt</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 Fels…31</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Hohlenstein-Stadel…32</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Hohlenstein-Stadel</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 Ferrassie…33</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Labeko Koba…34</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Les Cottés…35</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Pod Hradem…36</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Pod Hradem</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Riparo Bombrini…37</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Riparo Bombrini</w:t>
                  </w:r>
                </w:p>
              </w:tc>
              <w:tc>
                <w:tcPr/>
                <w:p>
                  <w:pPr>
                    <w:pStyle w:val="Compact"/>
                    <w:jc w:val="center"/>
                    <w:jc w:val="center"/>
                  </w:pPr>
                  <w:r>
                    <w:t xml:space="preserve">4</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0.99</w:t>
                  </w:r>
                </w:p>
              </w:tc>
            </w:tr>
            <w:tr>
              <w:tc>
                <w:tcPr/>
                <w:p>
                  <w:pPr>
                    <w:pStyle w:val="Compact"/>
                    <w:jc w:val="left"/>
                    <w:jc w:val="center"/>
                  </w:pPr>
                  <w:r>
                    <w:t xml:space="preserve">Solutré…38</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Trou al’Wesse…39</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Trou al’Wesse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0.00</w:t>
                  </w:r>
                </w:p>
              </w:tc>
            </w:tr>
            <w:tr>
              <w:tc>
                <w:tcPr/>
                <w:p>
                  <w:pPr>
                    <w:pStyle w:val="Compact"/>
                    <w:jc w:val="left"/>
                    <w:jc w:val="center"/>
                  </w:pPr>
                  <w:r>
                    <w:t xml:space="preserve">Vogelherd…40</w:t>
                  </w:r>
                </w:p>
              </w:tc>
              <w:tc>
                <w:tcPr/>
                <w:p>
                  <w:pPr>
                    <w:pStyle w:val="Compact"/>
                    <w:jc w:val="left"/>
                    <w:jc w:val="center"/>
                  </w:pPr>
                  <w:r>
                    <w:t xml:space="preserve">Aur-P1</w:t>
                  </w:r>
                </w:p>
              </w:tc>
              <w:tc>
                <w:tcPr/>
                <w:p>
                  <w:pPr>
                    <w:pStyle w:val="Compact"/>
                    <w:jc w:val="left"/>
                    <w:jc w:val="center"/>
                  </w:pPr>
                  <w:r>
                    <w:t xml:space="preserve">gaussian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0.00</w:t>
                  </w:r>
                </w:p>
              </w:tc>
            </w:tr>
            <w:tr>
              <w:tc>
                <w:tcPr/>
                <w:p>
                  <w:pPr>
                    <w:pStyle w:val="Compact"/>
                    <w:jc w:val="left"/>
                    <w:jc w:val="center"/>
                  </w:pPr>
                  <w:r>
                    <w:t xml:space="preserve">Abri Pataud…41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Abri Pataud</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Blanchard…42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Blanchard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Castanet…43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Castanet</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Cellier…44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Cellier</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0.01</w:t>
                  </w:r>
                </w:p>
              </w:tc>
              <w:tc>
                <w:tcPr/>
                <w:p>
                  <w:pPr>
                    <w:pStyle w:val="Compact"/>
                    <w:jc w:val="left"/>
                    <w:jc w:val="center"/>
                  </w:pPr>
                  <w:r>
                    <w:t xml:space="preserve">NA</w:t>
                  </w:r>
                </w:p>
              </w:tc>
            </w:tr>
            <w:tr>
              <w:tc>
                <w:tcPr/>
                <w:p>
                  <w:pPr>
                    <w:pStyle w:val="Compact"/>
                    <w:jc w:val="left"/>
                    <w:jc w:val="center"/>
                  </w:pPr>
                  <w:r>
                    <w:t xml:space="preserve">Fumane…45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Fumane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Gatzarria…46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Gatzarria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Geissenklösterle…47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Geissenklösterle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Grotte de la Verpillière I…48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de la Verpillière 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 du Renne…49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 du Renne</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Grottes de Fonds-de-Forêt…50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Grottes de Fonds-de-Forêt</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Hohle Fels…51</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Hohlenstein-Stadel…52</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Hohlenstein-Stadel</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La Ferrassie…53</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 Ferrassie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Labeko Koba…54</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Labeko Koba</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Les Cottés…55</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Pod Hradem…56</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Pod Hradem</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Riparo Bombrini…57</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Riparo Bombrini</w:t>
                  </w:r>
                </w:p>
              </w:tc>
              <w:tc>
                <w:tcPr/>
                <w:p>
                  <w:pPr>
                    <w:pStyle w:val="Compact"/>
                    <w:jc w:val="center"/>
                    <w:jc w:val="center"/>
                  </w:pPr>
                  <w:r>
                    <w:t xml:space="preserve">3</w:t>
                  </w:r>
                </w:p>
              </w:tc>
              <w:tc>
                <w:tcPr/>
                <w:p>
                  <w:pPr>
                    <w:pStyle w:val="Compact"/>
                    <w:jc w:val="center"/>
                    <w:jc w:val="center"/>
                  </w:pPr>
                  <w:r>
                    <w:t xml:space="preserve">0.00</w:t>
                  </w:r>
                </w:p>
              </w:tc>
              <w:tc>
                <w:tcPr/>
                <w:p>
                  <w:pPr>
                    <w:pStyle w:val="Compact"/>
                    <w:jc w:val="left"/>
                    <w:jc w:val="center"/>
                  </w:pPr>
                  <w:r>
                    <w:t xml:space="preserve">0.00</w:t>
                  </w:r>
                </w:p>
              </w:tc>
              <w:tc>
                <w:tcPr/>
                <w:p>
                  <w:pPr>
                    <w:pStyle w:val="Compact"/>
                    <w:jc w:val="left"/>
                    <w:jc w:val="center"/>
                  </w:pPr>
                  <w:r>
                    <w:t xml:space="preserve">0.99</w:t>
                  </w:r>
                </w:p>
              </w:tc>
              <w:tc>
                <w:tcPr/>
                <w:p>
                  <w:pPr>
                    <w:pStyle w:val="Compact"/>
                    <w:jc w:val="left"/>
                    <w:jc w:val="center"/>
                  </w:pPr>
                  <w:r>
                    <w:t xml:space="preserve">NA</w:t>
                  </w:r>
                </w:p>
              </w:tc>
            </w:tr>
            <w:tr>
              <w:tc>
                <w:tcPr/>
                <w:p>
                  <w:pPr>
                    <w:pStyle w:val="Compact"/>
                    <w:jc w:val="left"/>
                    <w:jc w:val="center"/>
                  </w:pPr>
                  <w:r>
                    <w:t xml:space="preserve">Solutré…58</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Solutré</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Trou al’Wesse…59</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0.00</w:t>
                  </w:r>
                </w:p>
              </w:tc>
              <w:tc>
                <w:tcPr/>
                <w:p>
                  <w:pPr>
                    <w:pStyle w:val="Compact"/>
                    <w:jc w:val="left"/>
                    <w:jc w:val="center"/>
                  </w:pPr>
                  <w:r>
                    <w:t xml:space="preserve">0.99</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Vogelherd…60</w:t>
                  </w:r>
                </w:p>
              </w:tc>
              <w:tc>
                <w:tcPr/>
                <w:p>
                  <w:pPr>
                    <w:pStyle w:val="Compact"/>
                    <w:jc w:val="left"/>
                    <w:jc w:val="center"/>
                  </w:pPr>
                  <w:r>
                    <w:t xml:space="preserve">Aur-P1</w:t>
                  </w:r>
                </w:p>
              </w:tc>
              <w:tc>
                <w:tcPr/>
                <w:p>
                  <w:pPr>
                    <w:pStyle w:val="Compact"/>
                    <w:jc w:val="left"/>
                    <w:jc w:val="center"/>
                  </w:pPr>
                  <w:r>
                    <w:t xml:space="preserve">poisson</w:t>
                  </w:r>
                </w:p>
              </w:tc>
              <w:tc>
                <w:tcPr/>
                <w:p>
                  <w:pPr>
                    <w:pStyle w:val="Compact"/>
                    <w:jc w:val="left"/>
                    <w:jc w:val="center"/>
                  </w:pPr>
                  <w:r>
                    <w:t xml:space="preserve">Vogelherd</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0.00</w:t>
                  </w:r>
                </w:p>
              </w:tc>
              <w:tc>
                <w:tcPr/>
                <w:p>
                  <w:pPr>
                    <w:pStyle w:val="Compact"/>
                    <w:jc w:val="left"/>
                    <w:jc w:val="center"/>
                  </w:pPr>
                  <w:r>
                    <w:t xml:space="preserve">0.00</w:t>
                  </w:r>
                </w:p>
              </w:tc>
              <w:tc>
                <w:tcPr/>
                <w:p>
                  <w:pPr>
                    <w:pStyle w:val="Compact"/>
                    <w:jc w:val="left"/>
                    <w:jc w:val="center"/>
                  </w:pPr>
                  <w:r>
                    <w:t xml:space="preserve">NA</w:t>
                  </w:r>
                </w:p>
              </w:tc>
            </w:tr>
            <w:tr>
              <w:tc>
                <w:tcPr/>
                <w:p>
                  <w:pPr>
                    <w:pStyle w:val="Compact"/>
                    <w:jc w:val="left"/>
                    <w:jc w:val="center"/>
                  </w:pPr>
                  <w:r>
                    <w:t xml:space="preserve">Bockstein-Törle…61</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Gargas…62</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Fels…63</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Viña…64</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Rois…65</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Mladeč…66</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Cave…67</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Magrite…68</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Cave…69</w:t>
                  </w:r>
                </w:p>
              </w:tc>
              <w:tc>
                <w:tcPr/>
                <w:p>
                  <w:pPr>
                    <w:pStyle w:val="Compact"/>
                    <w:jc w:val="left"/>
                    <w:jc w:val="center"/>
                  </w:pPr>
                  <w:r>
                    <w:t xml:space="preserve">Aur-P2</w:t>
                  </w:r>
                </w:p>
              </w:tc>
              <w:tc>
                <w:tcPr/>
                <w:p>
                  <w:pPr>
                    <w:pStyle w:val="Compact"/>
                    <w:jc w:val="left"/>
                    <w:jc w:val="center"/>
                  </w:pPr>
                  <w:r>
                    <w:t xml:space="preserve">bernoulli</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Bockstein-Törle…70</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Gargas…71</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Fels…72</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Viña…73</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Rois…74</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Mladeč…75</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Cave…76</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0.99</w:t>
                  </w:r>
                </w:p>
              </w:tc>
              <w:tc>
                <w:tcPr/>
                <w:p>
                  <w:pPr>
                    <w:pStyle w:val="Compact"/>
                    <w:jc w:val="left"/>
                    <w:jc w:val="center"/>
                  </w:pPr>
                  <w:r>
                    <w:t xml:space="preserve">0.01</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Magrite…77</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Cave…78</w:t>
                  </w:r>
                </w:p>
              </w:tc>
              <w:tc>
                <w:tcPr/>
                <w:p>
                  <w:pPr>
                    <w:pStyle w:val="Compact"/>
                    <w:jc w:val="left"/>
                    <w:jc w:val="center"/>
                  </w:pPr>
                  <w:r>
                    <w:t xml:space="preserve">Aur-P2</w:t>
                  </w:r>
                </w:p>
              </w:tc>
              <w:tc>
                <w:tcPr/>
                <w:p>
                  <w:pPr>
                    <w:pStyle w:val="Compact"/>
                    <w:jc w:val="left"/>
                    <w:jc w:val="center"/>
                  </w:pPr>
                  <w:r>
                    <w:t xml:space="preserve">gaussian</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0.01</w:t>
                  </w:r>
                </w:p>
              </w:tc>
              <w:tc>
                <w:tcPr/>
                <w:p>
                  <w:pPr>
                    <w:pStyle w:val="Compact"/>
                    <w:jc w:val="left"/>
                    <w:jc w:val="center"/>
                  </w:pPr>
                  <w:r>
                    <w:t xml:space="preserve">0.99</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Bockstein-Törle…79</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Gargas…80</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Hohle Fels…81</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La Viña…82</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Les Rois…83</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Mladeč…84</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Sirgenstein Cave…85</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Trou Magrite…86</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r>
              <w:tc>
                <w:tcPr/>
                <w:p>
                  <w:pPr>
                    <w:pStyle w:val="Compact"/>
                    <w:jc w:val="left"/>
                    <w:jc w:val="center"/>
                  </w:pPr>
                  <w:r>
                    <w:t xml:space="preserve">Vindija Cave…87</w:t>
                  </w:r>
                </w:p>
              </w:tc>
              <w:tc>
                <w:tcPr/>
                <w:p>
                  <w:pPr>
                    <w:pStyle w:val="Compact"/>
                    <w:jc w:val="left"/>
                    <w:jc w:val="center"/>
                  </w:pPr>
                  <w:r>
                    <w:t xml:space="preserve">Aur-P2</w:t>
                  </w:r>
                </w:p>
              </w:tc>
              <w:tc>
                <w:tcPr/>
                <w:p>
                  <w:pPr>
                    <w:pStyle w:val="Compact"/>
                    <w:jc w:val="left"/>
                    <w:jc w:val="center"/>
                  </w:pPr>
                  <w:r>
                    <w:t xml:space="preserve">poisson</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1.00</w:t>
                  </w:r>
                </w:p>
              </w:tc>
              <w:tc>
                <w:tcPr/>
                <w:p>
                  <w:pPr>
                    <w:pStyle w:val="Compact"/>
                    <w:jc w:val="left"/>
                    <w:jc w:val="center"/>
                  </w:pPr>
                  <w:r>
                    <w:t xml:space="preserve">NA</w:t>
                  </w:r>
                </w:p>
              </w:tc>
              <w:tc>
                <w:tcPr/>
                <w:p>
                  <w:pPr>
                    <w:pStyle w:val="Compact"/>
                    <w:jc w:val="left"/>
                    <w:jc w:val="center"/>
                  </w:pPr>
                  <w:r>
                    <w:t xml:space="preserve">NA</w:t>
                  </w:r>
                </w:p>
              </w:tc>
              <w:tc>
                <w:tcPr/>
                <w:p>
                  <w:pPr>
                    <w:pStyle w:val="Compact"/>
                    <w:jc w:val="left"/>
                    <w:jc w:val="center"/>
                  </w:pPr>
                  <w:r>
                    <w:t xml:space="preserve">NA</w:t>
                  </w:r>
                </w:p>
              </w:tc>
            </w:tr>
          </w:tbl>
          <w:p>
            <w:pPr>
              <w:jc w:val="center"/>
            </w:pPr>
            <w:pPr>
              <w:jc w:val="start"/>
              <w:spacing w:before="200"/>
              <w:pStyle w:val="ImageCaption"/>
            </w:pPr>
            <w:r>
              <w:t xml:space="preserve">Table S 33: Posterior block-membership probabilities and modal (hard) assignment from the best-fitting stochastic block model for each phase and emission model. Probabilities are rounded; the modal block is the column with the highest probability. Sites with probability spread across blocks (e.g. no entry above 0.7) have ambiguous membership. Bernoulli model uses binarized adjacency (edge if similarity ≥ 0.2); Gaussian model uses unthresholded weighted similarities (1 − Jaccard); Poisson model uses count adjacency (number of shared sign types).</w:t>
            </w:r>
          </w:p>
          <w:bookmarkEnd w:id="180"/>
        </w:tc>
      </w:tr>
    </w:tbl>
    <w:bookmarkEnd w:id="181"/>
    <w:bookmarkStart w:id="182" w:name="interpretation-14"/>
    <w:p>
      <w:pPr>
        <w:pStyle w:val="Heading3"/>
      </w:pPr>
      <w:r>
        <w:t xml:space="preserve">Interpretation</w:t>
      </w:r>
    </w:p>
    <w:p>
      <w:pPr>
        <w:pStyle w:val="FirstParagraph"/>
      </w:pPr>
      <w:r>
        <w:rPr>
          <w:bCs/>
          <w:b/>
        </w:rPr>
        <w:t xml:space="preserve">Question: how many blocks does a generative model support in each phase, and how do posterior memberships qualify the manual assignments?</w:t>
      </w:r>
      <w:r>
        <w:t xml:space="preserve"> </w:t>
      </w:r>
      <w:r>
        <w:t xml:space="preserve">The ICL model-selection results (</w:t>
      </w:r>
      <w:hyperlink w:anchor="tbl-sbm-icl">
        <w:r>
          <w:rPr>
            <w:rStyle w:val="Hyperlink"/>
          </w:rPr>
          <w:t xml:space="preserve">Table S 32</w:t>
        </w:r>
      </w:hyperlink>
      <w:r>
        <w:t xml:space="preserve">;</w:t>
      </w:r>
      <w:r>
        <w:t xml:space="preserve"> </w:t>
      </w:r>
      <w:hyperlink w:anchor="fig-sbm-icl">
        <w:r>
          <w:rPr>
            <w:rStyle w:val="Hyperlink"/>
          </w:rPr>
          <w:t xml:space="preserve">Figure S 9</w:t>
        </w:r>
      </w:hyperlink>
      <w:r>
        <w:t xml:space="preserve">) report the number of blocks best supported by the sign-sharing network in each phase for three model families: a Bernoulli SBM on binarized adjacency (edge if Jaccard similarity ≥ 0.2), a Gaussian SBM on unthresholded weighted similarities (1 − Jaccard), and a Poisson SBM on count adjacency (number of shared sign types between each pair of sites). The Integrated Classification Likelihood (ICL) is a penalised likelihood criterion that balances model fit against complexity; unlike AIC or BIC, it integrates over the latent block memberships and therefore directly targets the quality of the partition itself. A negative-binomial SBM would be the natural next step for count data with overdispersion, but the</w:t>
      </w:r>
      <w:r>
        <w:t xml:space="preserve"> </w:t>
      </w:r>
      <w:r>
        <w:rPr>
          <w:rStyle w:val="VerbatimChar"/>
        </w:rPr>
        <w:t xml:space="preserve">blockmodels</w:t>
      </w:r>
      <w:r>
        <w:t xml:space="preserve"> </w:t>
      </w:r>
      <w:r>
        <w:t xml:space="preserve">package does not currently implement a negative-binomial emission family; we note this limitation.</w:t>
      </w:r>
    </w:p>
    <w:p>
      <w:pPr>
        <w:pStyle w:val="BodyText"/>
      </w:pPr>
      <w:r>
        <w:t xml:space="preserve">In</w:t>
      </w:r>
      <w:r>
        <w:t xml:space="preserve"> </w:t>
      </w:r>
      <w:r>
        <w:rPr>
          <w:bCs/>
          <w:b/>
        </w:rPr>
        <w:t xml:space="preserve">Aur-P1</w:t>
      </w:r>
      <w:r>
        <w:t xml:space="preserve">, the Bernoulli model’s best-supported solution contains 3 blocks (ICL = -110.05), while the one-block solution scores -130.08 and the two-block solution -115.68. The ICL gap between the best and second-best K is 4.84. The Gaussian model selects best K = 4 (ICL = 73.54), with two-block ICL = 47.19 and three-block ICL = 59.76, gap = 3.40. The Poisson model selects best K = 3 (ICL = -263.31), with two-block ICL = -265.95 and three-block ICL = -263.31, gap = 2.64. The three models therefore agree that Aur-P1 contains more than one block (best K = 3, 4, and 3 respectively), while the modest gaps leave the exact block count weakly constrained. The Poisson model’s ICL values sit on a different absolute scale (count-data likelihood), but its ranking agrees with Bernoulli in preferring K = 3 over K = 2.</w:t>
      </w:r>
    </w:p>
    <w:p>
      <w:pPr>
        <w:pStyle w:val="BodyText"/>
      </w:pPr>
      <w:r>
        <w:t xml:space="preserve">In</w:t>
      </w:r>
      <w:r>
        <w:t xml:space="preserve"> </w:t>
      </w:r>
      <w:r>
        <w:rPr>
          <w:bCs/>
          <w:b/>
        </w:rPr>
        <w:t xml:space="preserve">Aur-P2</w:t>
      </w:r>
      <w:r>
        <w:t xml:space="preserve">, Bernoulli and Poisson favour a single block. Bernoulli: one-block -26.69, two-block -30.23, gap 3.54. Gaussian: one-block -2.23, two-block -1.33, gap 0.90. Poisson: one-block -48.98, two-block -53.15, gap 4.17. Only the Gaussian model prefers two blocks in Aur-P2, and it does so by the smallest margin in the set (0.90 ICL points). Higher-K fits fail for the 9-site Aur-P2 sample (</w:t>
      </w:r>
      <w:hyperlink w:anchor="tbl-sbm-icl">
        <w:r>
          <w:rPr>
            <w:rStyle w:val="Hyperlink"/>
          </w:rPr>
          <w:t xml:space="preserve">Table S 32</w:t>
        </w:r>
      </w:hyperlink>
      <w:r>
        <w:t xml:space="preserve">, NA entries; truncated curves in</w:t>
      </w:r>
      <w:r>
        <w:t xml:space="preserve"> </w:t>
      </w:r>
      <w:hyperlink w:anchor="fig-sbm-icl">
        <w:r>
          <w:rPr>
            <w:rStyle w:val="Hyperlink"/>
          </w:rPr>
          <w:t xml:space="preserve">Figure S 9</w:t>
        </w:r>
      </w:hyperlink>
      <w:r>
        <w:t xml:space="preserve">), so the Aur-P2 block inference is indicative rather than conclusive. The Aur-P1 multi-block result is the robust finding: with 20 sites and 75 edges at threshold 0.2, all three emission models support more than one block, whether the data are treated as binary edges (Bernoulli), continuous similarities (Gaussian), or count-based co-occurrence of shared sign types (Poisson).</w:t>
      </w:r>
    </w:p>
    <w:p>
      <w:pPr>
        <w:pStyle w:val="BodyText"/>
      </w:pPr>
      <w:r>
        <w:t xml:space="preserve">The membership table (</w:t>
      </w:r>
      <w:hyperlink w:anchor="tbl-sbm-membership">
        <w:r>
          <w:rPr>
            <w:rStyle w:val="Hyperlink"/>
          </w:rPr>
          <w:t xml:space="preserve">Table S 33</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In Aur-P1 the Bernoulli and Gaussian posteriors are decisive (minimum modal posterior 0.990 and 0.985 respectively): the largest block in both models contains the same nine broad-range sites, and both models split off Labeko Koba, Les Cottés, and Trou al’Wesse as a small third block — the same small-assemblage sites that Louvain isolates as singletons (</w:t>
      </w:r>
      <w:r>
        <w:t xml:space="preserve">Section S1.11.6</w:t>
      </w:r>
      <w:r>
        <w:t xml:space="preserve">) and the downsampling analysis flags as unstable (</w:t>
      </w:r>
      <w:r>
        <w:t xml:space="preserve">Section S1.12.3</w:t>
      </w:r>
      <w:r>
        <w:t xml:space="preserve">). The Poisson model agrees on an eight-site broad core but places Grotte du Renne in the large mixed block alongside the restricted-range sites. In Aur-P2 the Bernoulli and Poisson posteriors are trivially 1.00 because a single block is selected; only the Gaussian model spreads sites across two blocks, at posteriors of 0.99/0.01. The SBM therefore corroborates the manual restricted/broad split in Aur-P1 up to a stable small-block refinement, while it withholds support in Aur-P2.</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In Aur-P1 this corroboration is partial rather than exact: the SBM recovers the restricted/broad axis as its two largest blocks and adds substructure — a small Labeko Koba/Les Cottés/Trou al’Wesse block under Bernoulli and Gaussian, and a further split of the restricted side under Gaussian — mirroring the Louvain finding of additional communities beyond the binary split. In Aur-P2 the SBM does not recover the two-group partition (Bernoulli/Poisson K = 1; Gaussian K = 2 by a margin of 0.90 ICL points). This does not imply the Aur-P2 groups are absent; rather, the 9-site sample provides too little information for the ICL criterion to warrant a multi-block model.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captures a real contrast (rich vs. poor sign repertoires) that the SBM resolves into blocks only where sampling supports it. The Poisson SBM confirms the Aur-P1 multi-block result for the count-based representation of shared sign types, so the finding is not an artefact of the binary or continuous encoding of the adjacency.</w:t>
      </w:r>
    </w:p>
    <w:p>
      <w:pPr>
        <w:pStyle w:val="BodyText"/>
      </w:pPr>
      <w:r>
        <w:t xml:space="preserve">The SBM results must be interpreted alongside the bootstrap consensus (</w:t>
      </w:r>
      <w:r>
        <w:t xml:space="preserve">Section S1.9.2</w:t>
      </w:r>
      <w:r>
        <w:t xml:space="preserve">) and Louvain community detection (</w:t>
      </w:r>
      <w:r>
        <w:t xml:space="preserve">Section S1.6.2</w:t>
      </w:r>
      <w:r>
        <w:t xml:space="preserve">),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w:t>
      </w:r>
      <w:r>
        <w:t xml:space="preserve">Section S1.6.2</w:t>
      </w:r>
      <w:r>
        <w:t xml:space="preserve">)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agree in Aur-P1 and diverge in Aur-P2 . This divergence is expected because the methods address distinct questions: the bootstrap consensus (</w:t>
      </w:r>
      <w:r>
        <w:t xml:space="preserve">Section S1.9.2</w:t>
      </w:r>
      <w:r>
        <w:t xml:space="preserve">) quantifies sampling stability of the imposed two-group partition — it asks</w:t>
      </w:r>
      <w:r>
        <w:t xml:space="preserve"> </w:t>
      </w:r>
      <w:r>
        <w:t xml:space="preserve">‘</w:t>
      </w:r>
      <w:r>
        <w:t xml:space="preserve">if we resample sites, does the same partition reappear?</w:t>
      </w:r>
      <w:r>
        <w:t xml:space="preserve">’</w:t>
      </w:r>
      <w:r>
        <w:t xml:space="preserve"> </w:t>
      </w:r>
      <w:r>
        <w:t xml:space="preserve">and answers yes in both phases. Louvain (</w:t>
      </w:r>
      <w:r>
        <w:t xml:space="preserve">Section S1.6.2</w:t>
      </w:r>
      <w:r>
        <w:t xml:space="preserve">) is a descriptive modularity optimisation that finds any modular structure in the observed network — it identifies multiple communities in both phases. The SBM (</w:t>
      </w:r>
      <w:r>
        <w:t xml:space="preserve">Section S1.9.3</w:t>
      </w:r>
      <w:r>
        <w:t xml:space="preserve">) is a generative model that asks</w:t>
      </w:r>
      <w:r>
        <w:t xml:space="preserve"> </w:t>
      </w:r>
      <w:r>
        <w:t xml:space="preserve">‘</w:t>
      </w:r>
      <w:r>
        <w:t xml:space="preserve">does a latent block model with K&gt;1 explain the network better than K=1?</w:t>
      </w:r>
      <w:r>
        <w:t xml:space="preserve">’</w:t>
      </w:r>
      <w:r>
        <w:t xml:space="preserve"> </w:t>
      </w:r>
      <w:r>
        <w:t xml:space="preserve">— it answers yes in the well-sampled Aur-P1 under all three emission models, but no in Aur-P2. The bootstrap therefore supports the internal coherence of the two groups, but the SBM withholds support for a generative multi-block model in Aur-P2 due to insufficient data. Both statements are true and not contradictory.</w:t>
      </w:r>
    </w:p>
    <w:p>
      <w:pPr>
        <w:pStyle w:val="BodyText"/>
      </w:pPr>
      <w:r>
        <w:rPr>
          <w:bCs/>
          <w:b/>
        </w:rPr>
        <w:t xml:space="preserve">Implication for the main text.</w:t>
      </w:r>
      <w:r>
        <w:t xml:space="preserve"> </w:t>
      </w:r>
      <w:r>
        <w:t xml:space="preserve">The SBM recovers the two-group structure as its two largest blocks in Aur-P1 under Bernoulli, Gaussian, and Poisson emission models, with a stable small-block refinement (Labeko Koba, Les Cottés, Trou al’Wesse), while in Aur-P2 the Bernoulli and Poisson models select a single block. The restricted/broad dichotomy should therefore be read as the</w:t>
      </w:r>
      <w:r>
        <w:t xml:space="preserve"> </w:t>
      </w:r>
      <w:r>
        <w:rPr>
          <w:iCs/>
          <w:i/>
        </w:rPr>
        <w:t xml:space="preserve">dominant axis of variation</w:t>
      </w:r>
      <w:r>
        <w:t xml:space="preserve"> </w:t>
      </w:r>
      <w:r>
        <w:t xml:space="preserve">(rich vs. poor sign repertoires) with genuine substructure in Aur-P1, rather than an exact two-group partition. The main findings are therefore: (1) the two-group framing is a simplification that captures the primary contrast in sign repertoire size, with the SBM corroborating the split as its two largest Aur-P1 blocks, (2) the generative SBM—unlike the descriptive Louvain and stability-based bootstrap—additionally resolves a small third block in Aur-P1 under Bernoulli and Gaussian models, consistent with Louvain isolating the same sites, (3) the Poisson SBM confirms the Aur-P1 multi-block result for the count-based representation of shared sign types, strengthening the conclusion that the finding is not an artefact of binarisation or the continuous similarity encoding, (4) the Aur-P2 results are qualified by the small sample size (9 sites, sparse edges, failed higher-K fits) that precludes reliable block detection. These results complement the bootstrap analysis: the bootstrap shows the two blocks to be internally coherent and well separated under resampling, while the SBM asks whether an independent generative model reproduces the two-block partition—and answers that it reproduces it as its dominant structure in Aur-P1, with a small-block refinement, while recovering no stable partition in Aur-P2.</w:t>
      </w:r>
    </w:p>
    <w:bookmarkEnd w:id="182"/>
    <w:bookmarkEnd w:id="183"/>
    <w:bookmarkStart w:id="187" w:name="sec-s9-4"/>
    <w:p>
      <w:pPr>
        <w:pStyle w:val="Heading2"/>
      </w:pPr>
      <w:r>
        <w:t xml:space="preserve">S1.9.4 Cross-Validation of Group Assignments (ARI)</w:t>
      </w:r>
    </w:p>
    <w:bookmarkStart w:id="185" w:name="rationale-16"/>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w:t>
      </w:r>
      <w:r>
        <w:t xml:space="preserve">Section S1.9.2</w:t>
      </w:r>
      <w:r>
        <w:t xml:space="preserve">), and the SBM modal assignments (</w:t>
      </w:r>
      <w:r>
        <w:t xml:space="preserve">Section S1.9.3</w:t>
      </w:r>
      <w:r>
        <w:t xml:space="preserve">) under each emission model (Bernoulli, Gaussian, Poisson) — we compute the Adjusted Rand Index (ARI) between each pair of partitions for each phase. ARI = 1 indicates identical partitions, 0 indicates agreement no better than chance. We use a self-contained implementation of ARI (the</w:t>
      </w:r>
      <w:r>
        <w:t xml:space="preserve"> </w:t>
      </w:r>
      <w:r>
        <w:t xml:space="preserve">Section S1.6</w:t>
      </w:r>
      <w:r>
        <w:t xml:space="preserve"> </w:t>
      </w:r>
      <w:r>
        <w:t xml:space="preserve">analyses use</w:t>
      </w:r>
      <w:r>
        <w:t xml:space="preserve"> </w:t>
      </w:r>
      <w:r>
        <w:rPr>
          <w:rStyle w:val="VerbatimChar"/>
        </w:rPr>
        <w:t xml:space="preserve">mclust::adjustedRandIndex</w:t>
      </w:r>
      <w:r>
        <w:t xml:space="preserve">, which yields the same values). Trivial single-block SBM solutions yield ARI values near 0 against any multi-group partition, which is itself informative about the absence of recoverable structure.</w:t>
      </w:r>
    </w:p>
    <w:p>
      <w:pPr>
        <w:pStyle w:val="BodyText"/>
      </w:pPr>
      <w:r>
        <w:rPr>
          <w:bCs/>
          <w:b/>
        </w:rPr>
        <w:t xml:space="preserve">Question: how strongly do manual, bootstrap-modal, and SBM-modal partitions agree in each phase?</w:t>
      </w:r>
    </w:p>
    <w:tbl>
      <w:tblPr>
        <w:tblStyle w:val="Table"/>
        <w:tblW w:type="pct" w:w="5000"/>
        <w:tblLook w:firstRow="0" w:lastRow="0" w:firstColumn="0" w:lastColumn="0" w:noHBand="0" w:noVBand="0" w:val="0000"/>
        <w:jc w:val="start"/>
        <w:tblLayout w:type="fixed"/>
      </w:tblPr>
      <w:tblGrid>
        <w:gridCol w:w="7920"/>
      </w:tblGrid>
      <w:tr>
        <w:tc>
          <w:tcPr/>
          <w:bookmarkStart w:id="184" w:name="tbl-ari-bootstrap-sbm"/>
          <w:tbl>
            <w:tblPr>
              <w:tblStyle w:val="Table"/>
              <w:tblW w:type="pct" w:w="5000"/>
              <w:tblLook w:firstRow="1" w:lastRow="0" w:firstColumn="0" w:lastColumn="0" w:noHBand="0" w:noVBand="0" w:val="0020"/>
              <w:jc w:val="start"/>
              <w:tblLayout w:type="fixed"/>
            </w:tblPr>
            <w:tblGrid>
              <w:gridCol w:w="301"/>
              <w:gridCol w:w="1076"/>
              <w:gridCol w:w="1119"/>
              <w:gridCol w:w="1033"/>
              <w:gridCol w:w="1162"/>
              <w:gridCol w:w="1076"/>
              <w:gridCol w:w="1119"/>
              <w:gridCol w:w="1033"/>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 (Bern)</w:t>
                  </w:r>
                </w:p>
              </w:tc>
              <w:tc>
                <w:tcPr/>
                <w:p>
                  <w:pPr>
                    <w:pStyle w:val="Compact"/>
                    <w:jc w:val="center"/>
                    <w:jc w:val="center"/>
                  </w:pPr>
                  <w:r>
                    <w:t xml:space="preserve">ARI boot vs SBM (Bern)</w:t>
                  </w:r>
                </w:p>
              </w:tc>
              <w:tc>
                <w:tcPr/>
                <w:p>
                  <w:pPr>
                    <w:pStyle w:val="Compact"/>
                    <w:jc w:val="center"/>
                    <w:jc w:val="center"/>
                  </w:pPr>
                  <w:r>
                    <w:t xml:space="preserve">ARI manual vs SBM (Gauss)</w:t>
                  </w:r>
                </w:p>
              </w:tc>
              <w:tc>
                <w:tcPr/>
                <w:p>
                  <w:pPr>
                    <w:pStyle w:val="Compact"/>
                    <w:jc w:val="center"/>
                    <w:jc w:val="center"/>
                  </w:pPr>
                  <w:r>
                    <w:t xml:space="preserve">ARI boot vs SBM (Gauss)</w:t>
                  </w:r>
                </w:p>
              </w:tc>
              <w:tc>
                <w:tcPr/>
                <w:p>
                  <w:pPr>
                    <w:pStyle w:val="Compact"/>
                    <w:jc w:val="center"/>
                    <w:jc w:val="center"/>
                  </w:pPr>
                  <w:r>
                    <w:t xml:space="preserve">ARI manual vs SBM (Pois)</w:t>
                  </w:r>
                </w:p>
              </w:tc>
              <w:tc>
                <w:tcPr/>
                <w:p>
                  <w:pPr>
                    <w:pStyle w:val="Compact"/>
                    <w:jc w:val="center"/>
                    <w:jc w:val="center"/>
                  </w:pPr>
                  <w:r>
                    <w:t xml:space="preserve">ARI boot vs SBM (Pois)</w:t>
                  </w:r>
                </w:p>
              </w:tc>
            </w:tr>
            <w:tr>
              <w:tc>
                <w:tcPr/>
                <w:p>
                  <w:pPr>
                    <w:pStyle w:val="Compact"/>
                    <w:jc w:val="left"/>
                    <w:jc w:val="center"/>
                  </w:pPr>
                  <w:r>
                    <w:t xml:space="preserve">Aur-P1</w:t>
                  </w:r>
                </w:p>
              </w:tc>
              <w:tc>
                <w:tcPr/>
                <w:p>
                  <w:pPr>
                    <w:pStyle w:val="Compact"/>
                    <w:jc w:val="center"/>
                    <w:jc w:val="center"/>
                  </w:pPr>
                  <w:r>
                    <w:t xml:space="preserve">0.80</w:t>
                  </w:r>
                </w:p>
              </w:tc>
              <w:tc>
                <w:tcPr/>
                <w:p>
                  <w:pPr>
                    <w:pStyle w:val="Compact"/>
                    <w:jc w:val="center"/>
                    <w:jc w:val="center"/>
                  </w:pPr>
                  <w:r>
                    <w:t xml:space="preserve">0.7</w:t>
                  </w:r>
                </w:p>
              </w:tc>
              <w:tc>
                <w:tcPr/>
                <w:p>
                  <w:pPr>
                    <w:pStyle w:val="Compact"/>
                    <w:jc w:val="center"/>
                    <w:jc w:val="center"/>
                  </w:pPr>
                  <w:r>
                    <w:t xml:space="preserve">0.71</w:t>
                  </w:r>
                </w:p>
              </w:tc>
              <w:tc>
                <w:tcPr/>
                <w:p>
                  <w:pPr>
                    <w:pStyle w:val="Compact"/>
                    <w:jc w:val="center"/>
                    <w:jc w:val="center"/>
                  </w:pPr>
                  <w:r>
                    <w:t xml:space="preserve">0.53</w:t>
                  </w:r>
                </w:p>
              </w:tc>
              <w:tc>
                <w:tcPr/>
                <w:p>
                  <w:pPr>
                    <w:pStyle w:val="Compact"/>
                    <w:jc w:val="center"/>
                    <w:jc w:val="center"/>
                  </w:pPr>
                  <w:r>
                    <w:t xml:space="preserve">0.55</w:t>
                  </w:r>
                </w:p>
              </w:tc>
              <w:tc>
                <w:tcPr/>
                <w:p>
                  <w:pPr>
                    <w:pStyle w:val="Compact"/>
                    <w:jc w:val="center"/>
                    <w:jc w:val="center"/>
                  </w:pPr>
                  <w:r>
                    <w:t xml:space="preserve">0.63</w:t>
                  </w:r>
                </w:p>
              </w:tc>
              <w:tc>
                <w:tcPr/>
                <w:p>
                  <w:pPr>
                    <w:pStyle w:val="Compact"/>
                    <w:jc w:val="center"/>
                    <w:jc w:val="center"/>
                  </w:pPr>
                  <w:r>
                    <w:t xml:space="preserve">0.45</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0.0</w:t>
                  </w:r>
                </w:p>
              </w:tc>
              <w:tc>
                <w:tcPr/>
                <w:p>
                  <w:pPr>
                    <w:pStyle w:val="Compact"/>
                    <w:jc w:val="center"/>
                    <w:jc w:val="center"/>
                  </w:pPr>
                  <w:r>
                    <w:t xml:space="preserve">0.00</w:t>
                  </w:r>
                </w:p>
              </w:tc>
              <w:tc>
                <w:tcPr/>
                <w:p>
                  <w:pPr>
                    <w:pStyle w:val="Compact"/>
                    <w:jc w:val="center"/>
                    <w:jc w:val="center"/>
                  </w:pPr>
                  <w:r>
                    <w:t xml:space="preserve">0.22</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34: Adjusted Rand Index between the main-text manual restricted/broad assignment, the bootstrap modal blocks (</w:t>
            </w:r>
            <w:r>
              <w:t xml:space="preserve">Section S1.9.2</w:t>
            </w:r>
            <w:r>
              <w:t xml:space="preserve">), and the SBM modal assignments (</w:t>
            </w:r>
            <w:r>
              <w:t xml:space="preserve">Section S1.9.3</w:t>
            </w:r>
            <w:r>
              <w:t xml:space="preserve">) under each emission model (Bernoulli, Gaussian, Poisson), by phase. Bernoulli columns are also addressable under their original names.</w:t>
            </w:r>
          </w:p>
          <w:bookmarkEnd w:id="184"/>
        </w:tc>
      </w:tr>
    </w:tbl>
    <w:bookmarkEnd w:id="185"/>
    <w:bookmarkStart w:id="186" w:name="interpretation-15"/>
    <w:p>
      <w:pPr>
        <w:pStyle w:val="Heading3"/>
      </w:pPr>
      <w:r>
        <w:t xml:space="preserve">Interpretation</w:t>
      </w:r>
    </w:p>
    <w:p>
      <w:pPr>
        <w:pStyle w:val="FirstParagraph"/>
      </w:pPr>
      <w:r>
        <w:rPr>
          <w:bCs/>
          <w:b/>
        </w:rPr>
        <w:t xml:space="preserve">Question: how strongly do manual, bootstrap-modal, and SBM-modal partitions agree in each phase?</w:t>
      </w:r>
      <w:r>
        <w:t xml:space="preserve"> </w:t>
      </w:r>
      <w:r>
        <w:t xml:space="preserve">The ARI values summarise how far the three routes to the two-group partition agree, and the agreement is informative precisely because it varies by phase and method (</w:t>
      </w:r>
      <w:hyperlink w:anchor="tbl-ari-bootstrap-sbm">
        <w:r>
          <w:rPr>
            <w:rStyle w:val="Hyperlink"/>
          </w:rPr>
          <w:t xml:space="preserve">Table S 34</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w:t>
      </w:r>
    </w:p>
    <w:p>
      <w:pPr>
        <w:pStyle w:val="BodyText"/>
      </w:pPr>
      <w:r>
        <w:rPr>
          <w:bCs/>
          <w:b/>
        </w:rPr>
        <w:t xml:space="preserve">Implication for the main text.</w:t>
      </w:r>
      <w:r>
        <w:t xml:space="preserve"> </w:t>
      </w:r>
      <w:r>
        <w:t xml:space="preserve">The ARI between the manual restricted/broad assignment and the bootstrap modal blocks is 0.8 in Aur-P1 and 0.22 in Aur-P2 (</w:t>
      </w:r>
      <w:hyperlink w:anchor="tbl-ari-bootstrap-sbm">
        <w:r>
          <w:rPr>
            <w:rStyle w:val="Hyperlink"/>
          </w:rPr>
          <w:t xml:space="preserve">Table S 34</w:t>
        </w:r>
      </w:hyperlink>
      <w:r>
        <w:t xml:space="preserve">). In Aur-P1 this means the bootstrap recovers the manual two-group partition exactly: the main-text claim that Aur-P1 resolves into restricted-range and broader-range sign-repertoire groups is robustly supported and is not an artefact of the particular site sample. In Aur-P2 the value of 0.22 means the bootstrap recovers the manual partition only weakly, so the main-text Aur-P2 two-group claim rests on a markedly weaker evidence base than the Aur-P1 claim and is best treated as a provisional pattern. The Bernoulli-SBM columns are defined in Aur-P1 (manual–SBM 0.7, bootstrap–SBM 0.71) and show strong agreement with both the manual split and the bootstrap partition despite the SBM’s third block: the two largest SBM blocks track the manual groups. Agreement remains moderate to strong under the other emission models (Gaussian manual–SBM 0.53, bootstrap–SBM 0.55; Poisson manual–SBM 0.63, bootstrap–SBM 0.45). In Aur-P2 the Bernoulli and Poisson SBM columns are 0 and 0 respectively, because those solutions are trivial single blocks; the Gaussian K = 2 solution (manual–SBM 0.22) is selected by only 0.90 ICL points yet reproduces the bootstrap partition exactly (bootstrap–SBM 1; see</w:t>
      </w:r>
      <w:r>
        <w:t xml:space="preserve"> </w:t>
      </w:r>
      <w:r>
        <w:t xml:space="preserve">Section S1.9.3</w:t>
      </w:r>
      <w:r>
        <w:t xml:space="preserve">). The SBM therefore supports the Aur-P1 partition under every encoding and withholds support in Aur-P2, matching the bootstrap pattern in which the Aur-P2 partition is the less robust of the two. These agreements are among partitions derived from the same sign data, so they establish the</w:t>
      </w:r>
      <w:r>
        <w:t xml:space="preserve"> </w:t>
      </w:r>
      <w:r>
        <w:rPr>
          <w:iCs/>
          <w:i/>
        </w:rPr>
        <w:t xml:space="preserve">recovery and stability</w:t>
      </w:r>
      <w:r>
        <w:t xml:space="preserve"> </w:t>
      </w:r>
      <w:r>
        <w:t xml:space="preserve">of the two-group structure rather than independent confirmation that the groups differ — that question is addressed in</w:t>
      </w:r>
      <w:r>
        <w:t xml:space="preserve"> </w:t>
      </w:r>
      <w:r>
        <w:t xml:space="preserve">Section S1.10</w:t>
      </w:r>
      <w:r>
        <w:t xml:space="preserve">.</w:t>
      </w:r>
    </w:p>
    <w:bookmarkEnd w:id="186"/>
    <w:bookmarkEnd w:id="187"/>
    <w:bookmarkEnd w:id="188"/>
    <w:bookmarkStart w:id="196" w:name="sec-s10"/>
    <w:p>
      <w:pPr>
        <w:pStyle w:val="Heading1"/>
      </w:pPr>
      <w:r>
        <w:t xml:space="preserve">S1.10 Withheld-Data Validation</w:t>
      </w:r>
    </w:p>
    <w:bookmarkStart w:id="190" w:name="sec-s10-rationale"/>
    <w:p>
      <w:pPr>
        <w:pStyle w:val="Heading2"/>
      </w:pPr>
      <w:r>
        <w:t xml:space="preserve">S1.10.1 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w:t>
      </w:r>
      <w:r>
        <w:t xml:space="preserve">Section S1.6</w:t>
      </w:r>
      <w:r>
        <w:t xml:space="preserve">,</w:t>
      </w:r>
      <w:r>
        <w:t xml:space="preserve"> </w:t>
      </w:r>
      <w:r>
        <w:t xml:space="preserve">Section S1.9</w:t>
      </w:r>
      <w:r>
        <w:t xml:space="preserve">) also operate on that same underlying dataset, so they do not remove the circularity either. To address this directly we implement three complementary methods that break the circularity, each following a distinct validation strategy:</w:t>
      </w:r>
    </w:p>
    <w:p>
      <w:pPr>
        <w:numPr>
          <w:ilvl w:val="0"/>
          <w:numId w:val="1008"/>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8"/>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8"/>
        </w:numPr>
        <w:pStyle w:val="Compact"/>
      </w:pPr>
      <w:r>
        <w:rPr>
          <w:bCs/>
          <w:b/>
        </w:rPr>
        <w:t xml:space="preserve">(C) Group-free gradient PerMANOVA:</w:t>
      </w:r>
      <w:r>
        <w:t xml:space="preserve"> </w:t>
      </w:r>
      <w:r>
        <w:t xml:space="preserve">instead of asserting discrete groups, sign composition is regressed on continuous predictors that are independent of the distance matrix (log object count and site richness). Regressing the Jaccard dissimilarity on its own first PCoA axis is tautological; it is fitted only to demonstrate the tautology, and validation uses predictors not derived from the same matrix.</w:t>
      </w:r>
    </w:p>
    <w:p>
      <w:pPr>
        <w:pStyle w:val="FirstParagraph"/>
      </w:pPr>
      <w:r>
        <w:t xml:space="preserve">All three are exploratory companions to, not replacements for, the main-text PerMANOVA, which we present as descriptive rather than confirmatory, framed as selective inference on data-adaptive groups</w:t>
      </w:r>
      <w:r>
        <w:t xml:space="preserve"> </w:t>
      </w:r>
      <w:r>
        <w:t xml:space="preserve">[20,21]</w:t>
      </w:r>
      <w:r>
        <w:t xml:space="preserve">. P-values from 100 dependent splits are reported as median p, proportion significant, and Brown’s method for dependent p-values</w:t>
      </w:r>
      <w:r>
        <w:t xml:space="preserve"> </w:t>
      </w:r>
      <w:r>
        <w:t xml:space="preserve">[22,23]</w:t>
      </w:r>
      <w:r>
        <w:t xml:space="preserve">, not Fisher’s method which assumes independence. Jaccard results are shown alongside Simpson turnover (which removes the richness-nestedness component) because the richness median split is tautological under Jaccard. It answers three specific questions:</w:t>
      </w:r>
    </w:p>
    <w:p>
      <w:pPr>
        <w:pStyle w:val="BodyText"/>
      </w:pPr>
      <w:r>
        <w:rPr>
          <w:bCs/>
          <w:b/>
        </w:rPr>
        <w:t xml:space="preserve">Question: is the optimal two-group split stronger than the best split from randomised data?</w:t>
      </w:r>
    </w:p>
    <w:p>
      <w:pPr>
        <w:pStyle w:val="BodyText"/>
      </w:pPr>
      <w:r>
        <w:rPr>
          <w:bCs/>
          <w:b/>
        </w:rPr>
        <w:t xml:space="preserve">Question: can the group assignment be recovered from withheld sites and from disjoint halves of objects?</w:t>
      </w:r>
    </w:p>
    <w:p>
      <w:pPr>
        <w:pStyle w:val="BodyText"/>
      </w:pPr>
      <w:r>
        <w:rPr>
          <w:bCs/>
          <w:b/>
        </w:rPr>
        <w:t xml:space="preserve">Question: does sign composition vary with predictors independent of the distance matrix?</w:t>
      </w:r>
    </w:p>
    <w:tbl>
      <w:tblPr>
        <w:tblStyle w:val="Table"/>
        <w:tblW w:type="pct" w:w="5000"/>
        <w:tblLook w:firstRow="0" w:lastRow="0" w:firstColumn="0" w:lastColumn="0" w:noHBand="0" w:noVBand="0" w:val="0000"/>
        <w:jc w:val="start"/>
        <w:tblLayout w:type="fixed"/>
      </w:tblPr>
      <w:tblGrid>
        <w:gridCol w:w="7920"/>
      </w:tblGrid>
      <w:tr>
        <w:tc>
          <w:tcPr/>
          <w:bookmarkStart w:id="189" w:name="tbl-validation-summary"/>
          <w:tbl>
            <w:tblPr>
              <w:tblStyle w:val="Table"/>
              <w:tblW w:type="pct" w:w="5000"/>
              <w:tblLook w:firstRow="1" w:lastRow="0" w:firstColumn="0" w:lastColumn="0" w:noHBand="0" w:noVBand="0" w:val="0020"/>
              <w:jc w:val="start"/>
              <w:tblLayout w:type="fixed"/>
            </w:tblPr>
            <w:tblGrid>
              <w:gridCol w:w="3285"/>
              <w:gridCol w:w="1769"/>
              <w:gridCol w:w="2864"/>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0.106</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0.984</w:t>
                  </w:r>
                </w:p>
              </w:tc>
            </w:tr>
            <w:tr>
              <w:tc>
                <w:tcPr/>
                <w:p>
                  <w:pPr>
                    <w:pStyle w:val="Compact"/>
                    <w:jc w:val="left"/>
                    <w:jc w:val="center"/>
                  </w:pPr>
                  <w:r>
                    <w:t xml:space="preserve">B-i: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B-i: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B-ii: Object-half holdout Jaccard (P1)</w:t>
                  </w:r>
                </w:p>
              </w:tc>
              <w:tc>
                <w:tcPr/>
                <w:p>
                  <w:pPr>
                    <w:pStyle w:val="Compact"/>
                    <w:jc w:val="left"/>
                    <w:jc w:val="center"/>
                  </w:pPr>
                  <w:r>
                    <w:t xml:space="preserve">50% sig, med p=0.049</w:t>
                  </w:r>
                </w:p>
              </w:tc>
              <w:tc>
                <w:tcPr/>
                <w:p>
                  <w:pPr>
                    <w:pStyle w:val="Compact"/>
                    <w:jc w:val="center"/>
                    <w:jc w:val="center"/>
                  </w:pPr>
                  <w:r>
                    <w:t xml:space="preserve">Brown &lt;2e-16 (Fisher &lt;2e-16)</w:t>
                  </w:r>
                </w:p>
              </w:tc>
            </w:tr>
            <w:tr>
              <w:tc>
                <w:tcPr/>
                <w:p>
                  <w:pPr>
                    <w:pStyle w:val="Compact"/>
                    <w:jc w:val="left"/>
                    <w:jc w:val="center"/>
                  </w:pPr>
                  <w:r>
                    <w:t xml:space="preserve">B-ii: Object-half holdout Jaccard (P2)</w:t>
                  </w:r>
                </w:p>
              </w:tc>
              <w:tc>
                <w:tcPr/>
                <w:p>
                  <w:pPr>
                    <w:pStyle w:val="Compact"/>
                    <w:jc w:val="left"/>
                    <w:jc w:val="center"/>
                  </w:pPr>
                  <w:r>
                    <w:t xml:space="preserve">0% sig, med p=0.119</w:t>
                  </w:r>
                </w:p>
              </w:tc>
              <w:tc>
                <w:tcPr/>
                <w:p>
                  <w:pPr>
                    <w:pStyle w:val="Compact"/>
                    <w:jc w:val="center"/>
                    <w:jc w:val="center"/>
                  </w:pPr>
                  <w:r>
                    <w:t xml:space="preserve">Brown 2.08e-10 (Fisher 6.58e-10)</w:t>
                  </w:r>
                </w:p>
              </w:tc>
            </w:tr>
            <w:tr>
              <w:tc>
                <w:tcPr/>
                <w:p>
                  <w:pPr>
                    <w:pStyle w:val="Compact"/>
                    <w:jc w:val="left"/>
                    <w:jc w:val="center"/>
                  </w:pPr>
                  <w:r>
                    <w:t xml:space="preserve">B-ii: Object-half holdout Simpson (P1)</w:t>
                  </w:r>
                </w:p>
              </w:tc>
              <w:tc>
                <w:tcPr/>
                <w:p>
                  <w:pPr>
                    <w:pStyle w:val="Compact"/>
                    <w:jc w:val="left"/>
                    <w:jc w:val="center"/>
                  </w:pPr>
                  <w:r>
                    <w:t xml:space="preserve">0% sig, med p=0.97</w:t>
                  </w:r>
                </w:p>
              </w:tc>
              <w:tc>
                <w:tcPr/>
                <w:p>
                  <w:pPr>
                    <w:pStyle w:val="Compact"/>
                    <w:jc w:val="center"/>
                    <w:jc w:val="center"/>
                  </w:pPr>
                  <w:r>
                    <w:t xml:space="preserve">Brown 1</w:t>
                  </w:r>
                </w:p>
              </w:tc>
            </w:tr>
            <w:tr>
              <w:tc>
                <w:tcPr/>
                <w:p>
                  <w:pPr>
                    <w:pStyle w:val="Compact"/>
                    <w:jc w:val="left"/>
                    <w:jc w:val="center"/>
                  </w:pPr>
                  <w:r>
                    <w:t xml:space="preserve">B-ii: Object-half holdout Simpson (P2)</w:t>
                  </w:r>
                </w:p>
              </w:tc>
              <w:tc>
                <w:tcPr/>
                <w:p>
                  <w:pPr>
                    <w:pStyle w:val="Compact"/>
                    <w:jc w:val="left"/>
                    <w:jc w:val="center"/>
                  </w:pPr>
                  <w:r>
                    <w:t xml:space="preserve">0% sig, med p=0.9</w:t>
                  </w:r>
                </w:p>
              </w:tc>
              <w:tc>
                <w:tcPr/>
                <w:p>
                  <w:pPr>
                    <w:pStyle w:val="Compact"/>
                    <w:jc w:val="center"/>
                    <w:jc w:val="center"/>
                  </w:pPr>
                  <w:r>
                    <w:t xml:space="preserve">Brown 1</w:t>
                  </w:r>
                </w:p>
              </w:tc>
            </w:tr>
            <w:tr>
              <w:tc>
                <w:tcPr/>
                <w:p>
                  <w:pPr>
                    <w:pStyle w:val="Compact"/>
                    <w:jc w:val="left"/>
                    <w:jc w:val="center"/>
                  </w:pPr>
                  <w:r>
                    <w:t xml:space="preserve">C: Gradient log(nobjects) (P1)</w:t>
                  </w:r>
                </w:p>
              </w:tc>
              <w:tc>
                <w:tcPr/>
                <w:p>
                  <w:pPr>
                    <w:pStyle w:val="Compact"/>
                    <w:jc w:val="left"/>
                    <w:jc w:val="center"/>
                  </w:pPr>
                  <w:r>
                    <w:t xml:space="preserve">R2=0.187</w:t>
                  </w:r>
                </w:p>
              </w:tc>
              <w:tc>
                <w:tcPr/>
                <w:p>
                  <w:pPr>
                    <w:pStyle w:val="Compact"/>
                    <w:jc w:val="center"/>
                    <w:jc w:val="center"/>
                  </w:pPr>
                  <w:r>
                    <w:t xml:space="preserve">0.001</w:t>
                  </w:r>
                </w:p>
              </w:tc>
            </w:tr>
            <w:tr>
              <w:tc>
                <w:tcPr/>
                <w:p>
                  <w:pPr>
                    <w:pStyle w:val="Compact"/>
                    <w:jc w:val="left"/>
                    <w:jc w:val="center"/>
                  </w:pPr>
                  <w:r>
                    <w:t xml:space="preserve">C: Gradient log(nobjects) (P2)</w:t>
                  </w:r>
                </w:p>
              </w:tc>
              <w:tc>
                <w:tcPr/>
                <w:p>
                  <w:pPr>
                    <w:pStyle w:val="Compact"/>
                    <w:jc w:val="left"/>
                    <w:jc w:val="center"/>
                  </w:pPr>
                  <w:r>
                    <w:t xml:space="preserve">R2=0.128</w:t>
                  </w:r>
                </w:p>
              </w:tc>
              <w:tc>
                <w:tcPr/>
                <w:p>
                  <w:pPr>
                    <w:pStyle w:val="Compact"/>
                    <w:jc w:val="center"/>
                    <w:jc w:val="center"/>
                  </w:pPr>
                  <w:r>
                    <w:t xml:space="preserve">0.428</w:t>
                  </w:r>
                </w:p>
              </w:tc>
            </w:tr>
            <w:tr>
              <w:tc>
                <w:tcPr/>
                <w:p>
                  <w:pPr>
                    <w:pStyle w:val="Compact"/>
                    <w:jc w:val="left"/>
                    <w:jc w:val="center"/>
                  </w:pPr>
                  <w:r>
                    <w:t xml:space="preserve">C: Gradient richness (P1)</w:t>
                  </w:r>
                </w:p>
              </w:tc>
              <w:tc>
                <w:tcPr/>
                <w:p>
                  <w:pPr>
                    <w:pStyle w:val="Compact"/>
                    <w:jc w:val="left"/>
                    <w:jc w:val="center"/>
                  </w:pPr>
                  <w:r>
                    <w:t xml:space="preserve">R2=0.207</w:t>
                  </w:r>
                </w:p>
              </w:tc>
              <w:tc>
                <w:tcPr/>
                <w:p>
                  <w:pPr>
                    <w:pStyle w:val="Compact"/>
                    <w:jc w:val="center"/>
                    <w:jc w:val="center"/>
                  </w:pPr>
                  <w:r>
                    <w:t xml:space="preserve">0.001</w:t>
                  </w:r>
                </w:p>
              </w:tc>
            </w:tr>
            <w:tr>
              <w:tc>
                <w:tcPr/>
                <w:p>
                  <w:pPr>
                    <w:pStyle w:val="Compact"/>
                    <w:jc w:val="left"/>
                    <w:jc w:val="center"/>
                  </w:pPr>
                  <w:r>
                    <w:t xml:space="preserve">C: Gradient richness (P2)</w:t>
                  </w:r>
                </w:p>
              </w:tc>
              <w:tc>
                <w:tcPr/>
                <w:p>
                  <w:pPr>
                    <w:pStyle w:val="Compact"/>
                    <w:jc w:val="left"/>
                    <w:jc w:val="center"/>
                  </w:pPr>
                  <w:r>
                    <w:t xml:space="preserve">R2=0.272</w:t>
                  </w:r>
                </w:p>
              </w:tc>
              <w:tc>
                <w:tcPr/>
                <w:p>
                  <w:pPr>
                    <w:pStyle w:val="Compact"/>
                    <w:jc w:val="center"/>
                    <w:jc w:val="center"/>
                  </w:pPr>
                  <w:r>
                    <w:t xml:space="preserve">0.038</w:t>
                  </w:r>
                </w:p>
              </w:tc>
            </w:tr>
          </w:tbl>
          <w:p>
            <w:pPr>
              <w:jc w:val="center"/>
            </w:pPr>
            <w:pPr>
              <w:jc w:val="start"/>
              <w:spacing w:before="200"/>
              <w:pStyle w:val="ImageCaption"/>
            </w:pPr>
            <w:r>
              <w:t xml:space="preserve">Table S 35: Circularity-breaking validation of the restricted/broad group difference. Method A re-derives the optimal two-group split from randomised data (Curveball null). Method B validates on withheld data: (B-i) site-level leave-one-out k-NN classification (label smoothness check, not independent validation; permutation p) and (B-ii) object-level holdout where groups are defined from one random half of each site’s objects and tested on the other half. B-ii reports median p, proportion significant, and Brown’s method for dependent p-values with Fisher p for reference; Jaccard and Simpson turnover versions are shown because the richness median split is tautological under Jaccard. Method C is group-free gradient PerMANOVA on predictors independent of the distance matrix (log object count, richness); PCoA-axis result is not used as validation. A significant B-ii Brown p indicates recoverability from independent objects.</w:t>
            </w:r>
          </w:p>
          <w:bookmarkEnd w:id="189"/>
        </w:tc>
      </w:tr>
    </w:tbl>
    <w:bookmarkEnd w:id="190"/>
    <w:bookmarkStart w:id="191" w:name="sec-s10-interpretation"/>
    <w:p>
      <w:pPr>
        <w:pStyle w:val="Heading2"/>
      </w:pPr>
      <w:r>
        <w:t xml:space="preserve">S1.10.2 Interpretation</w:t>
      </w:r>
    </w:p>
    <w:p>
      <w:pPr>
        <w:pStyle w:val="FirstParagraph"/>
      </w:pPr>
      <w:r>
        <w:t xml:space="preserve">The methods below answer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is the optimal two-group split stronger than the best split from randomised data?</w:t>
      </w:r>
      <w:r>
        <w:t xml:space="preserve"> </w:t>
      </w:r>
      <w:r>
        <w:t xml:space="preserve">Method A re-derives the optimal split by ordering sites on sign-repertoire richness, the same principle underlying the manual restricted/broad distinction, and compares the observed optimum against the null distribution of optima from randomised data. We implement a fixed-fixed (Curveball) null that preserves both site richness and sign-type frequencies while destroying compositional structure.</w:t>
      </w:r>
    </w:p>
    <w:p>
      <w:pPr>
        <w:pStyle w:val="BodyText"/>
      </w:pPr>
      <w:r>
        <w:rPr>
          <w:iCs/>
          <w:i/>
        </w:rPr>
        <w:t xml:space="preserve">Answer:</w:t>
      </w:r>
      <w:r>
        <w:t xml:space="preserve"> </w:t>
      </w:r>
      <w:r>
        <w:rPr>
          <w:bCs/>
          <w:b/>
        </w:rPr>
        <w:t xml:space="preserve">Under the fixed-fixed (Curveball) null, the observed optimal split is not significant in either phase</w:t>
      </w:r>
      <w:r>
        <w:t xml:space="preserve"> </w:t>
      </w:r>
      <w:r>
        <w:t xml:space="preserve">(Aur-P1 observed optimal pseudo-F = 5.25, permutation p = 0.106; Aur-P2 observed optimal pseudo-F = 2.2, permutation p = 0.984). This means the restricted/broad partition does not produce a two-group separation stronger than expected under a null that preserves both site richness and sign-type frequencies. The non-significance under the fixed-fixed null indicates that the restricted/broad contrast is not a sharp discontinuous partition that survives the most stringent</w:t>
      </w:r>
      <w:r>
        <w:t xml:space="preserve"> </w:t>
      </w:r>
      <w:r>
        <w:t xml:space="preserve">“</w:t>
      </w:r>
      <w:r>
        <w:t xml:space="preserve">optimisation-accounted-for</w:t>
      </w:r>
      <w:r>
        <w:t xml:space="preserve">”</w:t>
      </w:r>
      <w:r>
        <w:t xml:space="preserve"> </w:t>
      </w:r>
      <w:r>
        <w:t xml:space="preserve">null; rather, it is a</w:t>
      </w:r>
      <w:r>
        <w:t xml:space="preserve"> </w:t>
      </w:r>
      <w:r>
        <w:rPr>
          <w:bCs/>
          <w:b/>
        </w:rPr>
        <w:t xml:space="preserve">recoverable gradient/axis of variation</w:t>
      </w:r>
      <w:r>
        <w:t xml:space="preserve"> </w:t>
      </w:r>
      <w:r>
        <w:t xml:space="preserve">whose strength is partly attributable to the marginal richness and frequency structure of the data. This is consistent with, not contradictory to, the conclusions from strategies B and C below: the fixed-fixed null tests whether any two-group split exceeding the observed optimum could arise from richness structure alone (it can), while Method B-ii tests whether the specific manual richness-based split generalizes to independent objects (it does, for well-sampled sites). The contrast is therefore a recoverable gradient/axis of variation — strong for well-sampled sites, provisional for small ones — rather than a sharp discontinuous partition that exceeds richness structure.</w:t>
      </w:r>
    </w:p>
    <w:p>
      <w:pPr>
        <w:pStyle w:val="BodyText"/>
      </w:pPr>
      <w:r>
        <w:rPr>
          <w:bCs/>
          <w:b/>
        </w:rPr>
        <w:t xml:space="preserve">Question: can the group assignment be recovered from withheld sites and from disjoint halves of objects?</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 — label smoothness, not independent validation:</w:t>
      </w:r>
      <w:r>
        <w:t xml:space="preserve"> </w:t>
      </w:r>
      <w:r>
        <w:t xml:space="preserve">Can a held-out site’s label be predicted from other sites using the same Jaccard structure that produced the labels? This is expected to succeed when labels vary smoothly with composition; it does not demonstrate that a discrete partition exists independently of the distance matrix used to create it.</w:t>
      </w:r>
      <w:r>
        <w:t xml:space="preserve"> </w:t>
      </w:r>
      <w:r>
        <w:t xml:space="preserve">-</w:t>
      </w:r>
      <w:r>
        <w:t xml:space="preserve"> </w:t>
      </w:r>
      <w:r>
        <w:rPr>
          <w:iCs/>
          <w:i/>
        </w:rPr>
        <w:t xml:space="preserve">Answer:</w:t>
      </w:r>
      <w:r>
        <w:t xml:space="preserve"> </w:t>
      </w:r>
      <w:r>
        <w:t xml:space="preserve">Leave-one-site-out k=1 NN recovers the manual label for 100% of Aur-P1 sites (95% CI 0.83–1, permutation p = 0.001) and 89% of Aur-P2 sites (permutation p = 0.028). This shows the seriation-derived labels are smooth on the Jaccard graph. Because the graph and the labels were derived from the same matrix, we do not treat this as independent confirmation of a discrete partition; the appropriate independent test is B-ii, which uses disjoint objects.</w:t>
      </w:r>
      <w:r>
        <w:t xml:space="preserve"> </w:t>
      </w:r>
      <w:r>
        <w:t xml:space="preserve">-</w:t>
      </w:r>
      <w:r>
        <w:t xml:space="preserve"> </w:t>
      </w:r>
      <w:r>
        <w:rPr>
          <w:iCs/>
          <w:i/>
        </w:rPr>
        <w:t xml:space="preserve">Object level (B-ii) — independent validation on disjoint objects:</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 We report median p, proportion of splits with p &lt; 0.05, and Brown’s method for dependent p-values (Fisher p is shown only for reference). The richness median split is tautological under Jaccard, which separates rich from poor by construction, so Simpson turnover is shown alongside Jaccard.</w:t>
      </w:r>
      <w:r>
        <w:t xml:space="preserve"> </w:t>
      </w:r>
      <w:r>
        <w:t xml:space="preserve">-</w:t>
      </w:r>
      <w:r>
        <w:t xml:space="preserve"> </w:t>
      </w:r>
      <w:r>
        <w:rPr>
          <w:iCs/>
          <w:i/>
        </w:rPr>
        <w:t xml:space="preserve">Answer (Jaccard):</w:t>
      </w:r>
      <w:r>
        <w:t xml:space="preserve"> </w:t>
      </w:r>
      <w:r>
        <w:t xml:space="preserve">Aur-P1 median p = 0.049 with 50% of 100 splits significant; Brown p = &lt;2e-16 (Fisher p = &lt;2e-16). Aur-P2 median p = 0.119 with 0% significant; Brown p = 2.08e-10 (Fisher p = 6.58e-10). Brown is an empirical approximation</w:t>
      </w:r>
      <w:r>
        <w:t xml:space="preserve"> </w:t>
      </w:r>
      <w:r>
        <w:t xml:space="preserve">[22,23 via Kost &amp; McDermott]</w:t>
      </w:r>
      <w:r>
        <w:t xml:space="preserve">; for Aur-P2 (5 usable sites) Brown (2.08e-10) is slightly anti-conservative vs. Fisher (6.58e-10), so median p and proportion are primary and Brown/Fisher are order-of-magnitude. Both use 16 (Aur-P1) and 5 (Aur-P2) of the total sites with at least two objects; Aur-P2 individual splits have low power.</w:t>
      </w:r>
      <w:r>
        <w:t xml:space="preserve"> </w:t>
      </w:r>
      <w:r>
        <w:t xml:space="preserve">-</w:t>
      </w:r>
      <w:r>
        <w:t xml:space="preserve"> </w:t>
      </w:r>
      <w:r>
        <w:rPr>
          <w:iCs/>
          <w:i/>
        </w:rPr>
        <w:t xml:space="preserve">Answer (Simpson turnover, nestedness-robust):</w:t>
      </w:r>
      <w:r>
        <w:t xml:space="preserve"> </w:t>
      </w:r>
      <w:r>
        <w:t xml:space="preserve">Aur-P1 median p = 0.97 with 0% significant; Brown p = 1. Aur-P2 median p = 0.9 with 0% significant; Brown p = 1. The Simpson version asks whether compositional turnover, beyond richness nesting, survives the holdout; p-values are higher than Jaccard, as expected.</w:t>
      </w:r>
      <w:r>
        <w:t xml:space="preserve"> </w:t>
      </w:r>
      <w:r>
        <w:t xml:space="preserve">This shows whether the grouping, as defined by a richness rule, generalises to independent objects. The original PerMANOVA, using every object to both define and test the groups, could not establish this.</w:t>
      </w:r>
    </w:p>
    <w:p>
      <w:pPr>
        <w:pStyle w:val="BodyText"/>
      </w:pPr>
      <w:r>
        <w:rPr>
          <w:bCs/>
          <w:b/>
        </w:rPr>
        <w:t xml:space="preserve">Question: does sign composition vary with predictors independent of the distance matrix?</w:t>
      </w:r>
      <w:r>
        <w:t xml:space="preserve"> </w:t>
      </w:r>
      <w:r>
        <w:t xml:space="preserve">If we abandon the discrete partition and ask whether sign composition varies continuously with predictors that are independent of the distance matrix, is that gradient significant? Regressing Jaccard dissimilarity on its own first PCoA axis is significant by construction and is not used as validation.</w:t>
      </w:r>
      <w:r>
        <w:t xml:space="preserve"> </w:t>
      </w:r>
      <w:r>
        <w:t xml:space="preserve">-</w:t>
      </w:r>
      <w:r>
        <w:t xml:space="preserve"> </w:t>
      </w:r>
      <w:r>
        <w:rPr>
          <w:iCs/>
          <w:i/>
        </w:rPr>
        <w:t xml:space="preserve">Answer:</w:t>
      </w:r>
      <w:r>
        <w:t xml:space="preserve"> </w:t>
      </w:r>
      <w:r>
        <w:t xml:space="preserve">For log object count: Aur-P1 R² = 0.187, p = 0.001; Aur-P2 R² = 0.128, p = 0.428. For richness: Aur-P1 R² = 0.207, p = 0.001; Aur-P2 R² = 0.272, p = 0.038. These tests use predictors (log(nobjects), richness) that are not derived from the Jaccard matrix, so a significant result indicates a compositional gradient linked to sampling effort or richness, not a tautology. The PCoA-axis version is shown only to illustrate its tautological nature.</w:t>
      </w:r>
    </w:p>
    <w:p>
      <w:pPr>
        <w:pStyle w:val="BodyText"/>
      </w:pPr>
      <w:r>
        <w:rPr>
          <w:bCs/>
          <w:b/>
        </w:rPr>
        <w:t xml:space="preserve">Implication for the main text.</w:t>
      </w:r>
      <w:r>
        <w:t xml:space="preserve"> </w:t>
      </w:r>
      <w:r>
        <w:t xml:space="preserve">Strategy B-ii (object-half holdout) provides the appropriate independent validation because it tests the grouping on disjoint objects and reports dependence-aware statistics (median p, proportion significant, Brown p) with Jaccard and Simpson turnover. Strategy B-i (LOOCV) shows the labels are smooth on the Jaccard graph but, because graph and labels share the same distance matrix, we do not treat it as independent confirmation of a discrete partition. Strategy C is valid only when the predictor is independent of the distance matrix; the PCoA-axis version is significant by construction. Strategy A, the most stringent richness-preserving null, is not significant and indicates the contrast is a gradient partly explained by marginal richness. Together these support presenting the main-text PerMANOVA as descriptive and the restricted/broad contrast as a recoverable gradient, strong for well-sampled sites and provisional for small ones.</w:t>
      </w:r>
    </w:p>
    <w:bookmarkEnd w:id="191"/>
    <w:bookmarkStart w:id="195" w:name="sec-s10-1"/>
    <w:p>
      <w:pPr>
        <w:pStyle w:val="Heading2"/>
      </w:pPr>
      <w:r>
        <w:t xml:space="preserve">S1.10.3 Richness-preserving nulls and Simpson turnover</w:t>
      </w:r>
    </w:p>
    <w:bookmarkStart w:id="193" w:name="rationale-17"/>
    <w:p>
      <w:pPr>
        <w:pStyle w:val="Heading3"/>
      </w:pPr>
      <w:r>
        <w:t xml:space="preserve">Rationale</w:t>
      </w:r>
    </w:p>
    <w:p>
      <w:pPr>
        <w:pStyle w:val="FirstParagraph"/>
      </w:pPr>
      <w:r>
        <w:t xml:space="preserve">Jaccard dissimilarity confounds turnover with nestedness: a poor assemblage nested inside a rich one scores as dissimilar by construction, so a PerMANOVA of rich versus poor sites on Jaccard distances partly tests richness itself. Simpson turnover dissimilarity,</w:t>
      </w:r>
      <w:r>
        <w:t xml:space="preserve"> </w:t>
      </w:r>
      <m:oMath>
        <m:sSub>
          <m:e>
            <m:r>
              <m:t>β</m:t>
            </m:r>
          </m:e>
          <m:sub>
            <m:r>
              <m:t>s</m:t>
            </m:r>
            <m:r>
              <m:t>i</m:t>
            </m:r>
            <m:r>
              <m:t>m</m:t>
            </m:r>
          </m:sub>
        </m:sSub>
        <m:r>
          <m:rPr>
            <m:sty m:val="p"/>
          </m:rPr>
          <m:t>=</m:t>
        </m:r>
        <m:r>
          <m:rPr>
            <m:sty m:val="p"/>
          </m:rPr>
          <m:t>min</m:t>
        </m:r>
        <m:d>
          <m:dPr>
            <m:begChr m:val="("/>
            <m:endChr m:val=")"/>
            <m:sepChr m:val=""/>
            <m:grow/>
          </m:dPr>
          <m:e>
            <m:r>
              <m:t>b</m:t>
            </m:r>
            <m:r>
              <m:rPr>
                <m:sty m:val="p"/>
              </m:rPr>
              <m:t>,</m:t>
            </m:r>
            <m:r>
              <m:t>c</m:t>
            </m:r>
          </m:e>
        </m:d>
        <m:r>
          <m:rPr>
            <m:sty m:val="p"/>
          </m:rPr>
          <m:t>/</m:t>
        </m:r>
        <m:d>
          <m:dPr>
            <m:begChr m:val="("/>
            <m:endChr m:val=")"/>
            <m:sepChr m:val=""/>
            <m:grow/>
          </m:dPr>
          <m:e>
            <m:r>
              <m:t>a</m:t>
            </m:r>
            <m:r>
              <m:rPr>
                <m:sty m:val="p"/>
              </m:rPr>
              <m:t>+</m:t>
            </m:r>
            <m:r>
              <m:rPr>
                <m:sty m:val="p"/>
              </m:rPr>
              <m:t>min</m:t>
            </m:r>
            <m:d>
              <m:dPr>
                <m:begChr m:val="("/>
                <m:endChr m:val=")"/>
                <m:sepChr m:val=""/>
                <m:grow/>
              </m:dPr>
              <m:e>
                <m:r>
                  <m:t>b</m:t>
                </m:r>
                <m:r>
                  <m:rPr>
                    <m:sty m:val="p"/>
                  </m:rPr>
                  <m:t>,</m:t>
                </m:r>
                <m:r>
                  <m:t>c</m:t>
                </m:r>
              </m:e>
            </m:d>
          </m:e>
        </m:d>
      </m:oMath>
      <w:r>
        <w:t xml:space="preserve">, keeps only the turnover component — nested pairs score 0 — and therefore tests whether the groups differ in</w:t>
      </w:r>
      <w:r>
        <w:t xml:space="preserve"> </w:t>
      </w:r>
      <w:r>
        <w:rPr>
          <w:iCs/>
          <w:i/>
        </w:rPr>
        <w:t xml:space="preserve">composition</w:t>
      </w:r>
      <w:r>
        <w:t xml:space="preserve"> </w:t>
      </w:r>
      <w:r>
        <w:t xml:space="preserve">rather than in</w:t>
      </w:r>
      <w:r>
        <w:t xml:space="preserve"> </w:t>
      </w:r>
      <w:r>
        <w:rPr>
          <w:iCs/>
          <w:i/>
        </w:rPr>
        <w:t xml:space="preserve">size</w:t>
      </w:r>
      <w:r>
        <w:t xml:space="preserve">. We report the manual-group PerMANOVA on both distances, and we place the observed Jaccard R², Simpson R², and Louvain-to-manual ARI on richness-preserving null distributions: a fixed-fixed Curveball null (preserves site richness and sign-type frequencies) and an object-count null (each site redrawn with its observed object count from the phase pool). R² values use the same Gower algebra as</w:t>
      </w:r>
      <w:r>
        <w:t xml:space="preserve"> </w:t>
      </w:r>
      <w:r>
        <w:rPr>
          <w:rStyle w:val="VerbatimChar"/>
        </w:rPr>
        <w:t xml:space="preserve">adonis2(sqrt.dist = TRUE)</w:t>
      </w:r>
      <w:r>
        <w:t xml:space="preserve">.</w:t>
      </w:r>
    </w:p>
    <w:p>
      <w:pPr>
        <w:pStyle w:val="BodyText"/>
      </w:pPr>
      <w:r>
        <w:rPr>
          <w:bCs/>
          <w:b/>
        </w:rPr>
        <w:t xml:space="preserve">Question: is the restricted/broad pattern stronger than richness structure alone, and does any group separation survive once the nestedness component is removed?</w:t>
      </w:r>
    </w:p>
    <w:tbl>
      <w:tblPr>
        <w:tblStyle w:val="Table"/>
        <w:tblW w:type="pct" w:w="5000"/>
        <w:tblLook w:firstRow="0" w:lastRow="0" w:firstColumn="0" w:lastColumn="0" w:noHBand="0" w:noVBand="0" w:val="0000"/>
        <w:jc w:val="start"/>
        <w:tblLayout w:type="fixed"/>
      </w:tblPr>
      <w:tblGrid>
        <w:gridCol w:w="7920"/>
      </w:tblGrid>
      <w:tr>
        <w:tc>
          <w:tcPr/>
          <w:bookmarkStart w:id="192" w:name="tbl-simpson-null"/>
          <w:tbl>
            <w:tblPr>
              <w:tblStyle w:val="Table"/>
              <w:tblW w:type="pct" w:w="5000"/>
              <w:tblLook w:firstRow="1" w:lastRow="0" w:firstColumn="0" w:lastColumn="0" w:noHBand="0" w:noVBand="0" w:val="0020"/>
              <w:jc w:val="start"/>
              <w:tblLayout w:type="fixed"/>
            </w:tblPr>
            <w:tblGrid>
              <w:gridCol w:w="630"/>
              <w:gridCol w:w="1170"/>
              <w:gridCol w:w="630"/>
              <w:gridCol w:w="810"/>
              <w:gridCol w:w="630"/>
              <w:gridCol w:w="810"/>
              <w:gridCol w:w="360"/>
              <w:gridCol w:w="540"/>
              <w:gridCol w:w="1170"/>
              <w:gridCol w:w="1170"/>
            </w:tblGrid>
            <w:tr>
              <w:trPr>
                <w:tblHeader w:val="true"/>
              </w:trPr>
              <w:tc>
                <w:tcPr/>
                <w:p>
                  <w:pPr>
                    <w:pStyle w:val="Compact"/>
                    <w:jc w:val="left"/>
                    <w:jc w:val="center"/>
                  </w:pPr>
                  <w:r>
                    <w:t xml:space="preserve">Phase</w:t>
                  </w:r>
                </w:p>
              </w:tc>
              <w:tc>
                <w:tcPr/>
                <w:p>
                  <w:pPr>
                    <w:pStyle w:val="Compact"/>
                    <w:jc w:val="left"/>
                    <w:jc w:val="center"/>
                  </w:pPr>
                  <w:r>
                    <w:t xml:space="preserve">Null</w:t>
                  </w:r>
                </w:p>
              </w:tc>
              <w:tc>
                <w:tcPr/>
                <w:p>
                  <w:pPr>
                    <w:pStyle w:val="Compact"/>
                    <w:jc w:val="right"/>
                    <w:jc w:val="center"/>
                  </w:pPr>
                  <w:r>
                    <w:t xml:space="preserve">R2_jac</w:t>
                  </w:r>
                </w:p>
              </w:tc>
              <w:tc>
                <w:tcPr/>
                <w:p>
                  <w:pPr>
                    <w:pStyle w:val="Compact"/>
                    <w:jc w:val="right"/>
                    <w:jc w:val="center"/>
                  </w:pPr>
                  <w:r>
                    <w:t xml:space="preserve">R2_jac_p</w:t>
                  </w:r>
                </w:p>
              </w:tc>
              <w:tc>
                <w:tcPr/>
                <w:p>
                  <w:pPr>
                    <w:pStyle w:val="Compact"/>
                    <w:jc w:val="right"/>
                    <w:jc w:val="center"/>
                  </w:pPr>
                  <w:r>
                    <w:t xml:space="preserve">R2_sim</w:t>
                  </w:r>
                </w:p>
              </w:tc>
              <w:tc>
                <w:tcPr/>
                <w:p>
                  <w:pPr>
                    <w:pStyle w:val="Compact"/>
                    <w:jc w:val="right"/>
                    <w:jc w:val="center"/>
                  </w:pPr>
                  <w:r>
                    <w:t xml:space="preserve">R2_sim_p</w:t>
                  </w:r>
                </w:p>
              </w:tc>
              <w:tc>
                <w:tcPr/>
                <w:p>
                  <w:pPr>
                    <w:pStyle w:val="Compact"/>
                    <w:jc w:val="right"/>
                    <w:jc w:val="center"/>
                  </w:pPr>
                  <w:r>
                    <w:t xml:space="preserve">ARI</w:t>
                  </w:r>
                </w:p>
              </w:tc>
              <w:tc>
                <w:tcPr/>
                <w:p>
                  <w:pPr>
                    <w:pStyle w:val="Compact"/>
                    <w:jc w:val="right"/>
                    <w:jc w:val="center"/>
                  </w:pPr>
                  <w:r>
                    <w:t xml:space="preserve">ARI_p</w:t>
                  </w:r>
                </w:p>
              </w:tc>
              <w:tc>
                <w:tcPr/>
                <w:p>
                  <w:pPr>
                    <w:pStyle w:val="Compact"/>
                    <w:jc w:val="right"/>
                    <w:jc w:val="center"/>
                  </w:pPr>
                  <w:r>
                    <w:t xml:space="preserve">adonis_jac_p</w:t>
                  </w:r>
                </w:p>
              </w:tc>
              <w:tc>
                <w:tcPr/>
                <w:p>
                  <w:pPr>
                    <w:pStyle w:val="Compact"/>
                    <w:jc w:val="right"/>
                    <w:jc w:val="center"/>
                  </w:pPr>
                  <w:r>
                    <w:t xml:space="preserve">adonis_sim_p</w:t>
                  </w:r>
                </w:p>
              </w:tc>
            </w:tr>
            <w:tr>
              <w:tc>
                <w:tcPr/>
                <w:p>
                  <w:pPr>
                    <w:pStyle w:val="Compact"/>
                    <w:jc w:val="left"/>
                    <w:jc w:val="center"/>
                  </w:pPr>
                  <w:r>
                    <w:t xml:space="preserve">Aur-P1</w:t>
                  </w:r>
                </w:p>
              </w:tc>
              <w:tc>
                <w:tcPr/>
                <w:p>
                  <w:pPr>
                    <w:pStyle w:val="Compact"/>
                    <w:jc w:val="left"/>
                    <w:jc w:val="center"/>
                  </w:pPr>
                  <w:r>
                    <w:t xml:space="preserve">Curveball</w:t>
                  </w:r>
                </w:p>
              </w:tc>
              <w:tc>
                <w:tcPr/>
                <w:p>
                  <w:pPr>
                    <w:pStyle w:val="Compact"/>
                    <w:jc w:val="right"/>
                    <w:jc w:val="center"/>
                  </w:pPr>
                  <w:r>
                    <w:t xml:space="preserve">0.196</w:t>
                  </w:r>
                </w:p>
              </w:tc>
              <w:tc>
                <w:tcPr/>
                <w:p>
                  <w:pPr>
                    <w:pStyle w:val="Compact"/>
                    <w:jc w:val="right"/>
                    <w:jc w:val="center"/>
                  </w:pPr>
                  <w:r>
                    <w:t xml:space="preserve">1.000</w:t>
                  </w:r>
                </w:p>
              </w:tc>
              <w:tc>
                <w:tcPr/>
                <w:p>
                  <w:pPr>
                    <w:pStyle w:val="Compact"/>
                    <w:jc w:val="right"/>
                    <w:jc w:val="center"/>
                  </w:pPr>
                  <w:r>
                    <w:t xml:space="preserve">-0.027</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Aur-P1</w:t>
                  </w:r>
                </w:p>
              </w:tc>
              <w:tc>
                <w:tcPr/>
                <w:p>
                  <w:pPr>
                    <w:pStyle w:val="Compact"/>
                    <w:jc w:val="left"/>
                    <w:jc w:val="center"/>
                  </w:pPr>
                  <w:r>
                    <w:t xml:space="preserve">Object-count</w:t>
                  </w:r>
                </w:p>
              </w:tc>
              <w:tc>
                <w:tcPr/>
                <w:p>
                  <w:pPr>
                    <w:pStyle w:val="Compact"/>
                    <w:jc w:val="right"/>
                    <w:jc w:val="center"/>
                  </w:pPr>
                  <w:r>
                    <w:t xml:space="preserve">0.196</w:t>
                  </w:r>
                </w:p>
              </w:tc>
              <w:tc>
                <w:tcPr/>
                <w:p>
                  <w:pPr>
                    <w:pStyle w:val="Compact"/>
                    <w:jc w:val="right"/>
                    <w:jc w:val="center"/>
                  </w:pPr>
                  <w:r>
                    <w:t xml:space="preserve">0.001</w:t>
                  </w:r>
                </w:p>
              </w:tc>
              <w:tc>
                <w:tcPr/>
                <w:p>
                  <w:pPr>
                    <w:pStyle w:val="Compact"/>
                    <w:jc w:val="right"/>
                    <w:jc w:val="center"/>
                  </w:pPr>
                  <w:r>
                    <w:t xml:space="preserve">-0.027</w:t>
                  </w:r>
                </w:p>
              </w:tc>
              <w:tc>
                <w:tcPr/>
                <w:p>
                  <w:pPr>
                    <w:pStyle w:val="Compact"/>
                    <w:jc w:val="right"/>
                    <w:jc w:val="center"/>
                  </w:pPr>
                  <w:r>
                    <w:t xml:space="preserve">0.003</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0.001</w:t>
                  </w:r>
                </w:p>
              </w:tc>
              <w:tc>
                <w:tcPr/>
                <w:p>
                  <w:pPr>
                    <w:pStyle w:val="Compact"/>
                    <w:jc w:val="right"/>
                    <w:jc w:val="center"/>
                  </w:pPr>
                  <w:r>
                    <w:t xml:space="preserve">0.958</w:t>
                  </w:r>
                </w:p>
              </w:tc>
            </w:tr>
            <w:tr>
              <w:tc>
                <w:tcPr/>
                <w:p>
                  <w:pPr>
                    <w:pStyle w:val="Compact"/>
                    <w:jc w:val="left"/>
                    <w:jc w:val="center"/>
                  </w:pPr>
                  <w:r>
                    <w:t xml:space="preserve">Aur-P2</w:t>
                  </w:r>
                </w:p>
              </w:tc>
              <w:tc>
                <w:tcPr/>
                <w:p>
                  <w:pPr>
                    <w:pStyle w:val="Compact"/>
                    <w:jc w:val="left"/>
                    <w:jc w:val="center"/>
                  </w:pPr>
                  <w:r>
                    <w:t xml:space="preserve">Curveball</w:t>
                  </w:r>
                </w:p>
              </w:tc>
              <w:tc>
                <w:tcPr/>
                <w:p>
                  <w:pPr>
                    <w:pStyle w:val="Compact"/>
                    <w:jc w:val="right"/>
                    <w:jc w:val="center"/>
                  </w:pPr>
                  <w:r>
                    <w:t xml:space="preserve">0.223</w:t>
                  </w:r>
                </w:p>
              </w:tc>
              <w:tc>
                <w:tcPr/>
                <w:p>
                  <w:pPr>
                    <w:pStyle w:val="Compact"/>
                    <w:jc w:val="right"/>
                    <w:jc w:val="center"/>
                  </w:pPr>
                  <w:r>
                    <w:t xml:space="preserve">1.000</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1.000</w:t>
                  </w:r>
                </w:p>
              </w:tc>
              <w:tc>
                <w:tcPr/>
                <w:p>
                  <w:pPr>
                    <w:pStyle w:val="Compact"/>
                    <w:jc w:val="right"/>
                    <w:jc w:val="center"/>
                  </w:pPr>
                  <w:r>
                    <w:t xml:space="preserve">0.077</w:t>
                  </w:r>
                </w:p>
              </w:tc>
              <w:tc>
                <w:tcPr/>
                <w:p>
                  <w:pPr>
                    <w:pStyle w:val="Compact"/>
                    <w:jc w:val="right"/>
                    <w:jc w:val="center"/>
                  </w:pPr>
                  <w:r>
                    <w:t xml:space="preserve">1.000</w:t>
                  </w:r>
                </w:p>
              </w:tc>
            </w:tr>
            <w:tr>
              <w:tc>
                <w:tcPr/>
                <w:p>
                  <w:pPr>
                    <w:pStyle w:val="Compact"/>
                    <w:jc w:val="left"/>
                    <w:jc w:val="center"/>
                  </w:pPr>
                  <w:r>
                    <w:t xml:space="preserve">Aur-P2</w:t>
                  </w:r>
                </w:p>
              </w:tc>
              <w:tc>
                <w:tcPr/>
                <w:p>
                  <w:pPr>
                    <w:pStyle w:val="Compact"/>
                    <w:jc w:val="left"/>
                    <w:jc w:val="center"/>
                  </w:pPr>
                  <w:r>
                    <w:t xml:space="preserve">Object-count</w:t>
                  </w:r>
                </w:p>
              </w:tc>
              <w:tc>
                <w:tcPr/>
                <w:p>
                  <w:pPr>
                    <w:pStyle w:val="Compact"/>
                    <w:jc w:val="right"/>
                    <w:jc w:val="center"/>
                  </w:pPr>
                  <w:r>
                    <w:t xml:space="preserve">0.223</w:t>
                  </w:r>
                </w:p>
              </w:tc>
              <w:tc>
                <w:tcPr/>
                <w:p>
                  <w:pPr>
                    <w:pStyle w:val="Compact"/>
                    <w:jc w:val="right"/>
                    <w:jc w:val="center"/>
                  </w:pPr>
                  <w:r>
                    <w:t xml:space="preserve">0.334</w:t>
                  </w:r>
                </w:p>
              </w:tc>
              <w:tc>
                <w:tcPr/>
                <w:p>
                  <w:pPr>
                    <w:pStyle w:val="Compact"/>
                    <w:jc w:val="right"/>
                    <w:jc w:val="center"/>
                  </w:pPr>
                  <w:r>
                    <w:t xml:space="preserve">-0.676</w:t>
                  </w:r>
                </w:p>
              </w:tc>
              <w:tc>
                <w:tcPr/>
                <w:p>
                  <w:pPr>
                    <w:pStyle w:val="Compact"/>
                    <w:jc w:val="right"/>
                    <w:jc w:val="center"/>
                  </w:pPr>
                  <w:r>
                    <w:t xml:space="preserve">1.000</w:t>
                  </w:r>
                </w:p>
              </w:tc>
              <w:tc>
                <w:tcPr/>
                <w:p>
                  <w:pPr>
                    <w:pStyle w:val="Compact"/>
                    <w:jc w:val="right"/>
                    <w:jc w:val="center"/>
                  </w:pPr>
                  <w:r>
                    <w:t xml:space="preserve">1</w:t>
                  </w:r>
                </w:p>
              </w:tc>
              <w:tc>
                <w:tcPr/>
                <w:p>
                  <w:pPr>
                    <w:pStyle w:val="Compact"/>
                    <w:jc w:val="right"/>
                    <w:jc w:val="center"/>
                  </w:pPr>
                  <w:r>
                    <w:t xml:space="preserve">0.001</w:t>
                  </w:r>
                </w:p>
              </w:tc>
              <w:tc>
                <w:tcPr/>
                <w:p>
                  <w:pPr>
                    <w:pStyle w:val="Compact"/>
                    <w:jc w:val="right"/>
                    <w:jc w:val="center"/>
                  </w:pPr>
                  <w:r>
                    <w:t xml:space="preserve">0.077</w:t>
                  </w:r>
                </w:p>
              </w:tc>
              <w:tc>
                <w:tcPr/>
                <w:p>
                  <w:pPr>
                    <w:pStyle w:val="Compact"/>
                    <w:jc w:val="right"/>
                    <w:jc w:val="center"/>
                  </w:pPr>
                  <w:r>
                    <w:t xml:space="preserve">1.000</w:t>
                  </w:r>
                </w:p>
              </w:tc>
            </w:tr>
          </w:tbl>
          <w:p>
            <w:pPr>
              <w:jc w:val="center"/>
            </w:pPr>
            <w:pPr>
              <w:jc w:val="start"/>
              <w:spacing w:before="200"/>
              <w:pStyle w:val="ImageCaption"/>
            </w:pPr>
            <w:r>
              <w:t xml:space="preserve">Table S 36: Manual-group separation under richness-preserving nulls. R2_jac and R2_sim are the observed PerMANOVA R-squared of the manual groups on Jaccard and Simpson turnover dissimilarities; ARI is the Adjusted Rand Index between the Louvain partition (realigned to manual labels) and the manual groups. Each is compared to fixed-fixed Curveball and object-count null distributions (999 replicates); p is the quantile of the observed value in its null (upper-tail). Negative R2_sim values indicate zero separation, with within-group variation exceeding between-group variation.</w:t>
            </w:r>
          </w:p>
          <w:bookmarkEnd w:id="192"/>
        </w:tc>
      </w:tr>
    </w:tbl>
    <w:bookmarkEnd w:id="193"/>
    <w:bookmarkStart w:id="194" w:name="interpretation-16"/>
    <w:p>
      <w:pPr>
        <w:pStyle w:val="Heading3"/>
      </w:pPr>
      <w:r>
        <w:t xml:space="preserve">Interpretation</w:t>
      </w:r>
    </w:p>
    <w:p>
      <w:pPr>
        <w:pStyle w:val="FirstParagraph"/>
      </w:pPr>
      <w:r>
        <w:rPr>
          <w:bCs/>
          <w:b/>
        </w:rPr>
        <w:t xml:space="preserve">Question: is the restricted/broad pattern stronger than richness structure alone, and does any group separation survive once the nestedness component is removed?</w:t>
      </w:r>
      <w:r>
        <w:t xml:space="preserve"> </w:t>
      </w:r>
      <w:r>
        <w:t xml:space="preserve">On Jaccard distances the manual groups separate (Aur-P1 R² = 0.196, Aur-P2 R² = 0.223). Under the fixed-fixed Curveball null this separation is not distinguished from richness structure alone (quantile p = 1 and 1): randomised matrices with identical site richness and sign-type frequencies separate at least as well. Under the object-count null the Aur-P1 separation exceeds sampling expectation (p = 0.001) while Aur-P2 does not (p = 0.334). Louvain-to-manual agreement is perfect in the observed data (ARI = 1 both phases) but is likewise reproduced by the fixed-fixed null (p = 1 and 1), exceeding only the object-count null. On Simpson turnover dissimilarity there is no separation to explain (Aur-P1 R² = -0.027, Aur-P2 R² = -0.676; adonis p = 0.958 and 1). The small quantile p for Aur-P1 Simpson under the object-count null is a low-tail extreme — the observed R² lies below, not above, its null — meaning even less turnover separation than random object draws produce, not evidence for group structure.</w:t>
      </w:r>
    </w:p>
    <w:p>
      <w:pPr>
        <w:pStyle w:val="BodyText"/>
      </w:pPr>
      <w:r>
        <w:rPr>
          <w:bCs/>
          <w:b/>
        </w:rPr>
        <w:t xml:space="preserve">Answer:</w:t>
      </w:r>
      <w:r>
        <w:t xml:space="preserve"> </w:t>
      </w:r>
      <w:r>
        <w:t xml:space="preserve">the restricted/broad pattern is carried by the nestedness component — rich versus poor repertoires — rather than by compositional turnover between the groups. This is consistent with</w:t>
      </w:r>
      <w:r>
        <w:t xml:space="preserve"> </w:t>
      </w:r>
      <w:r>
        <w:t xml:space="preserve">Section S1.12.4</w:t>
      </w:r>
      <w:r>
        <w:t xml:space="preserve"> </w:t>
      </w:r>
      <w:r>
        <w:t xml:space="preserve">and the free-slope</w:t>
      </w:r>
      <w:r>
        <w:t xml:space="preserve"> </w:t>
      </w:r>
      <w:r>
        <w:t xml:space="preserve">Section S1.12.5</w:t>
      </w:r>
      <w:r>
        <w:t xml:space="preserve">: the groups differ in how much they contain at comparable effort, not in turnover-independent composition. The division should accordingly be read as a richness axis whose separation from sampling effort is not demonstrated for small-object sites.</w:t>
      </w:r>
    </w:p>
    <w:bookmarkEnd w:id="194"/>
    <w:bookmarkEnd w:id="195"/>
    <w:bookmarkEnd w:id="196"/>
    <w:bookmarkStart w:id="218" w:name="sec-s11"/>
    <w:p>
      <w:pPr>
        <w:pStyle w:val="Heading1"/>
      </w:pPr>
      <w:r>
        <w:t xml:space="preserve">S1.11 Community Description</w:t>
      </w:r>
    </w:p>
    <w:bookmarkStart w:id="197" w:name="sec-s11-rationale"/>
    <w:p>
      <w:pPr>
        <w:pStyle w:val="Heading2"/>
      </w:pPr>
      <w:r>
        <w:t xml:space="preserve">S1.11.1 Rationale</w:t>
      </w:r>
    </w:p>
    <w:p>
      <w:pPr>
        <w:pStyle w:val="FirstParagraph"/>
      </w:pPr>
      <w:r>
        <w:t xml:space="preserve">The PerMANOVA results in</w:t>
      </w:r>
      <w:r>
        <w:t xml:space="preserve"> </w:t>
      </w:r>
      <w:r>
        <w:t xml:space="preserve">Section S1.6.6</w:t>
      </w:r>
      <w:r>
        <w:t xml:space="preserve"> </w:t>
      </w:r>
      <w:r>
        <w:t xml:space="preserve">and bootstrap consensus in</w:t>
      </w:r>
      <w:r>
        <w:t xml:space="preserve"> </w:t>
      </w:r>
      <w:r>
        <w:t xml:space="preserve">Section S1.9.2</w:t>
      </w:r>
      <w:r>
        <w:t xml:space="preserve"> </w:t>
      </w:r>
      <w:r>
        <w:t xml:space="preserve">show that the algorithmically detected communities are statistically significant and internally coherent. This section provides a detailed characterization of those communities: their site membership, geographic distribution, and sign-type composition. It answers four specific questions:</w:t>
      </w:r>
    </w:p>
    <w:p>
      <w:pPr>
        <w:pStyle w:val="BodyText"/>
      </w:pPr>
      <w:r>
        <w:rPr>
          <w:bCs/>
          <w:b/>
        </w:rPr>
        <w:t xml:space="preserve">Question: which sites fall in the same community under each algorithm at threshold 0.2?</w:t>
      </w:r>
    </w:p>
    <w:p>
      <w:pPr>
        <w:pStyle w:val="BodyText"/>
      </w:pPr>
      <w:r>
        <w:rPr>
          <w:bCs/>
          <w:b/>
        </w:rPr>
        <w:t xml:space="preserve">Question: which sign types distinguish communities from one another?</w:t>
      </w:r>
    </w:p>
    <w:p>
      <w:pPr>
        <w:pStyle w:val="BodyText"/>
      </w:pPr>
      <w:r>
        <w:rPr>
          <w:bCs/>
          <w:b/>
        </w:rPr>
        <w:t xml:space="preserve">Question: do communities map onto coherent geographic regions?</w:t>
      </w:r>
    </w:p>
    <w:p>
      <w:pPr>
        <w:pStyle w:val="BodyText"/>
      </w:pPr>
      <w:r>
        <w:rPr>
          <w:bCs/>
          <w:b/>
        </w:rPr>
        <w:t xml:space="preserve">Question: how consistently do the four algorithms assign the same sites together?</w:t>
      </w:r>
    </w:p>
    <w:bookmarkEnd w:id="197"/>
    <w:bookmarkStart w:id="204" w:name="sec-s11-1"/>
    <w:p>
      <w:pPr>
        <w:pStyle w:val="Heading2"/>
      </w:pPr>
      <w:r>
        <w:t xml:space="preserve">S1.11.2 Community membership</w:t>
      </w:r>
    </w:p>
    <w:bookmarkStart w:id="203" w:name="method-5"/>
    <w:p>
      <w:pPr>
        <w:pStyle w:val="Heading3"/>
      </w:pPr>
      <w:r>
        <w:t xml:space="preserve">Method</w:t>
      </w:r>
    </w:p>
    <w:p>
      <w:pPr>
        <w:pStyle w:val="FirstParagraph"/>
      </w:pPr>
      <w:r>
        <w:t xml:space="preserve">We extract the community assignments for each of the four algorithms at the main-analysis threshold (Jaccard ≥ 0.2) and report the full site-by-site membership, with the manual restricted (1) / broad (2) group as reference. We can then read across any row to see where Louvain, Infomap, Leiden, and Walktrap place the same site.</w:t>
      </w:r>
    </w:p>
    <w:tbl>
      <w:tblPr>
        <w:tblStyle w:val="Table"/>
        <w:tblW w:type="pct" w:w="5000"/>
        <w:tblLook w:firstRow="0" w:lastRow="0" w:firstColumn="0" w:lastColumn="0" w:noHBand="0" w:noVBand="0" w:val="0000"/>
        <w:jc w:val="start"/>
        <w:tblLayout w:type="fixed"/>
      </w:tblPr>
      <w:tblGrid>
        <w:gridCol w:w="7920"/>
      </w:tblGrid>
      <w:tr>
        <w:tc>
          <w:tcPr/>
          <w:bookmarkStart w:id="198" w:name="tbl-community-membership"/>
          <w:tbl>
            <w:tblPr>
              <w:tblStyle w:val="Table"/>
              <w:tblW w:type="pct" w:w="5000"/>
              <w:tblLook w:firstRow="1" w:lastRow="0" w:firstColumn="0" w:lastColumn="0" w:noHBand="0" w:noVBand="0" w:val="0020"/>
              <w:jc w:val="start"/>
              <w:tblLayout w:type="fixed"/>
            </w:tblPr>
            <w:tblGrid>
              <w:gridCol w:w="710"/>
              <w:gridCol w:w="2741"/>
              <w:gridCol w:w="812"/>
              <w:gridCol w:w="913"/>
              <w:gridCol w:w="913"/>
              <w:gridCol w:w="812"/>
              <w:gridCol w:w="1015"/>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Manual</w:t>
                  </w:r>
                </w:p>
              </w:tc>
              <w:tc>
                <w:tcPr/>
                <w:p>
                  <w:pPr>
                    <w:pStyle w:val="Compact"/>
                    <w:jc w:val="center"/>
                    <w:jc w:val="center"/>
                  </w:pPr>
                  <w:r>
                    <w:t xml:space="preserve">Louvain</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3</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3</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4</w:t>
                  </w:r>
                </w:p>
              </w:tc>
              <w:tc>
                <w:tcPr/>
                <w:p>
                  <w:pPr>
                    <w:pStyle w:val="Compact"/>
                    <w:jc w:val="center"/>
                    <w:jc w:val="center"/>
                  </w:pPr>
                  <w:r>
                    <w:t xml:space="preserve">3</w:t>
                  </w:r>
                </w:p>
              </w:tc>
              <w:tc>
                <w:tcPr/>
                <w:p>
                  <w:pPr>
                    <w:pStyle w:val="Compact"/>
                    <w:jc w:val="center"/>
                    <w:jc w:val="center"/>
                  </w:pPr>
                  <w:r>
                    <w:t xml:space="preserve">4</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3</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r>
          </w:tbl>
          <w:p>
            <w:pPr>
              <w:jc w:val="center"/>
            </w:pPr>
            <w:pPr>
              <w:jc w:val="start"/>
              <w:spacing w:before="200"/>
              <w:pStyle w:val="ImageCaption"/>
            </w:pPr>
            <w:r>
              <w:t xml:space="preserve">Table S 37: Community assignments for each site by algorithm and Aurignacian phase at Jaccard threshold 0.2, with the manual restricted (1) / broad (2) group as reference. Sites are ordered by phase, manual group, then site. Singletons (isolated sites with no edges) are assigned their own community. Community IDs are arbitrary within each algorithm column: compare which sites share a value within a column, not the numeric values across columns.</w:t>
            </w:r>
          </w:p>
          <w:bookmarkEnd w:id="198"/>
        </w:tc>
      </w:tr>
    </w:tbl>
    <w:tbl>
      <w:tblPr>
        <w:tblStyle w:val="Table"/>
        <w:tblW w:type="pct" w:w="5000"/>
        <w:tblLook w:firstRow="0" w:lastRow="0" w:firstColumn="0" w:lastColumn="0" w:noHBand="0" w:noVBand="0" w:val="0000"/>
        <w:jc w:val="start"/>
        <w:tblLayout w:type="fixed"/>
      </w:tblPr>
      <w:tblGrid>
        <w:gridCol w:w="7920"/>
      </w:tblGrid>
      <w:tr>
        <w:tc>
          <w:tcPr/>
          <w:bookmarkStart w:id="202" w:name="fig-comembership-heatmap"/>
          <w:p>
            <w:pPr>
              <w:pStyle w:val="Compact"/>
              <w:jc w:val="center"/>
            </w:pPr>
            <w:r>
              <w:drawing>
                <wp:inline>
                  <wp:extent cx="5943600" cy="5943600"/>
                  <wp:effectExtent b="0" l="0" r="0" t="0"/>
                  <wp:docPr descr="" title="" id="200" name="Picture"/>
                  <a:graphic>
                    <a:graphicData uri="http://schemas.openxmlformats.org/drawingml/2006/picture">
                      <pic:pic>
                        <pic:nvPicPr>
                          <pic:cNvPr descr="../figures/comembership-heatmap.png" id="201" name="Picture"/>
                          <pic:cNvPicPr>
                            <a:picLocks noChangeArrowheads="1" noChangeAspect="1"/>
                          </pic:cNvPicPr>
                        </pic:nvPicPr>
                        <pic:blipFill>
                          <a:blip r:embed="rId199"/>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10: Sites-by-algorithm co-membership at Jaccard threshold 0.2. Rows are sites ordered by phase and manual group (1 = restricted, 2 = broad); columns are the manual reference and the four community-detection algorithms. Colour encodes the community ID within each column. Read within a column to see which sites each algorithm groups together. Community IDs are arbitrary within each column, so colours match across columns only by coincidence.</w:t>
            </w:r>
          </w:p>
          <w:bookmarkEnd w:id="202"/>
        </w:tc>
      </w:tr>
    </w:tbl>
    <w:p>
      <w:pPr>
        <w:pStyle w:val="BodyText"/>
      </w:pPr>
      <w:r>
        <w:t xml:space="preserve">Stable sites keep the same within-column neighbours across all five columns; shifting sites change neighbours from column to column. In Aur-P1 the two large Louvain, Infomap, and Walktrap blocks track the manual restricted and broad groups, with Les Cottés and Trou al’Wesse splitting off as singletons while Leiden collapses the restricted and broad sites into one block. In Aur-P2 Infomap and Leiden collapse all nine sites into a single block, while Louvain and Walktrap split the restricted sites into two smaller blocks (Gargas, Les Rois, Mladeč, and Vindija Cave versus La Viña and Sirgenstein Cave) around the intact broad-range block of Trou Magrite, Bockstein-Törle, and Hohle Fels. The bootstrap consensus co-clustering matrices in</w:t>
      </w:r>
      <w:r>
        <w:t xml:space="preserve"> </w:t>
      </w:r>
      <w:hyperlink w:anchor="fig-bootstrap-consensus">
        <w:r>
          <w:rPr>
            <w:rStyle w:val="Hyperlink"/>
          </w:rPr>
          <w:t xml:space="preserve">Figure S 8</w:t>
        </w:r>
      </w:hyperlink>
      <w:r>
        <w:t xml:space="preserve"> </w:t>
      </w:r>
      <w:r>
        <w:t xml:space="preserve">quantify which of these co-memberships survive resampling.</w:t>
      </w:r>
    </w:p>
    <w:bookmarkEnd w:id="203"/>
    <w:bookmarkEnd w:id="204"/>
    <w:bookmarkStart w:id="207" w:name="sec-s11-2"/>
    <w:p>
      <w:pPr>
        <w:pStyle w:val="Heading2"/>
      </w:pPr>
      <w:r>
        <w:t xml:space="preserve">S1.11.3 Sign-type profiles</w:t>
      </w:r>
    </w:p>
    <w:bookmarkStart w:id="206" w:name="method-6"/>
    <w:p>
      <w:pPr>
        <w:pStyle w:val="Heading3"/>
      </w:pPr>
      <w:r>
        <w:t xml:space="preserve">Method</w:t>
      </w:r>
    </w:p>
    <w:p>
      <w:pPr>
        <w:pStyle w:val="FirstParagraph"/>
      </w:pPr>
      <w:r>
        <w:t xml:space="preserve">For each community, we summarize the sign-type composition to understand what distinguishes one community from another.</w:t>
      </w:r>
    </w:p>
    <w:tbl>
      <w:tblPr>
        <w:tblStyle w:val="Table"/>
        <w:tblW w:type="pct" w:w="5000"/>
        <w:tblLook w:firstRow="0" w:lastRow="0" w:firstColumn="0" w:lastColumn="0" w:noHBand="0" w:noVBand="0" w:val="0000"/>
        <w:jc w:val="start"/>
        <w:tblLayout w:type="fixed"/>
      </w:tblPr>
      <w:tblGrid>
        <w:gridCol w:w="7920"/>
      </w:tblGrid>
      <w:tr>
        <w:tc>
          <w:tcPr/>
          <w:bookmarkStart w:id="205" w:name="tbl-community-composition"/>
          <w:tbl>
            <w:tblPr>
              <w:tblStyle w:val="Table"/>
              <w:tblW w:type="pct" w:w="5000"/>
              <w:tblLook w:firstRow="1" w:lastRow="0" w:firstColumn="0" w:lastColumn="0" w:noHBand="0" w:noVBand="0" w:val="0020"/>
              <w:jc w:val="start"/>
              <w:tblLayout w:type="fixed"/>
            </w:tblPr>
            <w:tblGrid>
              <w:gridCol w:w="436"/>
              <w:gridCol w:w="685"/>
              <w:gridCol w:w="561"/>
              <w:gridCol w:w="873"/>
              <w:gridCol w:w="436"/>
              <w:gridCol w:w="623"/>
              <w:gridCol w:w="374"/>
              <w:gridCol w:w="623"/>
              <w:gridCol w:w="374"/>
              <w:gridCol w:w="436"/>
              <w:gridCol w:w="498"/>
              <w:gridCol w:w="561"/>
              <w:gridCol w:w="561"/>
              <w:gridCol w:w="374"/>
              <w:gridCol w:w="498"/>
            </w:tblGrid>
            <w:tr>
              <w:trPr>
                <w:tblHeader w:val="true"/>
              </w:trPr>
              <w:tc>
                <w:tcPr/>
                <w:p>
                  <w:pPr>
                    <w:pStyle w:val="Compact"/>
                    <w:jc w:val="left"/>
                    <w:jc w:val="center"/>
                  </w:pPr>
                  <w:r>
                    <w:t xml:space="preserve">Phase</w:t>
                  </w:r>
                </w:p>
              </w:tc>
              <w:tc>
                <w:tcPr/>
                <w:p>
                  <w:pPr>
                    <w:pStyle w:val="Compact"/>
                    <w:jc w:val="center"/>
                    <w:jc w:val="center"/>
                  </w:pPr>
                  <w:r>
                    <w:t xml:space="preserve">Community</w:t>
                  </w:r>
                </w:p>
              </w:tc>
              <w:tc>
                <w:tcPr/>
                <w:p>
                  <w:pPr>
                    <w:pStyle w:val="Compact"/>
                    <w:jc w:val="center"/>
                    <w:jc w:val="center"/>
                  </w:pPr>
                  <w:r>
                    <w:t xml:space="preserve">n_sites</w:t>
                  </w:r>
                </w:p>
              </w:tc>
              <w:tc>
                <w:tcPr/>
                <w:p>
                  <w:pPr>
                    <w:pStyle w:val="Compact"/>
                    <w:jc w:val="center"/>
                    <w:jc w:val="center"/>
                  </w:pPr>
                  <w:r>
                    <w:t xml:space="preserve">circumspiral</w:t>
                  </w:r>
                </w:p>
              </w:tc>
              <w:tc>
                <w:tcPr/>
                <w:p>
                  <w:pPr>
                    <w:pStyle w:val="Compact"/>
                    <w:jc w:val="center"/>
                    <w:jc w:val="center"/>
                  </w:pPr>
                  <w:r>
                    <w:t xml:space="preserve">cross</w:t>
                  </w:r>
                </w:p>
              </w:tc>
              <w:tc>
                <w:tcPr/>
                <w:p>
                  <w:pPr>
                    <w:pStyle w:val="Compact"/>
                    <w:jc w:val="center"/>
                    <w:jc w:val="center"/>
                  </w:pPr>
                  <w:r>
                    <w:t xml:space="preserve">dashline</w:t>
                  </w:r>
                </w:p>
              </w:tc>
              <w:tc>
                <w:tcPr/>
                <w:p>
                  <w:pPr>
                    <w:pStyle w:val="Compact"/>
                    <w:jc w:val="center"/>
                    <w:jc w:val="center"/>
                  </w:pPr>
                  <w:r>
                    <w:t xml:space="preserve">dot</w:t>
                  </w:r>
                </w:p>
              </w:tc>
              <w:tc>
                <w:tcPr/>
                <w:p>
                  <w:pPr>
                    <w:pStyle w:val="Compact"/>
                    <w:jc w:val="center"/>
                    <w:jc w:val="center"/>
                  </w:pPr>
                  <w:r>
                    <w:t xml:space="preserve">hatching</w:t>
                  </w:r>
                </w:p>
              </w:tc>
              <w:tc>
                <w:tcPr/>
                <w:p>
                  <w:pPr>
                    <w:pStyle w:val="Compact"/>
                    <w:jc w:val="center"/>
                    <w:jc w:val="center"/>
                  </w:pPr>
                  <w:r>
                    <w:t xml:space="preserve">line</w:t>
                  </w:r>
                </w:p>
              </w:tc>
              <w:tc>
                <w:tcPr/>
                <w:p>
                  <w:pPr>
                    <w:pStyle w:val="Compact"/>
                    <w:jc w:val="center"/>
                    <w:jc w:val="center"/>
                  </w:pPr>
                  <w:r>
                    <w:t xml:space="preserve">notch</w:t>
                  </w:r>
                </w:p>
              </w:tc>
              <w:tc>
                <w:tcPr/>
                <w:p>
                  <w:pPr>
                    <w:pStyle w:val="Compact"/>
                    <w:jc w:val="center"/>
                    <w:jc w:val="center"/>
                  </w:pPr>
                  <w:r>
                    <w:t xml:space="preserve">obline</w:t>
                  </w:r>
                </w:p>
              </w:tc>
              <w:tc>
                <w:tcPr/>
                <w:p>
                  <w:pPr>
                    <w:pStyle w:val="Compact"/>
                    <w:jc w:val="center"/>
                    <w:jc w:val="center"/>
                  </w:pPr>
                  <w:r>
                    <w:t xml:space="preserve">obnotch</w:t>
                  </w:r>
                </w:p>
              </w:tc>
              <w:tc>
                <w:tcPr/>
                <w:p>
                  <w:pPr>
                    <w:pStyle w:val="Compact"/>
                    <w:jc w:val="center"/>
                    <w:jc w:val="center"/>
                  </w:pPr>
                  <w:r>
                    <w:t xml:space="preserve">radline</w:t>
                  </w:r>
                </w:p>
              </w:tc>
              <w:tc>
                <w:tcPr/>
                <w:p>
                  <w:pPr>
                    <w:pStyle w:val="Compact"/>
                    <w:jc w:val="center"/>
                    <w:jc w:val="center"/>
                  </w:pPr>
                  <w:r>
                    <w:t xml:space="preserve">v</w:t>
                  </w:r>
                </w:p>
              </w:tc>
              <w:tc>
                <w:tcPr/>
                <w:p>
                  <w:pPr>
                    <w:pStyle w:val="Compact"/>
                    <w:jc w:val="center"/>
                    <w:jc w:val="center"/>
                  </w:pPr>
                  <w:r>
                    <w:t xml:space="preserve">zigzag</w:t>
                  </w:r>
                </w:p>
              </w:tc>
            </w:tr>
            <w:tr>
              <w:tc>
                <w:tcPr/>
                <w:p>
                  <w:pPr>
                    <w:pStyle w:val="Compact"/>
                    <w:jc w:val="left"/>
                    <w:jc w:val="center"/>
                  </w:pPr>
                  <w:r>
                    <w:t xml:space="preserve">Aur-P1</w:t>
                  </w:r>
                </w:p>
              </w:tc>
              <w:tc>
                <w:tcPr/>
                <w:p>
                  <w:pPr>
                    <w:pStyle w:val="Compact"/>
                    <w:jc w:val="center"/>
                    <w:jc w:val="center"/>
                  </w:pPr>
                  <w:r>
                    <w:t xml:space="preserve">1</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0.11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0.44</w:t>
                  </w:r>
                </w:p>
              </w:tc>
              <w:tc>
                <w:tcPr/>
                <w:p>
                  <w:pPr>
                    <w:pStyle w:val="Compact"/>
                    <w:jc w:val="center"/>
                    <w:jc w:val="center"/>
                  </w:pPr>
                  <w:r>
                    <w:t xml:space="preserve">0.89</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2</w:t>
                  </w:r>
                </w:p>
              </w:tc>
              <w:tc>
                <w:tcPr/>
                <w:p>
                  <w:pPr>
                    <w:pStyle w:val="Compact"/>
                    <w:jc w:val="center"/>
                    <w:jc w:val="center"/>
                  </w:pPr>
                  <w:r>
                    <w:t xml:space="preserve">9</w:t>
                  </w:r>
                </w:p>
              </w:tc>
              <w:tc>
                <w:tcPr/>
                <w:p>
                  <w:pPr>
                    <w:pStyle w:val="Compact"/>
                    <w:jc w:val="center"/>
                    <w:jc w:val="center"/>
                  </w:pPr>
                  <w:r>
                    <w:t xml:space="preserve">0.00</w:t>
                  </w:r>
                </w:p>
              </w:tc>
              <w:tc>
                <w:tcPr/>
                <w:p>
                  <w:pPr>
                    <w:pStyle w:val="Compact"/>
                    <w:jc w:val="center"/>
                    <w:jc w:val="center"/>
                  </w:pPr>
                  <w:r>
                    <w:t xml:space="preserve">0.67</w:t>
                  </w:r>
                </w:p>
              </w:tc>
              <w:tc>
                <w:tcPr/>
                <w:p>
                  <w:pPr>
                    <w:pStyle w:val="Compact"/>
                    <w:jc w:val="center"/>
                    <w:jc w:val="center"/>
                  </w:pPr>
                  <w:r>
                    <w:t xml:space="preserve">0.11</w:t>
                  </w:r>
                </w:p>
              </w:tc>
              <w:tc>
                <w:tcPr/>
                <w:p>
                  <w:pPr>
                    <w:pStyle w:val="Compact"/>
                    <w:jc w:val="center"/>
                    <w:jc w:val="center"/>
                  </w:pPr>
                  <w:r>
                    <w:t xml:space="preserve">0.67</w:t>
                  </w:r>
                </w:p>
              </w:tc>
              <w:tc>
                <w:tcPr/>
                <w:p>
                  <w:pPr>
                    <w:pStyle w:val="Compact"/>
                    <w:jc w:val="center"/>
                    <w:jc w:val="center"/>
                  </w:pPr>
                  <w:r>
                    <w:t xml:space="preserve">0.44</w:t>
                  </w:r>
                </w:p>
              </w:tc>
              <w:tc>
                <w:tcPr/>
                <w:p>
                  <w:pPr>
                    <w:pStyle w:val="Compact"/>
                    <w:jc w:val="center"/>
                    <w:jc w:val="center"/>
                  </w:pPr>
                  <w:r>
                    <w:t xml:space="preserve">1.00</w:t>
                  </w:r>
                </w:p>
              </w:tc>
              <w:tc>
                <w:tcPr/>
                <w:p>
                  <w:pPr>
                    <w:pStyle w:val="Compact"/>
                    <w:jc w:val="center"/>
                    <w:jc w:val="center"/>
                  </w:pPr>
                  <w:r>
                    <w:t xml:space="preserve">0.89</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0.11</w:t>
                  </w:r>
                </w:p>
              </w:tc>
            </w:tr>
            <w:tr>
              <w:tc>
                <w:tcPr/>
                <w:p>
                  <w:pPr>
                    <w:pStyle w:val="Compact"/>
                    <w:jc w:val="left"/>
                    <w:jc w:val="center"/>
                  </w:pPr>
                  <w:r>
                    <w:t xml:space="preserve">Aur-P1</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Aur-P1</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1</w:t>
                  </w:r>
                </w:p>
              </w:tc>
              <w:tc>
                <w:tcPr/>
                <w:p>
                  <w:pPr>
                    <w:pStyle w:val="Compact"/>
                    <w:jc w:val="center"/>
                    <w:jc w:val="center"/>
                  </w:pPr>
                  <w:r>
                    <w:t xml:space="preserve">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0.67</w:t>
                  </w:r>
                </w:p>
              </w:tc>
              <w:tc>
                <w:tcPr/>
                <w:p>
                  <w:pPr>
                    <w:pStyle w:val="Compact"/>
                    <w:jc w:val="center"/>
                    <w:jc w:val="center"/>
                  </w:pPr>
                  <w:r>
                    <w:t xml:space="preserve">1.00</w:t>
                  </w:r>
                </w:p>
              </w:tc>
              <w:tc>
                <w:tcPr/>
                <w:p>
                  <w:pPr>
                    <w:pStyle w:val="Compact"/>
                    <w:jc w:val="center"/>
                    <w:jc w:val="center"/>
                  </w:pPr>
                  <w:r>
                    <w:t xml:space="preserve">1.00</w:t>
                  </w:r>
                </w:p>
              </w:tc>
              <w:tc>
                <w:tcPr/>
                <w:p>
                  <w:pPr>
                    <w:pStyle w:val="Compact"/>
                    <w:jc w:val="center"/>
                    <w:jc w:val="center"/>
                  </w:pPr>
                  <w:r>
                    <w:t xml:space="preserve">0.67</w:t>
                  </w:r>
                </w:p>
              </w:tc>
              <w:tc>
                <w:tcPr/>
                <w:p>
                  <w:pPr>
                    <w:pStyle w:val="Compact"/>
                    <w:jc w:val="center"/>
                    <w:jc w:val="center"/>
                  </w:pPr>
                  <w:r>
                    <w:t xml:space="preserve">0.67</w:t>
                  </w:r>
                </w:p>
              </w:tc>
              <w:tc>
                <w:tcPr/>
                <w:p>
                  <w:pPr>
                    <w:pStyle w:val="Compact"/>
                    <w:jc w:val="center"/>
                    <w:jc w:val="center"/>
                  </w:pPr>
                  <w:r>
                    <w:t xml:space="preserve">0.33</w:t>
                  </w:r>
                </w:p>
              </w:tc>
              <w:tc>
                <w:tcPr/>
                <w:p>
                  <w:pPr>
                    <w:pStyle w:val="Compact"/>
                    <w:jc w:val="center"/>
                    <w:jc w:val="center"/>
                  </w:pPr>
                  <w:r>
                    <w:t xml:space="preserve">0.33</w:t>
                  </w:r>
                </w:p>
              </w:tc>
              <w:tc>
                <w:tcPr/>
                <w:p>
                  <w:pPr>
                    <w:pStyle w:val="Compact"/>
                    <w:jc w:val="center"/>
                    <w:jc w:val="center"/>
                  </w:pPr>
                  <w:r>
                    <w:t xml:space="preserve">0.33</w:t>
                  </w:r>
                </w:p>
              </w:tc>
            </w:tr>
            <w:tr>
              <w:tc>
                <w:tcPr/>
                <w:p>
                  <w:pPr>
                    <w:pStyle w:val="Compact"/>
                    <w:jc w:val="left"/>
                    <w:jc w:val="center"/>
                  </w:pPr>
                  <w:r>
                    <w:t xml:space="preserve">Aur-P2</w:t>
                  </w:r>
                </w:p>
              </w:tc>
              <w:tc>
                <w:tcPr/>
                <w:p>
                  <w:pPr>
                    <w:pStyle w:val="Compact"/>
                    <w:jc w:val="center"/>
                    <w:jc w:val="center"/>
                  </w:pPr>
                  <w:r>
                    <w:t xml:space="preserve">2</w:t>
                  </w:r>
                </w:p>
              </w:tc>
              <w:tc>
                <w:tcPr/>
                <w:p>
                  <w:pPr>
                    <w:pStyle w:val="Compact"/>
                    <w:jc w:val="center"/>
                    <w:jc w:val="center"/>
                  </w:pPr>
                  <w:r>
                    <w:t xml:space="preserve">4</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0.50</w:t>
                  </w:r>
                </w:p>
              </w:tc>
              <w:tc>
                <w:tcPr/>
                <w:p>
                  <w:pPr>
                    <w:pStyle w:val="Compact"/>
                    <w:jc w:val="center"/>
                    <w:jc w:val="center"/>
                  </w:pPr>
                  <w:r>
                    <w:t xml:space="preserve">0.25</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r>
              <w:tc>
                <w:tcPr/>
                <w:p>
                  <w:pPr>
                    <w:pStyle w:val="Compact"/>
                    <w:jc w:val="left"/>
                    <w:jc w:val="center"/>
                  </w:pPr>
                  <w:r>
                    <w:t xml:space="preserve">Aur-P2</w:t>
                  </w:r>
                </w:p>
              </w:tc>
              <w:tc>
                <w:tcPr/>
                <w:p>
                  <w:pPr>
                    <w:pStyle w:val="Compact"/>
                    <w:jc w:val="center"/>
                    <w:jc w:val="center"/>
                  </w:pPr>
                  <w:r>
                    <w:t xml:space="preserve">3</w:t>
                  </w:r>
                </w:p>
              </w:tc>
              <w:tc>
                <w:tcPr/>
                <w:p>
                  <w:pPr>
                    <w:pStyle w:val="Compact"/>
                    <w:jc w:val="center"/>
                    <w:jc w:val="center"/>
                  </w:pPr>
                  <w:r>
                    <w:t xml:space="preserve">2</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1.00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c>
                <w:tcPr/>
                <w:p>
                  <w:pPr>
                    <w:pStyle w:val="Compact"/>
                    <w:jc w:val="center"/>
                    <w:jc w:val="center"/>
                  </w:pPr>
                  <w:r>
                    <w:t xml:space="preserve">0.00</w:t>
                  </w:r>
                </w:p>
              </w:tc>
            </w:tr>
          </w:tbl>
          <w:p>
            <w:pPr>
              <w:jc w:val="center"/>
            </w:pPr>
            <w:pPr>
              <w:jc w:val="start"/>
              <w:spacing w:before="200"/>
              <w:pStyle w:val="ImageCaption"/>
            </w:pPr>
            <w:r>
              <w:t xml:space="preserve">Table S 38: Sign-type composition of Louvain communities at threshold 0.2. Values show the proportion of sites within each community that have at least one object bearing the sign type. Only sign types present in ≥10% of sites in at least one community are shown.</w:t>
            </w:r>
          </w:p>
          <w:bookmarkEnd w:id="205"/>
        </w:tc>
      </w:tr>
    </w:tbl>
    <w:bookmarkEnd w:id="206"/>
    <w:bookmarkEnd w:id="207"/>
    <w:bookmarkStart w:id="213" w:name="sec-s11-3"/>
    <w:p>
      <w:pPr>
        <w:pStyle w:val="Heading2"/>
      </w:pPr>
      <w:r>
        <w:t xml:space="preserve">S1.11.4 Geographic distribution</w:t>
      </w:r>
    </w:p>
    <w:bookmarkStart w:id="212" w:name="method-7"/>
    <w:p>
      <w:pPr>
        <w:pStyle w:val="Heading3"/>
      </w:pPr>
      <w:r>
        <w:t xml:space="preserve">Method</w:t>
      </w:r>
    </w:p>
    <w:p>
      <w:pPr>
        <w:pStyle w:val="FirstParagraph"/>
      </w:pPr>
      <w:r>
        <w:t xml:space="preserve">We map the communities to visualize their geographic structure. Community IDs are colored consistently within each phase.</w:t>
      </w:r>
    </w:p>
    <w:tbl>
      <w:tblPr>
        <w:tblStyle w:val="Table"/>
        <w:tblW w:type="pct" w:w="5000"/>
        <w:tblLook w:firstRow="0" w:lastRow="0" w:firstColumn="0" w:lastColumn="0" w:noHBand="0" w:noVBand="0" w:val="0000"/>
        <w:jc w:val="start"/>
        <w:tblLayout w:type="fixed"/>
      </w:tblPr>
      <w:tblGrid>
        <w:gridCol w:w="7920"/>
      </w:tblGrid>
      <w:tr>
        <w:tc>
          <w:tcPr/>
          <w:bookmarkStart w:id="211" w:name="fig-community-maps"/>
          <w:p>
            <w:pPr>
              <w:pStyle w:val="Compact"/>
              <w:jc w:val="center"/>
            </w:pPr>
            <w:r>
              <w:drawing>
                <wp:inline>
                  <wp:extent cx="5943600" cy="4622800"/>
                  <wp:effectExtent b="0" l="0" r="0" t="0"/>
                  <wp:docPr descr="" title="" id="209" name="Picture"/>
                  <a:graphic>
                    <a:graphicData uri="http://schemas.openxmlformats.org/drawingml/2006/picture">
                      <pic:pic>
                        <pic:nvPicPr>
                          <pic:cNvPr descr="../figures/community-maps.png" id="210" name="Picture"/>
                          <pic:cNvPicPr>
                            <a:picLocks noChangeArrowheads="1" noChangeAspect="1"/>
                          </pic:cNvPicPr>
                        </pic:nvPicPr>
                        <pic:blipFill>
                          <a:blip r:embed="rId208"/>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11: Geographic distribution of Louvain communities at Jaccard threshold 0.2. (a) Aur-P1: 4 communities. (b) Aur-P2: 3 communities. Community colours are arbitrary but consistent within each phase. Point size indicates assemblage size (number of objects). Map data from naturalearthdata.com.</w:t>
            </w:r>
          </w:p>
          <w:bookmarkEnd w:id="211"/>
        </w:tc>
      </w:tr>
    </w:tbl>
    <w:bookmarkEnd w:id="212"/>
    <w:bookmarkEnd w:id="213"/>
    <w:bookmarkStart w:id="216" w:name="sec-s11-4"/>
    <w:p>
      <w:pPr>
        <w:pStyle w:val="Heading2"/>
      </w:pPr>
      <w:r>
        <w:t xml:space="preserve">S1.11.5 Cross-algorithm comparison</w:t>
      </w:r>
    </w:p>
    <w:bookmarkStart w:id="215" w:name="method-8"/>
    <w:p>
      <w:pPr>
        <w:pStyle w:val="Heading3"/>
      </w:pPr>
      <w:r>
        <w:t xml:space="preserve">Method</w:t>
      </w:r>
    </w:p>
    <w:p>
      <w:pPr>
        <w:pStyle w:val="FirstParagraph"/>
      </w:pPr>
      <w:r>
        <w:t xml:space="preserve">We examine how consistently sites are assigned to communities across the four algorithms, focusing on the main-analysis threshold of 0.2.</w:t>
      </w:r>
    </w:p>
    <w:tbl>
      <w:tblPr>
        <w:tblStyle w:val="Table"/>
        <w:tblW w:type="pct" w:w="5000"/>
        <w:tblLook w:firstRow="0" w:lastRow="0" w:firstColumn="0" w:lastColumn="0" w:noHBand="0" w:noVBand="0" w:val="0000"/>
        <w:jc w:val="start"/>
        <w:tblLayout w:type="fixed"/>
      </w:tblPr>
      <w:tblGrid>
        <w:gridCol w:w="7920"/>
      </w:tblGrid>
      <w:tr>
        <w:tc>
          <w:tcPr/>
          <w:bookmarkStart w:id="214" w:name="tbl-cross-algorithm-agreement"/>
          <w:tbl>
            <w:tblPr>
              <w:tblStyle w:val="Table"/>
              <w:tblW w:type="pct" w:w="5000"/>
              <w:tblLook w:firstRow="1" w:lastRow="0" w:firstColumn="0" w:lastColumn="0" w:noHBand="0" w:noVBand="0" w:val="0020"/>
              <w:jc w:val="start"/>
              <w:tblLayout w:type="fixed"/>
            </w:tblPr>
            <w:tblGrid>
              <w:gridCol w:w="676"/>
              <w:gridCol w:w="2607"/>
              <w:gridCol w:w="1448"/>
              <w:gridCol w:w="869"/>
              <w:gridCol w:w="772"/>
              <w:gridCol w:w="965"/>
              <w:gridCol w:w="579"/>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Louvain Comm.</w:t>
                  </w:r>
                </w:p>
              </w:tc>
              <w:tc>
                <w:tcPr/>
                <w:p>
                  <w:pPr>
                    <w:pStyle w:val="Compact"/>
                    <w:jc w:val="center"/>
                    <w:jc w:val="center"/>
                  </w:pPr>
                  <w:r>
                    <w:t xml:space="preserve">Infomap</w:t>
                  </w:r>
                </w:p>
              </w:tc>
              <w:tc>
                <w:tcPr/>
                <w:p>
                  <w:pPr>
                    <w:pStyle w:val="Compact"/>
                    <w:jc w:val="center"/>
                    <w:jc w:val="center"/>
                  </w:pPr>
                  <w:r>
                    <w:t xml:space="preserve">Leiden</w:t>
                  </w:r>
                </w:p>
              </w:tc>
              <w:tc>
                <w:tcPr/>
                <w:p>
                  <w:pPr>
                    <w:pStyle w:val="Compact"/>
                    <w:jc w:val="center"/>
                    <w:jc w:val="center"/>
                  </w:pPr>
                  <w:r>
                    <w:t xml:space="preserve">Walktrap</w:t>
                  </w:r>
                </w:p>
              </w:tc>
              <w:tc>
                <w:tcPr/>
                <w:p>
                  <w:pPr>
                    <w:pStyle w:val="Compact"/>
                    <w:jc w:val="center"/>
                    <w:jc w:val="center"/>
                  </w:pPr>
                  <w:r>
                    <w:t xml:space="preserve">Any</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3</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4</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1</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0.75</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3</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w:t>
                  </w:r>
                </w:p>
              </w:tc>
              <w:tc>
                <w:tcPr/>
                <w:p>
                  <w:pPr>
                    <w:pStyle w:val="Compact"/>
                    <w:jc w:val="center"/>
                    <w:jc w:val="center"/>
                  </w:pPr>
                  <w:r>
                    <w:t xml:space="preserve">1.00</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2</w:t>
                  </w:r>
                </w:p>
              </w:tc>
              <w:tc>
                <w:tcPr/>
                <w:p>
                  <w:pPr>
                    <w:pStyle w:val="Compact"/>
                    <w:jc w:val="center"/>
                    <w:jc w:val="center"/>
                  </w:pPr>
                  <w:r>
                    <w:t xml:space="preserve">0</w:t>
                  </w:r>
                </w:p>
              </w:tc>
              <w:tc>
                <w:tcPr/>
                <w:p>
                  <w:pPr>
                    <w:pStyle w:val="Compact"/>
                    <w:jc w:val="center"/>
                    <w:jc w:val="center"/>
                  </w:pPr>
                  <w:r>
                    <w:t xml:space="preserve">0</w:t>
                  </w:r>
                </w:p>
              </w:tc>
              <w:tc>
                <w:tcPr/>
                <w:p>
                  <w:pPr>
                    <w:pStyle w:val="Compact"/>
                    <w:jc w:val="center"/>
                    <w:jc w:val="center"/>
                  </w:pPr>
                  <w:r>
                    <w:t xml:space="preserve">1</w:t>
                  </w:r>
                </w:p>
              </w:tc>
              <w:tc>
                <w:tcPr/>
                <w:p>
                  <w:pPr>
                    <w:pStyle w:val="Compact"/>
                    <w:jc w:val="center"/>
                    <w:jc w:val="center"/>
                  </w:pPr>
                  <w:r>
                    <w:t xml:space="preserve">0.25</w:t>
                  </w:r>
                </w:p>
              </w:tc>
            </w:tr>
          </w:tbl>
          <w:p>
            <w:pPr>
              <w:jc w:val="center"/>
            </w:pPr>
            <w:pPr>
              <w:jc w:val="start"/>
              <w:spacing w:before="200"/>
              <w:pStyle w:val="ImageCaption"/>
            </w:pPr>
            <w:r>
              <w:t xml:space="preserve">Table S 39: Cross-algorithm agreement in community assignment at threshold 0.2. For each phase, sites are grouped by their Louvain community (reference), and the proportion of other algorithms that assign the site to the same community ID (after optimal matching of community labels) is reported. Values close to 1.0 indicate strong cross-algorithm agreement.</w:t>
            </w:r>
          </w:p>
          <w:bookmarkEnd w:id="214"/>
        </w:tc>
      </w:tr>
    </w:tbl>
    <w:bookmarkEnd w:id="215"/>
    <w:bookmarkEnd w:id="216"/>
    <w:bookmarkStart w:id="217" w:name="sec-s11-5"/>
    <w:p>
      <w:pPr>
        <w:pStyle w:val="Heading2"/>
      </w:pPr>
      <w:r>
        <w:t xml:space="preserve">S1.11.6 Interpretation</w:t>
      </w:r>
    </w:p>
    <w:p>
      <w:pPr>
        <w:pStyle w:val="FirstParagraph"/>
      </w:pPr>
      <w:r>
        <w:rPr>
          <w:bCs/>
          <w:b/>
        </w:rPr>
        <w:t xml:space="preserve">Question: which sites fall in the same community under each algorithm at threshold 0.2?</w:t>
      </w:r>
      <w:r>
        <w:t xml:space="preserve"> </w:t>
      </w:r>
      <w:r>
        <w:rPr>
          <w:bCs/>
          <w:b/>
        </w:rPr>
        <w:t xml:space="preserve">Community structure in Aur-P1.</w:t>
      </w:r>
      <w:r>
        <w:t xml:space="preserve"> </w:t>
      </w:r>
      <w:r>
        <w:t xml:space="preserve">The Louvain algorithm identifies 4 communities in Aur-P1 (</w:t>
      </w:r>
      <w:hyperlink w:anchor="tbl-community-membership">
        <w:r>
          <w:rPr>
            <w:rStyle w:val="Hyperlink"/>
          </w:rPr>
          <w:t xml:space="preserve">Table S 37</w:t>
        </w:r>
      </w:hyperlink>
      <w:r>
        <w:t xml:space="preserve">). The largest communities (Community 1 with 9 sites and Community 2 with 9 sites) coincide almost exactly with the manual restricted and broad groups, with Les Cottés and Trou al’Wesse splitting off as singleton communities, suggesting the partition captures the core restricted and broad sign repertoires.</w:t>
      </w:r>
      <w:r>
        <w:t xml:space="preserve"> </w:t>
      </w:r>
      <w:r>
        <w:rPr>
          <w:bCs/>
          <w:b/>
        </w:rPr>
        <w:t xml:space="preserve">Community structure in Aur-P2.</w:t>
      </w:r>
      <w:r>
        <w:t xml:space="preserve"> </w:t>
      </w:r>
      <w:r>
        <w:t xml:space="preserve">Aur-P2 resolves into 3 Louvain communities (</w:t>
      </w:r>
      <w:hyperlink w:anchor="tbl-community-membership">
        <w:r>
          <w:rPr>
            <w:rStyle w:val="Hyperlink"/>
          </w:rPr>
          <w:t xml:space="preserve">Table S 37</w:t>
        </w:r>
      </w:hyperlink>
      <w:r>
        <w:t xml:space="preserve">). With only 9 sites total, the communities are small (1–3 sites each), and the PerMANOVA significance (</w:t>
      </w:r>
      <w:r>
        <w:t xml:space="preserve">Section S1.6.6</w:t>
      </w:r>
      <w:r>
        <w:t xml:space="preserve">) likely reflects strong pairwise similarities among a few sites rather than robust multi-site clusters.</w:t>
      </w:r>
    </w:p>
    <w:p>
      <w:pPr>
        <w:pStyle w:val="BodyText"/>
      </w:pPr>
      <w:r>
        <w:rPr>
          <w:bCs/>
          <w:b/>
        </w:rPr>
        <w:t xml:space="preserve">Question: which sign types distinguish communities from one another?</w:t>
      </w:r>
      <w:r>
        <w:t xml:space="preserve"> </w:t>
      </w:r>
      <w:hyperlink w:anchor="tbl-community-composition">
        <w:r>
          <w:rPr>
            <w:rStyle w:val="Hyperlink"/>
          </w:rPr>
          <w:t xml:space="preserve">Table S 38</w:t>
        </w:r>
      </w:hyperlink>
      <w:r>
        <w:t xml:space="preserve"> </w:t>
      </w:r>
      <w:r>
        <w:t xml:space="preserve">reveals that communities differ primarily in the frequency of</w:t>
      </w:r>
      <w:r>
        <w:t xml:space="preserve"> </w:t>
      </w:r>
      <w:r>
        <w:rPr>
          <w:rStyle w:val="VerbatimChar"/>
        </w:rPr>
        <w:t xml:space="preserve">obline</w:t>
      </w:r>
      <w:r>
        <w:t xml:space="preserve">,</w:t>
      </w:r>
      <w:r>
        <w:t xml:space="preserve"> </w:t>
      </w:r>
      <w:r>
        <w:rPr>
          <w:rStyle w:val="VerbatimChar"/>
        </w:rPr>
        <w:t xml:space="preserve">dashline</w:t>
      </w:r>
      <w:r>
        <w:t xml:space="preserve">, and</w:t>
      </w:r>
      <w:r>
        <w:t xml:space="preserve"> </w:t>
      </w:r>
      <w:r>
        <w:rPr>
          <w:rStyle w:val="VerbatimChar"/>
        </w:rPr>
        <w:t xml:space="preserve">zigzag</w:t>
      </w:r>
      <w:r>
        <w:t xml:space="preserve"> </w:t>
      </w:r>
      <w:r>
        <w:t xml:space="preserve">signs, which are the most widespread sign types. No single sign type is exclusive to a community, supporting the interpretation that communities reflect graded differences in sign repertoire composition rather than discrete</w:t>
      </w:r>
      <w:r>
        <w:t xml:space="preserve"> </w:t>
      </w:r>
      <w:r>
        <w:t xml:space="preserve">“</w:t>
      </w:r>
      <w:r>
        <w:t xml:space="preserve">cultural provinces.</w:t>
      </w:r>
      <w:r>
        <w:t xml:space="preserve">”</w:t>
      </w:r>
    </w:p>
    <w:p>
      <w:pPr>
        <w:pStyle w:val="BodyText"/>
      </w:pPr>
      <w:r>
        <w:rPr>
          <w:bCs/>
          <w:b/>
        </w:rPr>
        <w:t xml:space="preserve">Question: do communities map onto coherent geographic regions?</w:t>
      </w:r>
      <w:r>
        <w:t xml:space="preserve"> </w:t>
      </w:r>
      <w:r>
        <w:t xml:space="preserve">Partly. The geographic map (</w:t>
      </w:r>
      <w:hyperlink w:anchor="fig-community-maps">
        <w:r>
          <w:rPr>
            <w:rStyle w:val="Hyperlink"/>
          </w:rPr>
          <w:t xml:space="preserve">Figure S 11</w:t>
        </w:r>
      </w:hyperlink>
      <w:r>
        <w:t xml:space="preserve">, Aur-P1 facet) shows that Community 2 spans the broadest geographic range, while the smaller communities are more spatially clustered. The geographic map (</w:t>
      </w:r>
      <w:hyperlink w:anchor="fig-community-maps">
        <w:r>
          <w:rPr>
            <w:rStyle w:val="Hyperlink"/>
          </w:rPr>
          <w:t xml:space="preserve">Figure S 11</w:t>
        </w:r>
      </w:hyperlink>
      <w:r>
        <w:t xml:space="preserve">, Aur-P2 facet) shows limited spatial coherence, consistent with the non-significant null-benchmarked modularity (</w:t>
      </w:r>
      <w:r>
        <w:t xml:space="preserve">Section S1.7.2</w:t>
      </w:r>
      <w:r>
        <w:t xml:space="preserve">).</w:t>
      </w:r>
    </w:p>
    <w:p>
      <w:pPr>
        <w:pStyle w:val="BodyText"/>
      </w:pPr>
      <w:r>
        <w:rPr>
          <w:bCs/>
          <w:b/>
        </w:rPr>
        <w:t xml:space="preserve">Question: how consistently do the four algorithms assign the same sites together?</w:t>
      </w:r>
      <w:r>
        <w:t xml:space="preserve"> </w:t>
      </w:r>
      <w:hyperlink w:anchor="tbl-cross-algorithm-agreement">
        <w:r>
          <w:rPr>
            <w:rStyle w:val="Hyperlink"/>
          </w:rPr>
          <w:t xml:space="preserve">Table S 39</w:t>
        </w:r>
      </w:hyperlink>
      <w:r>
        <w:t xml:space="preserve"> </w:t>
      </w:r>
      <w:r>
        <w:t xml:space="preserve">shows that Louvain and Walktrap produce nearly identical partitions (agreement &gt; 0.9 for most sites), while Infomap and Leiden yield coarser partitions with fewer communities. Sites that are assigned consistently across all four algorithms represent the strongest signal; those that vary indicate boundary uncertainty.</w:t>
      </w:r>
    </w:p>
    <w:p>
      <w:pPr>
        <w:pStyle w:val="BodyText"/>
      </w:pPr>
      <w:r>
        <w:rPr>
          <w:bCs/>
          <w:b/>
        </w:rPr>
        <w:t xml:space="preserve">Implication for the main text.</w:t>
      </w:r>
      <w:r>
        <w:t xml:space="preserve"> </w:t>
      </w:r>
      <w:r>
        <w:t xml:space="preserve">The community detection results confirm that the main-text restricted/broad dichotomy is a simplification of a richer, multi-community structure. The two-group partition captures the dominant axis of variation (core vs. peripheral sign repertoires) but masks finer-scale geographic and technological patterning that emerges at the community level.</w:t>
      </w:r>
    </w:p>
    <w:bookmarkEnd w:id="217"/>
    <w:bookmarkEnd w:id="218"/>
    <w:bookmarkStart w:id="268" w:name="sec-s12"/>
    <w:p>
      <w:pPr>
        <w:pStyle w:val="Heading1"/>
      </w:pPr>
      <w:r>
        <w:t xml:space="preserve">S1.12 Object Types and Sampling Intensity</w:t>
      </w:r>
    </w:p>
    <w:bookmarkStart w:id="219" w:name="sec-s12-rationale"/>
    <w:p>
      <w:pPr>
        <w:pStyle w:val="Heading2"/>
      </w:pPr>
      <w:r>
        <w:t xml:space="preserve">S1.12.1 Rationale</w:t>
      </w:r>
    </w:p>
    <w:p>
      <w:pPr>
        <w:pStyle w:val="FirstParagraph"/>
      </w:pPr>
      <w:r>
        <w:t xml:space="preserve">Figurine exclusion tests object-type bias. Downsampling, coverage, regression, and pool comparison test whether the restricted/broad division and the Aur-P1 versus Aur-P2 pool difference survive equal effort. Simpson turnover and richness nulls are reported in</w:t>
      </w:r>
      <w:r>
        <w:t xml:space="preserve"> </w:t>
      </w:r>
      <w:r>
        <w:t xml:space="preserve">Section S1.10.3</w:t>
      </w:r>
      <w:r>
        <w:t xml:space="preserve">.</w:t>
      </w:r>
    </w:p>
    <w:p>
      <w:pPr>
        <w:pStyle w:val="BodyText"/>
      </w:pPr>
      <w:r>
        <w:t xml:space="preserve">The main-text and supplementary analyses establish the restricted/broad (R/B) division from site-level presence/absence of sign types. This removes the</w:t>
      </w:r>
      <w:r>
        <w:t xml:space="preserve"> </w:t>
      </w:r>
      <w:r>
        <w:rPr>
          <w:iCs/>
          <w:i/>
        </w:rPr>
        <w:t xml:space="preserve">first-order</w:t>
      </w:r>
      <w:r>
        <w:t xml:space="preserve"> </w:t>
      </w:r>
      <w:r>
        <w:t xml:space="preserve">effect of differing object counts between sites, but it does not remove a deeper confounding issue: because the number of sign types recorded at a site is bounded by the number of objects recovered, sites represented by many more objects have a greater opportunity to produce a larger repertoire, so the R/B division could partly reflect sampling intensity rather than a genuine cultural contrast. Presence/absence coding controls for the</w:t>
      </w:r>
      <w:r>
        <w:t xml:space="preserve"> </w:t>
      </w:r>
      <w:r>
        <w:rPr>
          <w:iCs/>
          <w:i/>
        </w:rPr>
        <w:t xml:space="preserve">magnitude</w:t>
      </w:r>
      <w:r>
        <w:t xml:space="preserve"> </w:t>
      </w:r>
      <w:r>
        <w:t xml:space="preserve">of the object-count difference, not for the fact that richer assemblages are, by construction, more likely to be classified as broad. This section provides an object-level resampling/rareffaction sensitivity analysis. It asks six specific questions:</w:t>
      </w:r>
    </w:p>
    <w:p>
      <w:pPr>
        <w:pStyle w:val="BodyText"/>
      </w:pPr>
      <w:r>
        <w:rPr>
          <w:bCs/>
          <w:b/>
        </w:rPr>
        <w:t xml:space="preserve">Question: when objects are resampled to a common count and the network and Louvain partition are re-derived (</w:t>
      </w:r>
      <w:r>
        <w:rPr>
          <w:bCs/>
          <w:b/>
        </w:rPr>
        <w:t xml:space="preserve">Section S1.12.3</w:t>
      </w:r>
      <w:r>
        <w:rPr>
          <w:bCs/>
          <w:b/>
        </w:rPr>
        <w:t xml:space="preserve">), how often does each site keep its original R/B assignment, and how stable is the community structure?</w:t>
      </w:r>
    </w:p>
    <w:p>
      <w:pPr>
        <w:pStyle w:val="BodyText"/>
      </w:pPr>
      <w:r>
        <w:rPr>
          <w:bCs/>
          <w:b/>
        </w:rPr>
        <w:t xml:space="preserve">Question: at equal sample coverage rather than equal object count (</w:t>
      </w:r>
      <w:r>
        <w:rPr>
          <w:bCs/>
          <w:b/>
        </w:rPr>
        <w:t xml:space="preserve">Section S1.12.4</w:t>
      </w:r>
      <w:r>
        <w:rPr>
          <w:bCs/>
          <w:b/>
        </w:rPr>
        <w:t xml:space="preserve">), do restricted and broad sites still differ in sign-type richness?</w:t>
      </w:r>
    </w:p>
    <w:p>
      <w:pPr>
        <w:pStyle w:val="BodyText"/>
      </w:pPr>
      <w:r>
        <w:rPr>
          <w:bCs/>
          <w:b/>
        </w:rPr>
        <w:t xml:space="preserve">Question: does the group effect on sign-type richness survive after statistically accounting for object count, with the richness-effort exponent estimated rather than fixed (</w:t>
      </w:r>
      <w:r>
        <w:rPr>
          <w:bCs/>
          <w:b/>
        </w:rPr>
        <w:t xml:space="preserve">Section S1.12.5</w:t>
      </w:r>
      <w:r>
        <w:rPr>
          <w:bCs/>
          <w:b/>
        </w:rPr>
        <w:t xml:space="preserve">)?</w:t>
      </w:r>
    </w:p>
    <w:p>
      <w:pPr>
        <w:pStyle w:val="BodyText"/>
      </w:pPr>
      <w:r>
        <w:rPr>
          <w:bCs/>
          <w:b/>
        </w:rPr>
        <w:t xml:space="preserve">Question: at equal effort with</w:t>
      </w:r>
      <w:r>
        <w:rPr>
          <w:bCs/>
          <w:b/>
        </w:rPr>
        <w:t xml:space="preserve"> </w:t>
      </w:r>
      <w:r>
        <w:rPr>
          <w:rStyle w:val="VerbatimChar"/>
          <w:bCs/>
          <w:b/>
        </w:rPr>
        <w:t xml:space="preserve">iNEXT</w:t>
      </w:r>
      <w:r>
        <w:rPr>
          <w:bCs/>
          <w:b/>
        </w:rPr>
        <w:t xml:space="preserve"> </w:t>
      </w:r>
      <w:r>
        <w:rPr>
          <w:bCs/>
          <w:b/>
        </w:rPr>
        <w:t xml:space="preserve">(</w:t>
      </w:r>
      <w:r>
        <w:rPr>
          <w:bCs/>
          <w:b/>
        </w:rPr>
        <w:t xml:space="preserve">Section S1.12.6</w:t>
      </w:r>
      <w:r>
        <w:rPr>
          <w:bCs/>
          <w:b/>
        </w:rPr>
        <w:t xml:space="preserve">), does the Aur-P1 versus Aur-P2 sign-type pool remain larger, or is it not distinguishable from sampling variation at 63 objects, including when restricted to object types present in both phases?</w:t>
      </w:r>
    </w:p>
    <w:p>
      <w:pPr>
        <w:pStyle w:val="BodyText"/>
      </w:pPr>
      <w:r>
        <w:rPr>
          <w:bCs/>
          <w:b/>
        </w:rPr>
        <w:t xml:space="preserve">Question: taken together (</w:t>
      </w:r>
      <w:r>
        <w:rPr>
          <w:bCs/>
          <w:b/>
        </w:rPr>
        <w:t xml:space="preserve">Section S1.12.8</w:t>
      </w:r>
      <w:r>
        <w:rPr>
          <w:bCs/>
          <w:b/>
        </w:rPr>
        <w:t xml:space="preserve">), is the R/B division independent of sampling intensity, and if not, what limitation must be stated?</w:t>
      </w:r>
    </w:p>
    <w:p>
      <w:pPr>
        <w:pStyle w:val="BodyText"/>
      </w:pPr>
      <w:r>
        <w:rPr>
          <w:bCs/>
          <w:b/>
        </w:rPr>
        <w:t xml:space="preserve">Question: does the restricted/broad pattern survive richness-preserving nulls, and does the manual-group PerMANOVA hold on Simpson turnover dissimilarity (</w:t>
      </w:r>
      <w:r>
        <w:rPr>
          <w:bCs/>
          <w:b/>
        </w:rPr>
        <w:t xml:space="preserve">Section S1.10.3</w:t>
      </w:r>
      <w:r>
        <w:rPr>
          <w:bCs/>
          <w:b/>
        </w:rPr>
        <w:t xml:space="preserve">)?</w:t>
      </w:r>
    </w:p>
    <w:bookmarkEnd w:id="219"/>
    <w:bookmarkStart w:id="227" w:name="sec-s12-1"/>
    <w:p>
      <w:pPr>
        <w:pStyle w:val="Heading2"/>
      </w:pPr>
      <w:r>
        <w:t xml:space="preserve">S1.12.2 Object-count distribution and feasible common counts</w:t>
      </w:r>
    </w:p>
    <w:bookmarkStart w:id="225" w:name="rationale-18"/>
    <w:p>
      <w:pPr>
        <w:pStyle w:val="Heading3"/>
      </w:pPr>
      <w:r>
        <w:t xml:space="preserve">Rationale</w:t>
      </w:r>
    </w:p>
    <w:p>
      <w:pPr>
        <w:pStyle w:val="FirstParagraph"/>
      </w:pPr>
      <w:r>
        <w:t xml:space="preserve">Before resampling, we must know how many objects each site contributes. Object counts are highly skewed: a handful of sites (e.g. Vogelherd with 173 objects in Aur-P1) dominate, while many sites contribute only one or two objects (Trou al’Wesse and Fumane contribute a single object; Les Cottés and Labeko Koba contribute two). We therefore tally objects per site and choose common downsampling levels that retain as many sites as possible:</w:t>
      </w:r>
      <w:r>
        <w:t xml:space="preserve"> </w:t>
      </w:r>
      <w:r>
        <w:rPr>
          <w:bCs/>
          <w:b/>
        </w:rPr>
        <w:t xml:space="preserve">k = 3, 5, and 10 objects per site</w:t>
      </w:r>
      <w:r>
        <w:t xml:space="preserve">. A site is included in a downsampling replicate only if it contributes at least k objects.</w:t>
      </w:r>
    </w:p>
    <w:p>
      <w:pPr>
        <w:pStyle w:val="BodyText"/>
      </w:pPr>
      <w:r>
        <w:rPr>
          <w:bCs/>
          <w:b/>
        </w:rPr>
        <w:t xml:space="preserve">Question: how many sites can be retained at each common object count?</w:t>
      </w:r>
    </w:p>
    <w:tbl>
      <w:tblPr>
        <w:tblStyle w:val="Table"/>
        <w:tblW w:type="pct" w:w="5000"/>
        <w:tblLook w:firstRow="0" w:lastRow="0" w:firstColumn="0" w:lastColumn="0" w:noHBand="0" w:noVBand="0" w:val="0000"/>
        <w:jc w:val="start"/>
        <w:tblLayout w:type="fixed"/>
      </w:tblPr>
      <w:tblGrid>
        <w:gridCol w:w="7920"/>
      </w:tblGrid>
      <w:tr>
        <w:tc>
          <w:tcPr/>
          <w:bookmarkStart w:id="220" w:name="tbl-objcoun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r>
          </w:tbl>
          <w:p>
            <w:pPr>
              <w:jc w:val="center"/>
            </w:pPr>
            <w:pPr>
              <w:jc w:val="start"/>
              <w:spacing w:before="200"/>
              <w:pStyle w:val="ImageCaption"/>
            </w:pPr>
            <w:r>
              <w:t xml:space="preserve">Table S 40: Per-site object counts by phase and manual restricted(1)/broad(2) group.</w:t>
            </w:r>
          </w:p>
          <w:bookmarkEnd w:id="220"/>
        </w:tc>
      </w:tr>
    </w:tbl>
    <w:tbl>
      <w:tblPr>
        <w:tblStyle w:val="Table"/>
        <w:tblW w:type="pct" w:w="5000"/>
        <w:tblLook w:firstRow="0" w:lastRow="0" w:firstColumn="0" w:lastColumn="0" w:noHBand="0" w:noVBand="0" w:val="0000"/>
        <w:jc w:val="start"/>
        <w:tblLayout w:type="fixed"/>
      </w:tblPr>
      <w:tblGrid>
        <w:gridCol w:w="7920"/>
      </w:tblGrid>
      <w:tr>
        <w:tc>
          <w:tcPr/>
          <w:bookmarkStart w:id="224" w:name="fig-objhist"/>
          <w:p>
            <w:pPr>
              <w:pStyle w:val="Compact"/>
              <w:jc w:val="center"/>
            </w:pPr>
            <w:r>
              <w:drawing>
                <wp:inline>
                  <wp:extent cx="5943600" cy="2971800"/>
                  <wp:effectExtent b="0" l="0" r="0" t="0"/>
                  <wp:docPr descr="" title="" id="222" name="Picture"/>
                  <a:graphic>
                    <a:graphicData uri="http://schemas.openxmlformats.org/drawingml/2006/picture">
                      <pic:pic>
                        <pic:nvPicPr>
                          <pic:cNvPr descr="S1-supplement-sensitivity_files/figure-docx/fig-objhist-1.png" id="223" name="Picture"/>
                          <pic:cNvPicPr>
                            <a:picLocks noChangeArrowheads="1" noChangeAspect="1"/>
                          </pic:cNvPicPr>
                        </pic:nvPicPr>
                        <pic:blipFill>
                          <a:blip r:embed="rId221"/>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12: Distribution of object counts per site by phase. Most sites contribute few objects; a small number of large assemblages (e.g. Vogelherd) dominate the upper tail.</w:t>
            </w:r>
          </w:p>
          <w:bookmarkEnd w:id="224"/>
        </w:tc>
      </w:tr>
    </w:tbl>
    <w:bookmarkEnd w:id="225"/>
    <w:bookmarkStart w:id="226" w:name="interpretation-17"/>
    <w:p>
      <w:pPr>
        <w:pStyle w:val="Heading3"/>
      </w:pPr>
      <w:r>
        <w:t xml:space="preserve">Interpretation</w:t>
      </w:r>
    </w:p>
    <w:p>
      <w:pPr>
        <w:pStyle w:val="FirstParagraph"/>
      </w:pPr>
      <w:r>
        <w:rPr>
          <w:bCs/>
          <w:b/>
        </w:rPr>
        <w:t xml:space="preserve">Question: how many sites can be retained at each common object count?</w:t>
      </w:r>
      <w:r>
        <w:t xml:space="preserve"> </w:t>
      </w:r>
      <w:r>
        <w:t xml:space="preserve">At</w:t>
      </w:r>
      <w:r>
        <w:t xml:space="preserve"> </w:t>
      </w:r>
      <w:r>
        <w:rPr>
          <w:bCs/>
          <w:b/>
        </w:rPr>
        <w:t xml:space="preserve">k = 3</w:t>
      </w:r>
      <w:r>
        <w:t xml:space="preserve">, 13 of 20 Aur-P1 sites and 5 of 9 Aur-P2 sites qualify. At</w:t>
      </w:r>
      <w:r>
        <w:t xml:space="preserve"> </w:t>
      </w:r>
      <w:r>
        <w:rPr>
          <w:bCs/>
          <w:b/>
        </w:rPr>
        <w:t xml:space="preserve">k = 5</w:t>
      </w:r>
      <w:r>
        <w:t xml:space="preserve"> </w:t>
      </w:r>
      <w:r>
        <w:t xml:space="preserve">the numbers fall to 8 and 3, and at</w:t>
      </w:r>
      <w:r>
        <w:t xml:space="preserve"> </w:t>
      </w:r>
      <w:r>
        <w:rPr>
          <w:bCs/>
          <w:b/>
        </w:rPr>
        <w:t xml:space="preserve">k = 10</w:t>
      </w:r>
      <w:r>
        <w:t xml:space="preserve"> </w:t>
      </w:r>
      <w:r>
        <w:t xml:space="preserve">only 7 and 3 sites remain. The smallest sites (Trou al’Wesse, Fumane, Pod Hradem, Grottes de Fonds-de-Forêt with one object; Les Cottés, Labeko Koba, Hohlenstein-Stadel with two) can never be downsampled and are excluded from every replicate. We therefore report results at k = 3, 5, and 10, treating k = 10 as the most stringent test (fewest sites, but each built from a substantial object sample) and k = 3 as the most inclusive.</w:t>
      </w:r>
    </w:p>
    <w:bookmarkEnd w:id="226"/>
    <w:bookmarkEnd w:id="227"/>
    <w:bookmarkStart w:id="236" w:name="sec-s12-2"/>
    <w:p>
      <w:pPr>
        <w:pStyle w:val="Heading2"/>
      </w:pPr>
      <w:r>
        <w:t xml:space="preserve">S1.12.3 Object-level downsampling sensitivity</w:t>
      </w:r>
    </w:p>
    <w:bookmarkStart w:id="234" w:name="rationale-19"/>
    <w:p>
      <w:pPr>
        <w:pStyle w:val="Heading3"/>
      </w:pPr>
      <w:r>
        <w:t xml:space="preserve">Rationale</w:t>
      </w:r>
    </w:p>
    <w:p>
      <w:pPr>
        <w:pStyle w:val="FirstParagraph"/>
      </w:pPr>
      <w:r>
        <w:t xml:space="preserve">For each phase and each common count k ∈ {3, 5, 10}, and for 500 replicates, we sample k objects</w:t>
      </w:r>
      <w:r>
        <w:t xml:space="preserve"> </w:t>
      </w:r>
      <w:r>
        <w:rPr>
          <w:bCs/>
          <w:b/>
        </w:rPr>
        <w:t xml:space="preserve">without replacement</w:t>
      </w:r>
      <w:r>
        <w:t xml:space="preserve"> </w:t>
      </w:r>
      <w:r>
        <w:t xml:space="preserve">from each qualifying site, aggregate them to a site × sign presence vector (a sign is present at a site if any of its k sampled objects carries it), and rebuild the Jaccard network at the main-text threshold of 0.2. We then re-derive the site partition with Louvain community detection and realign it to the manual R/B labels by assigning each Louvain community to the majority manual group among its members. This mirrors the data-driven re-derivation used in</w:t>
      </w:r>
      <w:r>
        <w:t xml:space="preserve"> </w:t>
      </w:r>
      <w:r>
        <w:t xml:space="preserve">Section S1.6.2</w:t>
      </w:r>
      <w:r>
        <w:t xml:space="preserve">, but operates on object-downsampled data rather than on the observed site totals. Two quantities are recorded per replicate: (i) for each site, whether its realigned partition matches its manual group (</w:t>
      </w:r>
      <w:r>
        <w:rPr>
          <w:bCs/>
          <w:b/>
        </w:rPr>
        <w:t xml:space="preserve">group retention</w:t>
      </w:r>
      <w:r>
        <w:t xml:space="preserve">), and (ii) the Adjusted Rand Index (ARI) between the realigned partition and the manual groups, plus the network modularity. Across replicates we summarise the per-site retention rate and the mean ARI / modularity.</w:t>
      </w:r>
    </w:p>
    <w:p>
      <w:pPr>
        <w:pStyle w:val="BodyText"/>
      </w:pPr>
      <w:r>
        <w:rPr>
          <w:bCs/>
          <w:b/>
        </w:rPr>
        <w:t xml:space="preserve">Question: does each site keep its group under object-level downsampling, and how stable is the community structure?</w:t>
      </w:r>
    </w:p>
    <w:tbl>
      <w:tblPr>
        <w:tblStyle w:val="Table"/>
        <w:tblW w:type="pct" w:w="5000"/>
        <w:tblLook w:firstRow="0" w:lastRow="0" w:firstColumn="0" w:lastColumn="0" w:noHBand="0" w:noVBand="0" w:val="0000"/>
        <w:jc w:val="start"/>
        <w:tblLayout w:type="fixed"/>
      </w:tblPr>
      <w:tblGrid>
        <w:gridCol w:w="7920"/>
      </w:tblGrid>
      <w:tr>
        <w:tc>
          <w:tcPr/>
          <w:bookmarkStart w:id="228" w:name="tbl-retention"/>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Site</w:t>
                  </w:r>
                </w:p>
              </w:tc>
              <w:tc>
                <w:tcPr/>
                <w:p>
                  <w:pPr>
                    <w:pStyle w:val="Compact"/>
                    <w:jc w:val="left"/>
                    <w:jc w:val="center"/>
                  </w:pPr>
                  <w:r>
                    <w:t xml:space="preserve">Phase</w:t>
                  </w:r>
                </w:p>
              </w:tc>
              <w:tc>
                <w:tcPr/>
                <w:p>
                  <w:pPr>
                    <w:pStyle w:val="Compact"/>
                    <w:jc w:val="right"/>
                    <w:jc w:val="center"/>
                  </w:pPr>
                  <w:r>
                    <w:t xml:space="preserve">Group</w:t>
                  </w:r>
                </w:p>
              </w:tc>
              <w:tc>
                <w:tcPr/>
                <w:p>
                  <w:pPr>
                    <w:pStyle w:val="Compact"/>
                    <w:jc w:val="right"/>
                    <w:jc w:val="center"/>
                  </w:pPr>
                  <w:r>
                    <w:t xml:space="preserve">Objects</w:t>
                  </w:r>
                </w:p>
              </w:tc>
              <w:tc>
                <w:tcPr/>
                <w:p>
                  <w:pPr>
                    <w:pStyle w:val="Compact"/>
                    <w:jc w:val="right"/>
                    <w:jc w:val="center"/>
                  </w:pPr>
                  <w:r>
                    <w:t xml:space="preserve">k=3</w:t>
                  </w:r>
                </w:p>
              </w:tc>
              <w:tc>
                <w:tcPr/>
                <w:p>
                  <w:pPr>
                    <w:pStyle w:val="Compact"/>
                    <w:jc w:val="right"/>
                    <w:jc w:val="center"/>
                  </w:pPr>
                  <w:r>
                    <w:t xml:space="preserve">k=5</w:t>
                  </w:r>
                </w:p>
              </w:tc>
              <w:tc>
                <w:tcPr/>
                <w:p>
                  <w:pPr>
                    <w:pStyle w:val="Compact"/>
                    <w:jc w:val="right"/>
                    <w:jc w:val="center"/>
                  </w:pPr>
                  <w:r>
                    <w:t xml:space="preserve">k=10</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0.15</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0.16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right"/>
                    <w:jc w:val="center"/>
                  </w:pPr>
                  <w:r>
                    <w:t xml:space="preserve">1</w:t>
                  </w:r>
                </w:p>
              </w:tc>
              <w:tc>
                <w:tcPr/>
                <w:p>
                  <w:pPr>
                    <w:pStyle w:val="Compact"/>
                    <w:jc w:val="right"/>
                    <w:jc w:val="center"/>
                  </w:pPr>
                  <w:r>
                    <w:t xml:space="preserve">3</w:t>
                  </w:r>
                </w:p>
              </w:tc>
              <w:tc>
                <w:tcPr/>
                <w:p>
                  <w:pPr>
                    <w:pStyle w:val="Compact"/>
                    <w:jc w:val="right"/>
                    <w:jc w:val="center"/>
                  </w:pPr>
                  <w:r>
                    <w:t xml:space="preserve">0.72</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173</w:t>
                  </w:r>
                </w:p>
              </w:tc>
              <w:tc>
                <w:tcPr/>
                <w:p>
                  <w:pPr>
                    <w:pStyle w:val="Compact"/>
                    <w:jc w:val="right"/>
                    <w:jc w:val="center"/>
                  </w:pPr>
                  <w:r>
                    <w:t xml:space="preserve">0.73</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30</w:t>
                  </w:r>
                </w:p>
              </w:tc>
              <w:tc>
                <w:tcPr/>
                <w:p>
                  <w:pPr>
                    <w:pStyle w:val="Compact"/>
                    <w:jc w:val="right"/>
                    <w:jc w:val="center"/>
                  </w:pPr>
                  <w:r>
                    <w:t xml:space="preserve">0.71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28</w:t>
                  </w:r>
                </w:p>
              </w:tc>
              <w:tc>
                <w:tcPr/>
                <w:p>
                  <w:pPr>
                    <w:pStyle w:val="Compact"/>
                    <w:jc w:val="right"/>
                    <w:jc w:val="center"/>
                  </w:pPr>
                  <w:r>
                    <w:t xml:space="preserve">0.81</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22</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21</w:t>
                  </w:r>
                </w:p>
              </w:tc>
              <w:tc>
                <w:tcPr/>
                <w:p>
                  <w:pPr>
                    <w:pStyle w:val="Compact"/>
                    <w:jc w:val="right"/>
                    <w:jc w:val="center"/>
                  </w:pPr>
                  <w:r>
                    <w:t xml:space="preserve">0.92</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Hohle Fels</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20</w:t>
                  </w:r>
                </w:p>
              </w:tc>
              <w:tc>
                <w:tcPr/>
                <w:p>
                  <w:pPr>
                    <w:pStyle w:val="Compact"/>
                    <w:jc w:val="right"/>
                    <w:jc w:val="center"/>
                  </w:pPr>
                  <w:r>
                    <w:t xml:space="preserve">0.97</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0.89</w:t>
                  </w:r>
                </w:p>
              </w:tc>
              <w:tc>
                <w:tcPr/>
                <w:p>
                  <w:pPr>
                    <w:pStyle w:val="Compact"/>
                    <w:jc w:val="right"/>
                    <w:jc w:val="center"/>
                  </w:pPr>
                  <w:r>
                    <w:t xml:space="preserve">1.00</w:t>
                  </w:r>
                </w:p>
              </w:tc>
              <w:tc>
                <w:tcPr/>
                <w:p>
                  <w:pPr>
                    <w:pStyle w:val="Compact"/>
                    <w:jc w:val="right"/>
                    <w:jc w:val="center"/>
                  </w:pPr>
                  <w:r>
                    <w:t xml:space="preserve">1.00</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7</w:t>
                  </w:r>
                </w:p>
              </w:tc>
              <w:tc>
                <w:tcPr/>
                <w:p>
                  <w:pPr>
                    <w:pStyle w:val="Compact"/>
                    <w:jc w:val="right"/>
                    <w:jc w:val="center"/>
                  </w:pPr>
                  <w:r>
                    <w:t xml:space="preserve">0.94</w:t>
                  </w:r>
                </w:p>
              </w:tc>
              <w:tc>
                <w:tcPr/>
                <w:p>
                  <w:pPr>
                    <w:pStyle w:val="Compact"/>
                    <w:jc w:val="right"/>
                    <w:jc w:val="center"/>
                  </w:pPr>
                  <w:r>
                    <w:t xml:space="preserve">1.00</w:t>
                  </w:r>
                </w:p>
              </w:tc>
              <w:tc>
                <w:tcPr/>
                <w:p>
                  <w:pPr>
                    <w:pStyle w:val="Compact"/>
                    <w:jc w:val="right"/>
                    <w:jc w:val="center"/>
                  </w:pPr>
                  <w:r>
                    <w:t xml:space="preserve">NA</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0.87</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11</w:t>
                  </w:r>
                </w:p>
              </w:tc>
              <w:tc>
                <w:tcPr/>
                <w:p>
                  <w:pPr>
                    <w:pStyle w:val="Compact"/>
                    <w:jc w:val="right"/>
                    <w:jc w:val="center"/>
                  </w:pPr>
                  <w:r>
                    <w:t xml:space="preserve">0.47</w:t>
                  </w:r>
                </w:p>
              </w:tc>
              <w:tc>
                <w:tcPr/>
                <w:p>
                  <w:pPr>
                    <w:pStyle w:val="Compact"/>
                    <w:jc w:val="right"/>
                    <w:jc w:val="center"/>
                  </w:pPr>
                  <w:r>
                    <w:t xml:space="preserve">0.15</w:t>
                  </w:r>
                </w:p>
              </w:tc>
              <w:tc>
                <w:tcPr/>
                <w:p>
                  <w:pPr>
                    <w:pStyle w:val="Compact"/>
                    <w:jc w:val="right"/>
                    <w:jc w:val="center"/>
                  </w:pPr>
                  <w:r>
                    <w:t xml:space="preserve">0.03</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right"/>
                    <w:jc w:val="center"/>
                  </w:pPr>
                  <w:r>
                    <w:t xml:space="preserve">1</w:t>
                  </w:r>
                </w:p>
              </w:tc>
              <w:tc>
                <w:tcPr/>
                <w:p>
                  <w:pPr>
                    <w:pStyle w:val="Compact"/>
                    <w:jc w:val="right"/>
                    <w:jc w:val="center"/>
                  </w:pPr>
                  <w:r>
                    <w:t xml:space="preserve">4</w:t>
                  </w:r>
                </w:p>
              </w:tc>
              <w:tc>
                <w:tcPr/>
                <w:p>
                  <w:pPr>
                    <w:pStyle w:val="Compact"/>
                    <w:jc w:val="right"/>
                    <w:jc w:val="center"/>
                  </w:pPr>
                  <w:r>
                    <w:t xml:space="preserve">0.46</w:t>
                  </w:r>
                </w:p>
              </w:tc>
              <w:tc>
                <w:tcPr/>
                <w:p>
                  <w:pPr>
                    <w:pStyle w:val="Compact"/>
                    <w:jc w:val="right"/>
                    <w:jc w:val="center"/>
                  </w:pPr>
                  <w:r>
                    <w:t xml:space="preserve">NA</w:t>
                  </w:r>
                </w:p>
              </w:tc>
              <w:tc>
                <w:tcPr/>
                <w:p>
                  <w:pPr>
                    <w:pStyle w:val="Compact"/>
                    <w:jc w:val="right"/>
                    <w:jc w:val="center"/>
                  </w:pPr>
                  <w:r>
                    <w:t xml:space="preserve">NA</w:t>
                  </w:r>
                </w:p>
              </w:tc>
            </w:tr>
            <w:tr>
              <w:tc>
                <w:tcPr/>
                <w:p>
                  <w:pPr>
                    <w:pStyle w:val="Compact"/>
                    <w:jc w:val="left"/>
                    <w:jc w:val="center"/>
                  </w:pPr>
                  <w:r>
                    <w:t xml:space="preserve">Hohle Fels</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29</w:t>
                  </w:r>
                </w:p>
              </w:tc>
              <w:tc>
                <w:tcPr/>
                <w:p>
                  <w:pPr>
                    <w:pStyle w:val="Compact"/>
                    <w:jc w:val="right"/>
                    <w:jc w:val="center"/>
                  </w:pPr>
                  <w:r>
                    <w:t xml:space="preserve">0.92</w:t>
                  </w:r>
                </w:p>
              </w:tc>
              <w:tc>
                <w:tcPr/>
                <w:p>
                  <w:pPr>
                    <w:pStyle w:val="Compact"/>
                    <w:jc w:val="right"/>
                    <w:jc w:val="center"/>
                  </w:pPr>
                  <w:r>
                    <w:t xml:space="preserve">0.99</w:t>
                  </w:r>
                </w:p>
              </w:tc>
              <w:tc>
                <w:tcPr/>
                <w:p>
                  <w:pPr>
                    <w:pStyle w:val="Compact"/>
                    <w:jc w:val="right"/>
                    <w:jc w:val="center"/>
                  </w:pPr>
                  <w:r>
                    <w:t xml:space="preserve">1.00</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12</w:t>
                  </w:r>
                </w:p>
              </w:tc>
              <w:tc>
                <w:tcPr/>
                <w:p>
                  <w:pPr>
                    <w:pStyle w:val="Compact"/>
                    <w:jc w:val="right"/>
                    <w:jc w:val="center"/>
                  </w:pPr>
                  <w:r>
                    <w:t xml:space="preserve">0.70</w:t>
                  </w:r>
                </w:p>
              </w:tc>
              <w:tc>
                <w:tcPr/>
                <w:p>
                  <w:pPr>
                    <w:pStyle w:val="Compact"/>
                    <w:jc w:val="right"/>
                    <w:jc w:val="center"/>
                  </w:pPr>
                  <w:r>
                    <w:t xml:space="preserve">0.88</w:t>
                  </w:r>
                </w:p>
              </w:tc>
              <w:tc>
                <w:tcPr/>
                <w:p>
                  <w:pPr>
                    <w:pStyle w:val="Compact"/>
                    <w:jc w:val="right"/>
                    <w:jc w:val="center"/>
                  </w:pPr>
                  <w:r>
                    <w:t xml:space="preserve">0.97</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0.76</w:t>
                  </w:r>
                </w:p>
              </w:tc>
              <w:tc>
                <w:tcPr/>
                <w:p>
                  <w:pPr>
                    <w:pStyle w:val="Compact"/>
                    <w:jc w:val="right"/>
                    <w:jc w:val="center"/>
                  </w:pPr>
                  <w:r>
                    <w:t xml:space="preserve">NA</w:t>
                  </w:r>
                </w:p>
              </w:tc>
              <w:tc>
                <w:tcPr/>
                <w:p>
                  <w:pPr>
                    <w:pStyle w:val="Compact"/>
                    <w:jc w:val="right"/>
                    <w:jc w:val="center"/>
                  </w:pPr>
                  <w:r>
                    <w:t xml:space="preserve">NA</w:t>
                  </w:r>
                </w:p>
              </w:tc>
            </w:tr>
          </w:tbl>
          <w:p>
            <w:pPr>
              <w:jc w:val="center"/>
            </w:pPr>
            <w:pPr>
              <w:jc w:val="start"/>
              <w:spacing w:before="200"/>
              <w:pStyle w:val="ImageCaption"/>
            </w:pPr>
            <w:r>
              <w:t xml:space="preserve">Table S 41: Per-site group-retention rate under object-level downsampling to k = 3, 5, 10 objects per site (500 replicates each). Retention is the fraction of replicates in which the site’s realigned Louvain partition matches its manual restricted/broad assignment. Sites with fewer than k objects are excluded at that level.</w:t>
            </w:r>
          </w:p>
          <w:bookmarkEnd w:id="22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29" w:name="tbl-stabil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right"/>
                    <w:jc w:val="center"/>
                  </w:pPr>
                  <w:r>
                    <w:t xml:space="preserve">k</w:t>
                  </w:r>
                </w:p>
              </w:tc>
              <w:tc>
                <w:tcPr/>
                <w:p>
                  <w:pPr>
                    <w:pStyle w:val="Compact"/>
                    <w:jc w:val="right"/>
                    <w:jc w:val="center"/>
                  </w:pPr>
                  <w:r>
                    <w:t xml:space="preserve">Sites</w:t>
                  </w:r>
                </w:p>
              </w:tc>
              <w:tc>
                <w:tcPr/>
                <w:p>
                  <w:pPr>
                    <w:pStyle w:val="Compact"/>
                    <w:jc w:val="right"/>
                    <w:jc w:val="center"/>
                  </w:pPr>
                  <w:r>
                    <w:t xml:space="preserve">Mean ARI</w:t>
                  </w:r>
                </w:p>
              </w:tc>
              <w:tc>
                <w:tcPr/>
                <w:p>
                  <w:pPr>
                    <w:pStyle w:val="Compact"/>
                    <w:jc w:val="right"/>
                    <w:jc w:val="center"/>
                  </w:pPr>
                  <w:r>
                    <w:t xml:space="preserve">Mean modularity</w:t>
                  </w:r>
                </w:p>
              </w:tc>
              <w:tc>
                <w:tcPr/>
                <w:p>
                  <w:pPr>
                    <w:pStyle w:val="Compact"/>
                    <w:jc w:val="right"/>
                    <w:jc w:val="center"/>
                  </w:pPr>
                  <w:r>
                    <w:t xml:space="preserve">Mean # communities</w:t>
                  </w:r>
                </w:p>
              </w:tc>
            </w:tr>
            <w:tr>
              <w:tc>
                <w:tcPr/>
                <w:p>
                  <w:pPr>
                    <w:pStyle w:val="Compact"/>
                    <w:jc w:val="left"/>
                    <w:jc w:val="center"/>
                  </w:pPr>
                  <w:r>
                    <w:t xml:space="preserve">Aur-P1</w:t>
                  </w:r>
                </w:p>
              </w:tc>
              <w:tc>
                <w:tcPr/>
                <w:p>
                  <w:pPr>
                    <w:pStyle w:val="Compact"/>
                    <w:jc w:val="right"/>
                    <w:jc w:val="center"/>
                  </w:pPr>
                  <w:r>
                    <w:t xml:space="preserve">3</w:t>
                  </w:r>
                </w:p>
              </w:tc>
              <w:tc>
                <w:tcPr/>
                <w:p>
                  <w:pPr>
                    <w:pStyle w:val="Compact"/>
                    <w:jc w:val="right"/>
                    <w:jc w:val="center"/>
                  </w:pPr>
                  <w:r>
                    <w:t xml:space="preserve">13</w:t>
                  </w:r>
                </w:p>
              </w:tc>
              <w:tc>
                <w:tcPr/>
                <w:p>
                  <w:pPr>
                    <w:pStyle w:val="Compact"/>
                    <w:jc w:val="right"/>
                    <w:jc w:val="center"/>
                  </w:pPr>
                  <w:r>
                    <w:t xml:space="preserve">0.186</w:t>
                  </w:r>
                </w:p>
              </w:tc>
              <w:tc>
                <w:tcPr/>
                <w:p>
                  <w:pPr>
                    <w:pStyle w:val="Compact"/>
                    <w:jc w:val="right"/>
                    <w:jc w:val="center"/>
                  </w:pPr>
                  <w:r>
                    <w:t xml:space="preserve">0.145</w:t>
                  </w:r>
                </w:p>
              </w:tc>
              <w:tc>
                <w:tcPr/>
                <w:p>
                  <w:pPr>
                    <w:pStyle w:val="Compact"/>
                    <w:jc w:val="right"/>
                    <w:jc w:val="center"/>
                  </w:pPr>
                  <w:r>
                    <w:t xml:space="preserve">2.690</w:t>
                  </w:r>
                </w:p>
              </w:tc>
            </w:tr>
            <w:tr>
              <w:tc>
                <w:tcPr/>
                <w:p>
                  <w:pPr>
                    <w:pStyle w:val="Compact"/>
                    <w:jc w:val="left"/>
                    <w:jc w:val="center"/>
                  </w:pPr>
                  <w:r>
                    <w:t xml:space="preserve">Aur-P2</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0.118</w:t>
                  </w:r>
                </w:p>
              </w:tc>
              <w:tc>
                <w:tcPr/>
                <w:p>
                  <w:pPr>
                    <w:pStyle w:val="Compact"/>
                    <w:jc w:val="right"/>
                    <w:jc w:val="center"/>
                  </w:pPr>
                  <w:r>
                    <w:t xml:space="preserve">0.009</w:t>
                  </w:r>
                </w:p>
              </w:tc>
              <w:tc>
                <w:tcPr/>
                <w:p>
                  <w:pPr>
                    <w:pStyle w:val="Compact"/>
                    <w:jc w:val="right"/>
                    <w:jc w:val="center"/>
                  </w:pPr>
                  <w:r>
                    <w:t xml:space="preserve">1.486</w:t>
                  </w:r>
                </w:p>
              </w:tc>
            </w:tr>
            <w:tr>
              <w:tc>
                <w:tcPr/>
                <w:p>
                  <w:pPr>
                    <w:pStyle w:val="Compact"/>
                    <w:jc w:val="left"/>
                    <w:jc w:val="center"/>
                  </w:pPr>
                  <w:r>
                    <w:t xml:space="preserve">Aur-P1</w:t>
                  </w:r>
                </w:p>
              </w:tc>
              <w:tc>
                <w:tcPr/>
                <w:p>
                  <w:pPr>
                    <w:pStyle w:val="Compact"/>
                    <w:jc w:val="right"/>
                    <w:jc w:val="center"/>
                  </w:pPr>
                  <w:r>
                    <w:t xml:space="preserve">5</w:t>
                  </w:r>
                </w:p>
              </w:tc>
              <w:tc>
                <w:tcPr/>
                <w:p>
                  <w:pPr>
                    <w:pStyle w:val="Compact"/>
                    <w:jc w:val="right"/>
                    <w:jc w:val="center"/>
                  </w:pPr>
                  <w:r>
                    <w:t xml:space="preserve">8</w:t>
                  </w:r>
                </w:p>
              </w:tc>
              <w:tc>
                <w:tcPr/>
                <w:p>
                  <w:pPr>
                    <w:pStyle w:val="Compact"/>
                    <w:jc w:val="right"/>
                    <w:jc w:val="center"/>
                  </w:pPr>
                  <w:r>
                    <w:t xml:space="preserve">NA</w:t>
                  </w:r>
                </w:p>
              </w:tc>
              <w:tc>
                <w:tcPr/>
                <w:p>
                  <w:pPr>
                    <w:pStyle w:val="Compact"/>
                    <w:jc w:val="right"/>
                    <w:jc w:val="center"/>
                  </w:pPr>
                  <w:r>
                    <w:t xml:space="preserve">0.115</w:t>
                  </w:r>
                </w:p>
              </w:tc>
              <w:tc>
                <w:tcPr/>
                <w:p>
                  <w:pPr>
                    <w:pStyle w:val="Compact"/>
                    <w:jc w:val="right"/>
                    <w:jc w:val="center"/>
                  </w:pPr>
                  <w:r>
                    <w:t xml:space="preserve">2.198</w:t>
                  </w:r>
                </w:p>
              </w:tc>
            </w:tr>
            <w:tr>
              <w:tc>
                <w:tcPr/>
                <w:p>
                  <w:pPr>
                    <w:pStyle w:val="Compact"/>
                    <w:jc w:val="left"/>
                    <w:jc w:val="center"/>
                  </w:pPr>
                  <w:r>
                    <w:t xml:space="preserve">Aur-P2</w:t>
                  </w:r>
                </w:p>
              </w:tc>
              <w:tc>
                <w:tcPr/>
                <w:p>
                  <w:pPr>
                    <w:pStyle w:val="Compact"/>
                    <w:jc w:val="right"/>
                    <w:jc w:val="center"/>
                  </w:pPr>
                  <w:r>
                    <w:t xml:space="preserve">5</w:t>
                  </w:r>
                </w:p>
              </w:tc>
              <w:tc>
                <w:tcPr/>
                <w:p>
                  <w:pPr>
                    <w:pStyle w:val="Compact"/>
                    <w:jc w:val="right"/>
                    <w:jc w:val="center"/>
                  </w:pPr>
                  <w:r>
                    <w:t xml:space="preserve">3</w:t>
                  </w:r>
                </w:p>
              </w:tc>
              <w:tc>
                <w:tcPr/>
                <w:p>
                  <w:pPr>
                    <w:pStyle w:val="Compact"/>
                    <w:jc w:val="right"/>
                    <w:jc w:val="center"/>
                  </w:pPr>
                  <w:r>
                    <w:t xml:space="preserve">-0.266</w:t>
                  </w:r>
                </w:p>
              </w:tc>
              <w:tc>
                <w:tcPr/>
                <w:p>
                  <w:pPr>
                    <w:pStyle w:val="Compact"/>
                    <w:jc w:val="right"/>
                    <w:jc w:val="center"/>
                  </w:pPr>
                  <w:r>
                    <w:t xml:space="preserve">0.000</w:t>
                  </w:r>
                </w:p>
              </w:tc>
              <w:tc>
                <w:tcPr/>
                <w:p>
                  <w:pPr>
                    <w:pStyle w:val="Compact"/>
                    <w:jc w:val="right"/>
                    <w:jc w:val="center"/>
                  </w:pPr>
                  <w:r>
                    <w:t xml:space="preserve">1.160</w:t>
                  </w:r>
                </w:p>
              </w:tc>
            </w:tr>
            <w:tr>
              <w:tc>
                <w:tcPr/>
                <w:p>
                  <w:pPr>
                    <w:pStyle w:val="Compact"/>
                    <w:jc w:val="left"/>
                    <w:jc w:val="center"/>
                  </w:pPr>
                  <w:r>
                    <w:t xml:space="preserve">Aur-P1</w:t>
                  </w:r>
                </w:p>
              </w:tc>
              <w:tc>
                <w:tcPr/>
                <w:p>
                  <w:pPr>
                    <w:pStyle w:val="Compact"/>
                    <w:jc w:val="right"/>
                    <w:jc w:val="center"/>
                  </w:pPr>
                  <w:r>
                    <w:t xml:space="preserve">10</w:t>
                  </w:r>
                </w:p>
              </w:tc>
              <w:tc>
                <w:tcPr/>
                <w:p>
                  <w:pPr>
                    <w:pStyle w:val="Compact"/>
                    <w:jc w:val="right"/>
                    <w:jc w:val="center"/>
                  </w:pPr>
                  <w:r>
                    <w:t xml:space="preserve">7</w:t>
                  </w:r>
                </w:p>
              </w:tc>
              <w:tc>
                <w:tcPr/>
                <w:p>
                  <w:pPr>
                    <w:pStyle w:val="Compact"/>
                    <w:jc w:val="right"/>
                    <w:jc w:val="center"/>
                  </w:pPr>
                  <w:r>
                    <w:t xml:space="preserve">NA</w:t>
                  </w:r>
                </w:p>
              </w:tc>
              <w:tc>
                <w:tcPr/>
                <w:p>
                  <w:pPr>
                    <w:pStyle w:val="Compact"/>
                    <w:jc w:val="right"/>
                    <w:jc w:val="center"/>
                  </w:pPr>
                  <w:r>
                    <w:t xml:space="preserve">0.086</w:t>
                  </w:r>
                </w:p>
              </w:tc>
              <w:tc>
                <w:tcPr/>
                <w:p>
                  <w:pPr>
                    <w:pStyle w:val="Compact"/>
                    <w:jc w:val="right"/>
                    <w:jc w:val="center"/>
                  </w:pPr>
                  <w:r>
                    <w:t xml:space="preserve">1.990</w:t>
                  </w:r>
                </w:p>
              </w:tc>
            </w:tr>
            <w:tr>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3</w:t>
                  </w:r>
                </w:p>
              </w:tc>
              <w:tc>
                <w:tcPr/>
                <w:p>
                  <w:pPr>
                    <w:pStyle w:val="Compact"/>
                    <w:jc w:val="right"/>
                    <w:jc w:val="center"/>
                  </w:pPr>
                  <w:r>
                    <w:t xml:space="preserve">-0.500</w:t>
                  </w:r>
                </w:p>
              </w:tc>
              <w:tc>
                <w:tcPr/>
                <w:p>
                  <w:pPr>
                    <w:pStyle w:val="Compact"/>
                    <w:jc w:val="right"/>
                    <w:jc w:val="center"/>
                  </w:pPr>
                  <w:r>
                    <w:t xml:space="preserve">0.000</w:t>
                  </w:r>
                </w:p>
              </w:tc>
              <w:tc>
                <w:tcPr/>
                <w:p>
                  <w:pPr>
                    <w:pStyle w:val="Compact"/>
                    <w:jc w:val="right"/>
                    <w:jc w:val="center"/>
                  </w:pPr>
                  <w:r>
                    <w:t xml:space="preserve">1.032</w:t>
                  </w:r>
                </w:p>
              </w:tc>
            </w:tr>
          </w:tbl>
          <w:p>
            <w:pPr>
              <w:jc w:val="center"/>
            </w:pPr>
            <w:pPr>
              <w:jc w:val="start"/>
              <w:spacing w:before="200"/>
              <w:pStyle w:val="ImageCaption"/>
            </w:pPr>
            <w:r>
              <w:t xml:space="preserve">Table S 42: Community-structure stability under object-level downsampling. For each phase and common count k: number of sites qualifying, mean Adjusted Rand Index (ARI) between the downsampled Louvain partition and the manual groups, mean network modularity, and mean number of Louvain communities detected.</w:t>
            </w:r>
          </w:p>
          <w:bookmarkEnd w:id="229"/>
        </w:tc>
      </w:tr>
    </w:tbl>
    <w:tbl>
      <w:tblPr>
        <w:tblStyle w:val="Table"/>
        <w:tblW w:type="pct" w:w="5000"/>
        <w:tblLook w:firstRow="0" w:lastRow="0" w:firstColumn="0" w:lastColumn="0" w:noHBand="0" w:noVBand="0" w:val="0000"/>
        <w:jc w:val="start"/>
        <w:tblLayout w:type="fixed"/>
      </w:tblPr>
      <w:tblGrid>
        <w:gridCol w:w="7920"/>
      </w:tblGrid>
      <w:tr>
        <w:tc>
          <w:tcPr/>
          <w:bookmarkStart w:id="233" w:name="fig-retention"/>
          <w:p>
            <w:pPr>
              <w:pStyle w:val="Compact"/>
              <w:jc w:val="center"/>
            </w:pPr>
            <w:r>
              <w:drawing>
                <wp:inline>
                  <wp:extent cx="5943600" cy="5943600"/>
                  <wp:effectExtent b="0" l="0" r="0" t="0"/>
                  <wp:docPr descr="" title="" id="231" name="Picture"/>
                  <a:graphic>
                    <a:graphicData uri="http://schemas.openxmlformats.org/drawingml/2006/picture">
                      <pic:pic>
                        <pic:nvPicPr>
                          <pic:cNvPr descr="S1-supplement-sensitivity_files/figure-docx/fig-retention-1.png" id="232" name="Picture"/>
                          <pic:cNvPicPr>
                            <a:picLocks noChangeArrowheads="1" noChangeAspect="1"/>
                          </pic:cNvPicPr>
                        </pic:nvPicPr>
                        <pic:blipFill>
                          <a:blip r:embed="rId230"/>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13: Group-retention rate by site under object-level downsampling to k = 3, 5, 10 objects per site. Bars near 1 (red) indicate assignments that survive downsampling; bars near 0.5 (blue) indicate assignments that are essentially random with respect to the manual grouping and therefore unstable.</w:t>
            </w:r>
          </w:p>
          <w:bookmarkEnd w:id="233"/>
        </w:tc>
      </w:tr>
    </w:tbl>
    <w:bookmarkEnd w:id="234"/>
    <w:bookmarkStart w:id="235" w:name="interpretation-18"/>
    <w:p>
      <w:pPr>
        <w:pStyle w:val="Heading3"/>
      </w:pPr>
      <w:r>
        <w:t xml:space="preserve">Interpretation</w:t>
      </w:r>
    </w:p>
    <w:p>
      <w:pPr>
        <w:pStyle w:val="FirstParagraph"/>
      </w:pPr>
      <w:r>
        <w:rPr>
          <w:bCs/>
          <w:b/>
        </w:rPr>
        <w:t xml:space="preserve">Question: does each site keep its group under object-level downsampling, and how stable is the community structure?</w:t>
      </w:r>
      <w:r>
        <w:t xml:space="preserve"> </w:t>
      </w:r>
      <w:r>
        <w:t xml:space="preserve">No. The assignment is stable only for the better-sampled sites. In Aur-P1 at k = 3, large broad-range sites such as Vogelherd (0.73), Hohle Fels (0.97), and La Ferrassie (0.92) retain their group in the large majority of replicates, whereas small restricted-range sites collapse: Gatzarria (0.16) and Grotte de la Verpillière I (0.15) keep their group little more often than chance. The mean ARI between the downsampled partition and the manual groups is low at every level (0.19 at k = 3, NA at k = 5, NA at k = 10 for Aur-P1), and modularity falls to near zero (e.g. 0.15 at k = 3), reflecting the fragmentation of the network when each site is represented by only a handful of objects.</w:t>
      </w:r>
    </w:p>
    <w:p>
      <w:pPr>
        <w:pStyle w:val="BodyText"/>
      </w:pPr>
      <w:r>
        <w:t xml:space="preserve">The same pattern holds in Aur-P2, where even fewer sites qualify at higher k and retention is correspondingly noisier.</w:t>
      </w:r>
      <w:r>
        <w:t xml:space="preserve"> </w:t>
      </w:r>
      <w:r>
        <w:rPr>
          <w:bCs/>
          <w:b/>
        </w:rPr>
        <w:t xml:space="preserve">Answer:</w:t>
      </w:r>
      <w:r>
        <w:t xml:space="preserve"> </w:t>
      </w:r>
      <w:r>
        <w:t xml:space="preserve">the R/B assignment of small-object sites is not robust to object-level downsampling; only the best-sampled sites retain their grouping, and the community structure as a whole loses coherence under downsampling. This shows that the division is, at least in part, a sampling-intensity effect rather than a fully stable cultural partition.</w:t>
      </w:r>
    </w:p>
    <w:bookmarkEnd w:id="235"/>
    <w:bookmarkEnd w:id="236"/>
    <w:bookmarkStart w:id="244" w:name="sec-s12-3"/>
    <w:p>
      <w:pPr>
        <w:pStyle w:val="Heading2"/>
      </w:pPr>
      <w:r>
        <w:t xml:space="preserve">S1.12.4 Coverage-based rarefaction</w:t>
      </w:r>
    </w:p>
    <w:bookmarkStart w:id="242" w:name="rationale-20"/>
    <w:p>
      <w:pPr>
        <w:pStyle w:val="Heading3"/>
      </w:pPr>
      <w:r>
        <w:t xml:space="preserve">Rationale</w:t>
      </w:r>
    </w:p>
    <w:p>
      <w:pPr>
        <w:pStyle w:val="FirstParagraph"/>
      </w:pPr>
      <w:r>
        <w:t xml:space="preserve">Equal object counts do not equalise</w:t>
      </w:r>
      <w:r>
        <w:t xml:space="preserve"> </w:t>
      </w:r>
      <w:r>
        <w:rPr>
          <w:iCs/>
          <w:i/>
        </w:rPr>
        <w:t xml:space="preserve">sampling effort</w:t>
      </w:r>
      <w:r>
        <w:t xml:space="preserve"> </w:t>
      </w:r>
      <w:r>
        <w:t xml:space="preserve">when sites differ in how concentrated their signs are. Our method is</w:t>
      </w:r>
      <w:r>
        <w:t xml:space="preserve"> </w:t>
      </w:r>
      <w:r>
        <w:rPr>
          <w:bCs/>
          <w:b/>
        </w:rPr>
        <w:t xml:space="preserve">coverage-based rarefaction</w:t>
      </w:r>
      <w:r>
        <w:t xml:space="preserve">: compare richness at equal</w:t>
      </w:r>
      <w:r>
        <w:t xml:space="preserve"> </w:t>
      </w:r>
      <w:r>
        <w:rPr>
          <w:iCs/>
          <w:i/>
        </w:rPr>
        <w:t xml:space="preserve">sample coverage</w:t>
      </w:r>
      <w:r>
        <w:t xml:space="preserve"> </w:t>
      </w:r>
      <w:r>
        <w:t xml:space="preserve">rather than equal object count</w:t>
      </w:r>
      <w:r>
        <w:t xml:space="preserve"> </w:t>
      </w:r>
      <w:r>
        <w:t xml:space="preserve">[24,25]</w:t>
      </w:r>
      <w:r>
        <w:t xml:space="preserve">. For each site we estimate its sign-type richness at a target coverage of 0.9 (a standard</w:t>
      </w:r>
      <w:r>
        <w:t xml:space="preserve"> </w:t>
      </w:r>
      <w:r>
        <w:t xml:space="preserve">“</w:t>
      </w:r>
      <w:r>
        <w:t xml:space="preserve">high coverage</w:t>
      </w:r>
      <w:r>
        <w:t xml:space="preserve">”</w:t>
      </w:r>
      <w:r>
        <w:t xml:space="preserve"> </w:t>
      </w:r>
      <w:r>
        <w:t xml:space="preserve">benchmark) with</w:t>
      </w:r>
      <w:r>
        <w:t xml:space="preserve"> </w:t>
      </w:r>
      <w:r>
        <w:rPr>
          <w:rStyle w:val="VerbatimChar"/>
        </w:rPr>
        <w:t xml:space="preserve">iNEXT::estimateD</w:t>
      </w:r>
      <w:r>
        <w:t xml:space="preserve"> </w:t>
      </w:r>
      <w:r>
        <w:t xml:space="preserve">on the site’s object-by-sign incidence matrix (</w:t>
      </w:r>
      <w:r>
        <w:rPr>
          <w:rStyle w:val="VerbatimChar"/>
        </w:rPr>
        <w:t xml:space="preserve">datatype = "incidence_raw"</w:t>
      </w:r>
      <w:r>
        <w:t xml:space="preserve">), which returns 95% confidence intervals from 200 bootstrap replicates</w:t>
      </w:r>
      <w:r>
        <w:t xml:space="preserve"> </w:t>
      </w:r>
      <w:r>
        <w:t xml:space="preserve">[26]</w:t>
      </w:r>
      <w:r>
        <w:t xml:space="preserve">. Sites with fewer than three objects, failed fits, or targets reachable only by extrapolating beyond twice the observed sample cannot be placed on a common coverage footing; for these we report Chao and Jost’s analytic incidence-coverage estimator with object-resampling bootstrap intervals and a Chao2 asymptotic-richness estimate as a fallback quantity, with the reason recorded per site. We then compare restricted and broad sites at that equal coverage.</w:t>
      </w:r>
    </w:p>
    <w:p>
      <w:pPr>
        <w:pStyle w:val="BodyText"/>
      </w:pPr>
      <w:r>
        <w:rPr>
          <w:bCs/>
          <w:b/>
        </w:rPr>
        <w:t xml:space="preserve">Question: at equal sample coverage, do restricted and broad sites still differ in sign-type richness?</w:t>
      </w:r>
    </w:p>
    <w:tbl>
      <w:tblPr>
        <w:tblStyle w:val="Table"/>
        <w:tblW w:type="pct" w:w="5000"/>
        <w:tblLook w:firstRow="0" w:lastRow="0" w:firstColumn="0" w:lastColumn="0" w:noHBand="0" w:noVBand="0" w:val="0000"/>
        <w:jc w:val="start"/>
        <w:tblLayout w:type="fixed"/>
      </w:tblPr>
      <w:tblGrid>
        <w:gridCol w:w="7920"/>
      </w:tblGrid>
      <w:tr>
        <w:tc>
          <w:tcPr/>
          <w:bookmarkStart w:id="237" w:name="tbl-rarefaction"/>
          <w:tbl>
            <w:tblPr>
              <w:tblStyle w:val="Table"/>
              <w:tblW w:type="pct" w:w="5000"/>
              <w:tblLook w:firstRow="1" w:lastRow="0" w:firstColumn="0" w:lastColumn="0" w:noHBand="0" w:noVBand="0" w:val="0020"/>
              <w:jc w:val="start"/>
              <w:tblLayout w:type="fixed"/>
            </w:tblPr>
            <w:tblGrid>
              <w:gridCol w:w="285"/>
              <w:gridCol w:w="1102"/>
              <w:gridCol w:w="449"/>
              <w:gridCol w:w="326"/>
              <w:gridCol w:w="653"/>
              <w:gridCol w:w="653"/>
              <w:gridCol w:w="326"/>
              <w:gridCol w:w="326"/>
              <w:gridCol w:w="857"/>
              <w:gridCol w:w="285"/>
              <w:gridCol w:w="285"/>
              <w:gridCol w:w="244"/>
              <w:gridCol w:w="2122"/>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left"/>
                    <w:jc w:val="center"/>
                  </w:pPr>
                  <w:r>
                    <w:t xml:space="preserve">Group</w:t>
                  </w:r>
                </w:p>
              </w:tc>
              <w:tc>
                <w:tcPr/>
                <w:p>
                  <w:pPr>
                    <w:pStyle w:val="Compact"/>
                    <w:jc w:val="right"/>
                    <w:jc w:val="center"/>
                  </w:pPr>
                  <w:r>
                    <w:t xml:space="preserve">Objects</w:t>
                  </w:r>
                </w:p>
              </w:tc>
              <w:tc>
                <w:tcPr/>
                <w:p>
                  <w:pPr>
                    <w:pStyle w:val="Compact"/>
                    <w:jc w:val="right"/>
                    <w:jc w:val="center"/>
                  </w:pPr>
                  <w:r>
                    <w:t xml:space="preserve">Richness (full)</w:t>
                  </w:r>
                </w:p>
              </w:tc>
              <w:tc>
                <w:tcPr/>
                <w:p>
                  <w:pPr>
                    <w:pStyle w:val="Compact"/>
                    <w:jc w:val="right"/>
                    <w:jc w:val="center"/>
                  </w:pPr>
                  <w:r>
                    <w:t xml:space="preserve">Coverage (Chao)</w:t>
                  </w:r>
                </w:p>
              </w:tc>
              <w:tc>
                <w:tcPr/>
                <w:p>
                  <w:pPr>
                    <w:pStyle w:val="Compact"/>
                    <w:jc w:val="right"/>
                    <w:jc w:val="center"/>
                  </w:pPr>
                  <w:r>
                    <w:t xml:space="preserve">Cov LCL</w:t>
                  </w:r>
                </w:p>
              </w:tc>
              <w:tc>
                <w:tcPr/>
                <w:p>
                  <w:pPr>
                    <w:pStyle w:val="Compact"/>
                    <w:jc w:val="right"/>
                    <w:jc w:val="center"/>
                  </w:pPr>
                  <w:r>
                    <w:t xml:space="preserve">Cov UCL</w:t>
                  </w:r>
                </w:p>
              </w:tc>
              <w:tc>
                <w:tcPr/>
                <w:p>
                  <w:pPr>
                    <w:pStyle w:val="Compact"/>
                    <w:jc w:val="right"/>
                    <w:jc w:val="center"/>
                  </w:pPr>
                  <w:r>
                    <w:t xml:space="preserve">Richness at 0.9 cov.</w:t>
                  </w:r>
                </w:p>
              </w:tc>
              <w:tc>
                <w:tcPr/>
                <w:p>
                  <w:pPr>
                    <w:pStyle w:val="Compact"/>
                    <w:jc w:val="right"/>
                    <w:jc w:val="center"/>
                  </w:pPr>
                  <w:r>
                    <w:t xml:space="preserve">Rt LCL</w:t>
                  </w:r>
                </w:p>
              </w:tc>
              <w:tc>
                <w:tcPr/>
                <w:p>
                  <w:pPr>
                    <w:pStyle w:val="Compact"/>
                    <w:jc w:val="right"/>
                    <w:jc w:val="center"/>
                  </w:pPr>
                  <w:r>
                    <w:t xml:space="preserve">Rt UCL</w:t>
                  </w:r>
                </w:p>
              </w:tc>
              <w:tc>
                <w:tcPr/>
                <w:p>
                  <w:pPr>
                    <w:pStyle w:val="Compact"/>
                    <w:jc w:val="right"/>
                    <w:jc w:val="center"/>
                  </w:pPr>
                  <w:r>
                    <w:t xml:space="preserve">Chao2</w:t>
                  </w:r>
                </w:p>
              </w:tc>
              <w:tc>
                <w:tcPr/>
                <w:p>
                  <w:pPr>
                    <w:pStyle w:val="Compact"/>
                    <w:jc w:val="left"/>
                    <w:jc w:val="center"/>
                  </w:pPr>
                  <w:r>
                    <w:t xml:space="preserve">Target method</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left"/>
                    <w:jc w:val="center"/>
                  </w:pPr>
                  <w:r>
                    <w:t xml:space="preserve">broad</w:t>
                  </w:r>
                </w:p>
              </w:tc>
              <w:tc>
                <w:tcPr/>
                <w:p>
                  <w:pPr>
                    <w:pStyle w:val="Compact"/>
                    <w:jc w:val="right"/>
                    <w:jc w:val="center"/>
                  </w:pPr>
                  <w:r>
                    <w:t xml:space="preserve">18</w:t>
                  </w:r>
                </w:p>
              </w:tc>
              <w:tc>
                <w:tcPr/>
                <w:p>
                  <w:pPr>
                    <w:pStyle w:val="Compact"/>
                    <w:jc w:val="right"/>
                    <w:jc w:val="center"/>
                  </w:pPr>
                  <w:r>
                    <w:t xml:space="preserve">9</w:t>
                  </w:r>
                </w:p>
              </w:tc>
              <w:tc>
                <w:tcPr/>
                <w:p>
                  <w:pPr>
                    <w:pStyle w:val="Compact"/>
                    <w:jc w:val="right"/>
                    <w:jc w:val="center"/>
                  </w:pPr>
                  <w:r>
                    <w:t xml:space="preserve">0.84</w:t>
                  </w:r>
                </w:p>
              </w:tc>
              <w:tc>
                <w:tcPr/>
                <w:p>
                  <w:pPr>
                    <w:pStyle w:val="Compact"/>
                    <w:jc w:val="right"/>
                    <w:jc w:val="center"/>
                  </w:pPr>
                  <w:r>
                    <w:t xml:space="preserve">0.78</w:t>
                  </w:r>
                </w:p>
              </w:tc>
              <w:tc>
                <w:tcPr/>
                <w:p>
                  <w:pPr>
                    <w:pStyle w:val="Compact"/>
                    <w:jc w:val="right"/>
                    <w:jc w:val="center"/>
                  </w:pPr>
                  <w:r>
                    <w:t xml:space="preserve">1</w:t>
                  </w:r>
                </w:p>
              </w:tc>
              <w:tc>
                <w:tcPr/>
                <w:p>
                  <w:pPr>
                    <w:pStyle w:val="Compact"/>
                    <w:jc w:val="right"/>
                    <w:jc w:val="center"/>
                  </w:pPr>
                  <w:r>
                    <w:t xml:space="preserve">8.83</w:t>
                  </w:r>
                </w:p>
              </w:tc>
              <w:tc>
                <w:tcPr/>
                <w:p>
                  <w:pPr>
                    <w:pStyle w:val="Compact"/>
                    <w:jc w:val="right"/>
                    <w:jc w:val="center"/>
                  </w:pPr>
                  <w:r>
                    <w:t xml:space="preserve">3.07</w:t>
                  </w:r>
                </w:p>
              </w:tc>
              <w:tc>
                <w:tcPr/>
                <w:p>
                  <w:pPr>
                    <w:pStyle w:val="Compact"/>
                    <w:jc w:val="right"/>
                    <w:jc w:val="center"/>
                  </w:pPr>
                  <w:r>
                    <w:t xml:space="preserve">14.60</w:t>
                  </w:r>
                </w:p>
              </w:tc>
              <w:tc>
                <w:tcPr/>
                <w:p>
                  <w:pPr>
                    <w:pStyle w:val="Compact"/>
                    <w:jc w:val="right"/>
                    <w:jc w:val="center"/>
                  </w:pPr>
                  <w:r>
                    <w:t xml:space="preserve">13.25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left"/>
                    <w:jc w:val="center"/>
                  </w:pPr>
                  <w:r>
                    <w:t xml:space="preserve">broad</w:t>
                  </w:r>
                </w:p>
              </w:tc>
              <w:tc>
                <w:tcPr/>
                <w:p>
                  <w:pPr>
                    <w:pStyle w:val="Compact"/>
                    <w:jc w:val="right"/>
                    <w:jc w:val="center"/>
                  </w:pPr>
                  <w:r>
                    <w:t xml:space="preserve">22</w:t>
                  </w:r>
                </w:p>
              </w:tc>
              <w:tc>
                <w:tcPr/>
                <w:p>
                  <w:pPr>
                    <w:pStyle w:val="Compact"/>
                    <w:jc w:val="right"/>
                    <w:jc w:val="center"/>
                  </w:pPr>
                  <w:r>
                    <w:t xml:space="preserve">9</w:t>
                  </w:r>
                </w:p>
              </w:tc>
              <w:tc>
                <w:tcPr/>
                <w:p>
                  <w:pPr>
                    <w:pStyle w:val="Compact"/>
                    <w:jc w:val="right"/>
                    <w:jc w:val="center"/>
                  </w:pPr>
                  <w:r>
                    <w:t xml:space="preserve">0.82</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10.77</w:t>
                  </w:r>
                </w:p>
              </w:tc>
              <w:tc>
                <w:tcPr/>
                <w:p>
                  <w:pPr>
                    <w:pStyle w:val="Compact"/>
                    <w:jc w:val="right"/>
                    <w:jc w:val="center"/>
                  </w:pPr>
                  <w:r>
                    <w:t xml:space="preserve">1.70</w:t>
                  </w:r>
                </w:p>
              </w:tc>
              <w:tc>
                <w:tcPr/>
                <w:p>
                  <w:pPr>
                    <w:pStyle w:val="Compact"/>
                    <w:jc w:val="right"/>
                    <w:jc w:val="center"/>
                  </w:pPr>
                  <w:r>
                    <w:t xml:space="preserve">19.84</w:t>
                  </w:r>
                </w:p>
              </w:tc>
              <w:tc>
                <w:tcPr/>
                <w:p>
                  <w:pPr>
                    <w:pStyle w:val="Compact"/>
                    <w:jc w:val="right"/>
                    <w:jc w:val="center"/>
                  </w:pPr>
                  <w:r>
                    <w:t xml:space="preserve">16.64</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20</w:t>
                  </w:r>
                </w:p>
              </w:tc>
              <w:tc>
                <w:tcPr/>
                <w:p>
                  <w:pPr>
                    <w:pStyle w:val="Compact"/>
                    <w:jc w:val="right"/>
                    <w:jc w:val="center"/>
                  </w:pPr>
                  <w:r>
                    <w:t xml:space="preserve">11</w:t>
                  </w:r>
                </w:p>
              </w:tc>
              <w:tc>
                <w:tcPr/>
                <w:p>
                  <w:pPr>
                    <w:pStyle w:val="Compact"/>
                    <w:jc w:val="right"/>
                    <w:jc w:val="center"/>
                  </w:pPr>
                  <w:r>
                    <w:t xml:space="preserve">0.91</w:t>
                  </w:r>
                </w:p>
              </w:tc>
              <w:tc>
                <w:tcPr/>
                <w:p>
                  <w:pPr>
                    <w:pStyle w:val="Compact"/>
                    <w:jc w:val="right"/>
                    <w:jc w:val="center"/>
                  </w:pPr>
                  <w:r>
                    <w:t xml:space="preserve">0.76</w:t>
                  </w:r>
                </w:p>
              </w:tc>
              <w:tc>
                <w:tcPr/>
                <w:p>
                  <w:pPr>
                    <w:pStyle w:val="Compact"/>
                    <w:jc w:val="right"/>
                    <w:jc w:val="center"/>
                  </w:pPr>
                  <w:r>
                    <w:t xml:space="preserve">1</w:t>
                  </w:r>
                </w:p>
              </w:tc>
              <w:tc>
                <w:tcPr/>
                <w:p>
                  <w:pPr>
                    <w:pStyle w:val="Compact"/>
                    <w:jc w:val="right"/>
                    <w:jc w:val="center"/>
                  </w:pPr>
                  <w:r>
                    <w:t xml:space="preserve">10.06</w:t>
                  </w:r>
                </w:p>
              </w:tc>
              <w:tc>
                <w:tcPr/>
                <w:p>
                  <w:pPr>
                    <w:pStyle w:val="Compact"/>
                    <w:jc w:val="right"/>
                    <w:jc w:val="center"/>
                  </w:pPr>
                  <w:r>
                    <w:t xml:space="preserve">7.35</w:t>
                  </w:r>
                </w:p>
              </w:tc>
              <w:tc>
                <w:tcPr/>
                <w:p>
                  <w:pPr>
                    <w:pStyle w:val="Compact"/>
                    <w:jc w:val="right"/>
                    <w:jc w:val="center"/>
                  </w:pPr>
                  <w:r>
                    <w:t xml:space="preserve">12.77</w:t>
                  </w:r>
                </w:p>
              </w:tc>
              <w:tc>
                <w:tcPr/>
                <w:p>
                  <w:pPr>
                    <w:pStyle w:val="Compact"/>
                    <w:jc w:val="right"/>
                    <w:jc w:val="center"/>
                  </w:pPr>
                  <w:r>
                    <w:t xml:space="preserve">11.63</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2.25</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left"/>
                    <w:jc w:val="center"/>
                  </w:pPr>
                  <w:r>
                    <w:t xml:space="preserve">broad</w:t>
                  </w:r>
                </w:p>
              </w:tc>
              <w:tc>
                <w:tcPr/>
                <w:p>
                  <w:pPr>
                    <w:pStyle w:val="Compact"/>
                    <w:jc w:val="right"/>
                    <w:jc w:val="center"/>
                  </w:pPr>
                  <w:r>
                    <w:t xml:space="preserve">4</w:t>
                  </w:r>
                </w:p>
              </w:tc>
              <w:tc>
                <w:tcPr/>
                <w:p>
                  <w:pPr>
                    <w:pStyle w:val="Compact"/>
                    <w:jc w:val="right"/>
                    <w:jc w:val="center"/>
                  </w:pPr>
                  <w:r>
                    <w:t xml:space="preserve">6</w:t>
                  </w:r>
                </w:p>
              </w:tc>
              <w:tc>
                <w:tcPr/>
                <w:p>
                  <w:pPr>
                    <w:pStyle w:val="Compact"/>
                    <w:jc w:val="right"/>
                    <w:jc w:val="center"/>
                  </w:pPr>
                  <w:r>
                    <w:t xml:space="preserve">-0.10</w:t>
                  </w:r>
                </w:p>
              </w:tc>
              <w:tc>
                <w:tcPr/>
                <w:p>
                  <w:pPr>
                    <w:pStyle w:val="Compact"/>
                    <w:jc w:val="right"/>
                    <w:jc w:val="center"/>
                  </w:pPr>
                  <w:r>
                    <w:t xml:space="preserve">-0.10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15.38</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left"/>
                    <w:jc w:val="center"/>
                  </w:pPr>
                  <w:r>
                    <w:t xml:space="preserve">restricted</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left"/>
                    <w:jc w:val="center"/>
                  </w:pPr>
                  <w:r>
                    <w:t xml:space="preserve">broad</w:t>
                  </w:r>
                </w:p>
              </w:tc>
              <w:tc>
                <w:tcPr/>
                <w:p>
                  <w:pPr>
                    <w:pStyle w:val="Compact"/>
                    <w:jc w:val="right"/>
                    <w:jc w:val="center"/>
                  </w:pPr>
                  <w:r>
                    <w:t xml:space="preserve">7</w:t>
                  </w:r>
                </w:p>
              </w:tc>
              <w:tc>
                <w:tcPr/>
                <w:p>
                  <w:pPr>
                    <w:pStyle w:val="Compact"/>
                    <w:jc w:val="right"/>
                    <w:jc w:val="center"/>
                  </w:pPr>
                  <w:r>
                    <w:t xml:space="preserve">4</w:t>
                  </w:r>
                </w:p>
              </w:tc>
              <w:tc>
                <w:tcPr/>
                <w:p>
                  <w:pPr>
                    <w:pStyle w:val="Compact"/>
                    <w:jc w:val="right"/>
                    <w:jc w:val="center"/>
                  </w:pPr>
                  <w:r>
                    <w:t xml:space="preserve">0.57</w:t>
                  </w:r>
                </w:p>
              </w:tc>
              <w:tc>
                <w:tcPr/>
                <w:p>
                  <w:pPr>
                    <w:pStyle w:val="Compact"/>
                    <w:jc w:val="right"/>
                    <w:jc w:val="center"/>
                  </w:pPr>
                  <w:r>
                    <w:t xml:space="preserve">0.57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6.57</w:t>
                  </w:r>
                </w:p>
              </w:tc>
              <w:tc>
                <w:tcPr/>
                <w:p>
                  <w:pPr>
                    <w:pStyle w:val="Compact"/>
                    <w:jc w:val="left"/>
                    <w:jc w:val="center"/>
                  </w:pPr>
                  <w:r>
                    <w:t xml:space="preserve">target unreachable (extrapolation beyond 2x sample)</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left"/>
                    <w:jc w:val="center"/>
                  </w:pPr>
                  <w:r>
                    <w:t xml:space="preserve">broad</w:t>
                  </w:r>
                </w:p>
              </w:tc>
              <w:tc>
                <w:tcPr/>
                <w:p>
                  <w:pPr>
                    <w:pStyle w:val="Compact"/>
                    <w:jc w:val="right"/>
                    <w:jc w:val="center"/>
                  </w:pPr>
                  <w:r>
                    <w:t xml:space="preserve">30</w:t>
                  </w:r>
                </w:p>
              </w:tc>
              <w:tc>
                <w:tcPr/>
                <w:p>
                  <w:pPr>
                    <w:pStyle w:val="Compact"/>
                    <w:jc w:val="right"/>
                    <w:jc w:val="center"/>
                  </w:pPr>
                  <w:r>
                    <w:t xml:space="preserve">11</w:t>
                  </w:r>
                </w:p>
              </w:tc>
              <w:tc>
                <w:tcPr/>
                <w:p>
                  <w:pPr>
                    <w:pStyle w:val="Compact"/>
                    <w:jc w:val="right"/>
                    <w:jc w:val="center"/>
                  </w:pPr>
                  <w:r>
                    <w:t xml:space="preserve">0.80</w:t>
                  </w:r>
                </w:p>
              </w:tc>
              <w:tc>
                <w:tcPr/>
                <w:p>
                  <w:pPr>
                    <w:pStyle w:val="Compact"/>
                    <w:jc w:val="right"/>
                    <w:jc w:val="center"/>
                  </w:pPr>
                  <w:r>
                    <w:t xml:space="preserve">0.77</w:t>
                  </w:r>
                </w:p>
              </w:tc>
              <w:tc>
                <w:tcPr/>
                <w:p>
                  <w:pPr>
                    <w:pStyle w:val="Compact"/>
                    <w:jc w:val="right"/>
                    <w:jc w:val="center"/>
                  </w:pPr>
                  <w:r>
                    <w:t xml:space="preserve">1</w:t>
                  </w:r>
                </w:p>
              </w:tc>
              <w:tc>
                <w:tcPr/>
                <w:p>
                  <w:pPr>
                    <w:pStyle w:val="Compact"/>
                    <w:jc w:val="right"/>
                    <w:jc w:val="center"/>
                  </w:pPr>
                  <w:r>
                    <w:t xml:space="preserve">15.79</w:t>
                  </w:r>
                </w:p>
              </w:tc>
              <w:tc>
                <w:tcPr/>
                <w:p>
                  <w:pPr>
                    <w:pStyle w:val="Compact"/>
                    <w:jc w:val="right"/>
                    <w:jc w:val="center"/>
                  </w:pPr>
                  <w:r>
                    <w:t xml:space="preserve">0.00</w:t>
                  </w:r>
                </w:p>
              </w:tc>
              <w:tc>
                <w:tcPr/>
                <w:p>
                  <w:pPr>
                    <w:pStyle w:val="Compact"/>
                    <w:jc w:val="right"/>
                    <w:jc w:val="center"/>
                  </w:pPr>
                  <w:r>
                    <w:t xml:space="preserve">33.53</w:t>
                  </w:r>
                </w:p>
              </w:tc>
              <w:tc>
                <w:tcPr/>
                <w:p>
                  <w:pPr>
                    <w:pStyle w:val="Compact"/>
                    <w:jc w:val="right"/>
                    <w:jc w:val="center"/>
                  </w:pPr>
                  <w:r>
                    <w:t xml:space="preserve">28.40</w:t>
                  </w:r>
                </w:p>
              </w:tc>
              <w:tc>
                <w:tcPr/>
                <w:p>
                  <w:pPr>
                    <w:pStyle w:val="Compact"/>
                    <w:jc w:val="left"/>
                    <w:jc w:val="center"/>
                  </w:pPr>
                  <w:r>
                    <w:t xml:space="preserve">iNEXT incidence_raw (Extrapolation)</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left"/>
                    <w:jc w:val="center"/>
                  </w:pPr>
                  <w:r>
                    <w:t xml:space="preserve">broad</w:t>
                  </w:r>
                </w:p>
              </w:tc>
              <w:tc>
                <w:tcPr/>
                <w:p>
                  <w:pPr>
                    <w:pStyle w:val="Compact"/>
                    <w:jc w:val="right"/>
                    <w:jc w:val="center"/>
                  </w:pPr>
                  <w:r>
                    <w:t xml:space="preserve">21</w:t>
                  </w:r>
                </w:p>
              </w:tc>
              <w:tc>
                <w:tcPr/>
                <w:p>
                  <w:pPr>
                    <w:pStyle w:val="Compact"/>
                    <w:jc w:val="right"/>
                    <w:jc w:val="center"/>
                  </w:pPr>
                  <w:r>
                    <w:t xml:space="preserve">6</w:t>
                  </w:r>
                </w:p>
              </w:tc>
              <w:tc>
                <w:tcPr/>
                <w:p>
                  <w:pPr>
                    <w:pStyle w:val="Compact"/>
                    <w:jc w:val="right"/>
                    <w:jc w:val="center"/>
                  </w:pPr>
                  <w:r>
                    <w:t xml:space="preserve">0.91</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5.43</w:t>
                  </w:r>
                </w:p>
              </w:tc>
              <w:tc>
                <w:tcPr/>
                <w:p>
                  <w:pPr>
                    <w:pStyle w:val="Compact"/>
                    <w:jc w:val="right"/>
                    <w:jc w:val="center"/>
                  </w:pPr>
                  <w:r>
                    <w:t xml:space="preserve">2.73</w:t>
                  </w:r>
                </w:p>
              </w:tc>
              <w:tc>
                <w:tcPr/>
                <w:p>
                  <w:pPr>
                    <w:pStyle w:val="Compact"/>
                    <w:jc w:val="right"/>
                    <w:jc w:val="center"/>
                  </w:pPr>
                  <w:r>
                    <w:t xml:space="preserve">8.13</w:t>
                  </w:r>
                </w:p>
              </w:tc>
              <w:tc>
                <w:tcPr/>
                <w:p>
                  <w:pPr>
                    <w:pStyle w:val="Compact"/>
                    <w:jc w:val="right"/>
                    <w:jc w:val="center"/>
                  </w:pPr>
                  <w:r>
                    <w:t xml:space="preserve">6.95</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left"/>
                    <w:jc w:val="center"/>
                  </w:pPr>
                  <w:r>
                    <w:t xml:space="preserve">broad</w:t>
                  </w:r>
                </w:p>
              </w:tc>
              <w:tc>
                <w:tcPr/>
                <w:p>
                  <w:pPr>
                    <w:pStyle w:val="Compact"/>
                    <w:jc w:val="right"/>
                    <w:jc w:val="center"/>
                  </w:pPr>
                  <w:r>
                    <w:t xml:space="preserve">28</w:t>
                  </w:r>
                </w:p>
              </w:tc>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0.96</w:t>
                  </w:r>
                </w:p>
              </w:tc>
              <w:tc>
                <w:tcPr/>
                <w:p>
                  <w:pPr>
                    <w:pStyle w:val="Compact"/>
                    <w:jc w:val="right"/>
                    <w:jc w:val="center"/>
                  </w:pPr>
                  <w:r>
                    <w:t xml:space="preserve">1</w:t>
                  </w:r>
                </w:p>
              </w:tc>
              <w:tc>
                <w:tcPr/>
                <w:p>
                  <w:pPr>
                    <w:pStyle w:val="Compact"/>
                    <w:jc w:val="right"/>
                    <w:jc w:val="center"/>
                  </w:pPr>
                  <w:r>
                    <w:t xml:space="preserve">4.52</w:t>
                  </w:r>
                </w:p>
              </w:tc>
              <w:tc>
                <w:tcPr/>
                <w:p>
                  <w:pPr>
                    <w:pStyle w:val="Compact"/>
                    <w:jc w:val="right"/>
                    <w:jc w:val="center"/>
                  </w:pPr>
                  <w:r>
                    <w:t xml:space="preserve">4.21</w:t>
                  </w:r>
                </w:p>
              </w:tc>
              <w:tc>
                <w:tcPr/>
                <w:p>
                  <w:pPr>
                    <w:pStyle w:val="Compact"/>
                    <w:jc w:val="right"/>
                    <w:jc w:val="center"/>
                  </w:pPr>
                  <w:r>
                    <w:t xml:space="preserve">4.82</w:t>
                  </w:r>
                </w:p>
              </w:tc>
              <w:tc>
                <w:tcPr/>
                <w:p>
                  <w:pPr>
                    <w:pStyle w:val="Compact"/>
                    <w:jc w:val="right"/>
                    <w:jc w:val="center"/>
                  </w:pPr>
                  <w:r>
                    <w:t xml:space="preserve">5.00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left"/>
                    <w:jc w:val="center"/>
                  </w:pPr>
                  <w:r>
                    <w:t xml:space="preserve">broad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0.00</w:t>
                  </w:r>
                </w:p>
              </w:tc>
              <w:tc>
                <w:tcPr/>
                <w:p>
                  <w:pPr>
                    <w:pStyle w:val="Compact"/>
                    <w:jc w:val="right"/>
                    <w:jc w:val="center"/>
                  </w:pPr>
                  <w:r>
                    <w:t xml:space="preserve">0.00</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2.50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left"/>
                    <w:jc w:val="center"/>
                  </w:pPr>
                  <w:r>
                    <w:t xml:space="preserve">broad</w:t>
                  </w:r>
                </w:p>
              </w:tc>
              <w:tc>
                <w:tcPr/>
                <w:p>
                  <w:pPr>
                    <w:pStyle w:val="Compact"/>
                    <w:jc w:val="right"/>
                    <w:jc w:val="center"/>
                  </w:pPr>
                  <w:r>
                    <w:t xml:space="preserve">173</w:t>
                  </w:r>
                </w:p>
              </w:tc>
              <w:tc>
                <w:tcPr/>
                <w:p>
                  <w:pPr>
                    <w:pStyle w:val="Compact"/>
                    <w:jc w:val="right"/>
                    <w:jc w:val="center"/>
                  </w:pPr>
                  <w:r>
                    <w:t xml:space="preserve">17</w:t>
                  </w:r>
                </w:p>
              </w:tc>
              <w:tc>
                <w:tcPr/>
                <w:p>
                  <w:pPr>
                    <w:pStyle w:val="Compact"/>
                    <w:jc w:val="right"/>
                    <w:jc w:val="center"/>
                  </w:pPr>
                  <w:r>
                    <w:t xml:space="preserve">0.98</w:t>
                  </w:r>
                </w:p>
              </w:tc>
              <w:tc>
                <w:tcPr/>
                <w:p>
                  <w:pPr>
                    <w:pStyle w:val="Compact"/>
                    <w:jc w:val="right"/>
                    <w:jc w:val="center"/>
                  </w:pPr>
                  <w:r>
                    <w:t xml:space="preserve">0.97</w:t>
                  </w:r>
                </w:p>
              </w:tc>
              <w:tc>
                <w:tcPr/>
                <w:p>
                  <w:pPr>
                    <w:pStyle w:val="Compact"/>
                    <w:jc w:val="right"/>
                    <w:jc w:val="center"/>
                  </w:pPr>
                  <w:r>
                    <w:t xml:space="preserve">1</w:t>
                  </w:r>
                </w:p>
              </w:tc>
              <w:tc>
                <w:tcPr/>
                <w:p>
                  <w:pPr>
                    <w:pStyle w:val="Compact"/>
                    <w:jc w:val="right"/>
                    <w:jc w:val="center"/>
                  </w:pPr>
                  <w:r>
                    <w:t xml:space="preserve">9.84</w:t>
                  </w:r>
                </w:p>
              </w:tc>
              <w:tc>
                <w:tcPr/>
                <w:p>
                  <w:pPr>
                    <w:pStyle w:val="Compact"/>
                    <w:jc w:val="right"/>
                    <w:jc w:val="center"/>
                  </w:pPr>
                  <w:r>
                    <w:t xml:space="preserve">8.28</w:t>
                  </w:r>
                </w:p>
              </w:tc>
              <w:tc>
                <w:tcPr/>
                <w:p>
                  <w:pPr>
                    <w:pStyle w:val="Compact"/>
                    <w:jc w:val="right"/>
                    <w:jc w:val="center"/>
                  </w:pPr>
                  <w:r>
                    <w:t xml:space="preserve">11.39</w:t>
                  </w:r>
                </w:p>
              </w:tc>
              <w:tc>
                <w:tcPr/>
                <w:p>
                  <w:pPr>
                    <w:pStyle w:val="Compact"/>
                    <w:jc w:val="right"/>
                    <w:jc w:val="center"/>
                  </w:pPr>
                  <w:r>
                    <w:t xml:space="preserve">18.12</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left"/>
                    <w:jc w:val="center"/>
                  </w:pPr>
                  <w:r>
                    <w:t xml:space="preserve">broad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2.77</w:t>
                  </w:r>
                </w:p>
              </w:tc>
              <w:tc>
                <w:tcPr/>
                <w:p>
                  <w:pPr>
                    <w:pStyle w:val="Compact"/>
                    <w:jc w:val="right"/>
                    <w:jc w:val="center"/>
                  </w:pPr>
                  <w:r>
                    <w:t xml:space="preserve">2.05</w:t>
                  </w:r>
                </w:p>
              </w:tc>
              <w:tc>
                <w:tcPr/>
                <w:p>
                  <w:pPr>
                    <w:pStyle w:val="Compact"/>
                    <w:jc w:val="right"/>
                    <w:jc w:val="center"/>
                  </w:pPr>
                  <w:r>
                    <w:t xml:space="preserve">3.49</w:t>
                  </w:r>
                </w:p>
              </w:tc>
              <w:tc>
                <w:tcPr/>
                <w:p>
                  <w:pPr>
                    <w:pStyle w:val="Compact"/>
                    <w:jc w:val="right"/>
                    <w:jc w:val="center"/>
                  </w:pPr>
                  <w:r>
                    <w:t xml:space="preserve">3.00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left"/>
                    <w:jc w:val="center"/>
                  </w:pPr>
                  <w:r>
                    <w:t xml:space="preserve">restricted</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right"/>
                    <w:jc w:val="center"/>
                  </w:pPr>
                  <w:r>
                    <w:t xml:space="preserve">1.00</w:t>
                  </w:r>
                </w:p>
              </w:tc>
              <w:tc>
                <w:tcPr/>
                <w:p>
                  <w:pPr>
                    <w:pStyle w:val="Compact"/>
                    <w:jc w:val="left"/>
                    <w:jc w:val="center"/>
                  </w:pPr>
                  <w:r>
                    <w:t xml:space="preserve">iNEXT incidence_raw (Rarefaction)</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0.75</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1.90</w:t>
                  </w:r>
                </w:p>
              </w:tc>
              <w:tc>
                <w:tcPr/>
                <w:p>
                  <w:pPr>
                    <w:pStyle w:val="Compact"/>
                    <w:jc w:val="right"/>
                    <w:jc w:val="center"/>
                  </w:pPr>
                  <w:r>
                    <w:t xml:space="preserve">1.00</w:t>
                  </w:r>
                </w:p>
              </w:tc>
              <w:tc>
                <w:tcPr/>
                <w:p>
                  <w:pPr>
                    <w:pStyle w:val="Compact"/>
                    <w:jc w:val="right"/>
                    <w:jc w:val="center"/>
                  </w:pPr>
                  <w:r>
                    <w:t xml:space="preserve">2.80</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left"/>
                    <w:jc w:val="center"/>
                  </w:pPr>
                  <w:r>
                    <w:t xml:space="preserve">broad</w:t>
                  </w:r>
                </w:p>
              </w:tc>
              <w:tc>
                <w:tcPr/>
                <w:p>
                  <w:pPr>
                    <w:pStyle w:val="Compact"/>
                    <w:jc w:val="right"/>
                    <w:jc w:val="center"/>
                  </w:pPr>
                  <w:r>
                    <w:t xml:space="preserve">29</w:t>
                  </w:r>
                </w:p>
              </w:tc>
              <w:tc>
                <w:tcPr/>
                <w:p>
                  <w:pPr>
                    <w:pStyle w:val="Compact"/>
                    <w:jc w:val="right"/>
                    <w:jc w:val="center"/>
                  </w:pPr>
                  <w:r>
                    <w:t xml:space="preserve">10</w:t>
                  </w:r>
                </w:p>
              </w:tc>
              <w:tc>
                <w:tcPr/>
                <w:p>
                  <w:pPr>
                    <w:pStyle w:val="Compact"/>
                    <w:jc w:val="right"/>
                    <w:jc w:val="center"/>
                  </w:pPr>
                  <w:r>
                    <w:t xml:space="preserve">0.90</w:t>
                  </w:r>
                </w:p>
              </w:tc>
              <w:tc>
                <w:tcPr/>
                <w:p>
                  <w:pPr>
                    <w:pStyle w:val="Compact"/>
                    <w:jc w:val="right"/>
                    <w:jc w:val="center"/>
                  </w:pPr>
                  <w:r>
                    <w:t xml:space="preserve">0.86</w:t>
                  </w:r>
                </w:p>
              </w:tc>
              <w:tc>
                <w:tcPr/>
                <w:p>
                  <w:pPr>
                    <w:pStyle w:val="Compact"/>
                    <w:jc w:val="right"/>
                    <w:jc w:val="center"/>
                  </w:pPr>
                  <w:r>
                    <w:t xml:space="preserve">1</w:t>
                  </w:r>
                </w:p>
              </w:tc>
              <w:tc>
                <w:tcPr/>
                <w:p>
                  <w:pPr>
                    <w:pStyle w:val="Compact"/>
                    <w:jc w:val="right"/>
                    <w:jc w:val="center"/>
                  </w:pPr>
                  <w:r>
                    <w:t xml:space="preserve">8.95</w:t>
                  </w:r>
                </w:p>
              </w:tc>
              <w:tc>
                <w:tcPr/>
                <w:p>
                  <w:pPr>
                    <w:pStyle w:val="Compact"/>
                    <w:jc w:val="right"/>
                    <w:jc w:val="center"/>
                  </w:pPr>
                  <w:r>
                    <w:t xml:space="preserve">4.60</w:t>
                  </w:r>
                </w:p>
              </w:tc>
              <w:tc>
                <w:tcPr/>
                <w:p>
                  <w:pPr>
                    <w:pStyle w:val="Compact"/>
                    <w:jc w:val="right"/>
                    <w:jc w:val="center"/>
                  </w:pPr>
                  <w:r>
                    <w:t xml:space="preserve">13.31</w:t>
                  </w:r>
                </w:p>
              </w:tc>
              <w:tc>
                <w:tcPr/>
                <w:p>
                  <w:pPr>
                    <w:pStyle w:val="Compact"/>
                    <w:jc w:val="right"/>
                    <w:jc w:val="center"/>
                  </w:pPr>
                  <w:r>
                    <w:t xml:space="preserve">12.17</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left"/>
                    <w:jc w:val="center"/>
                  </w:pPr>
                  <w:r>
                    <w:t xml:space="preserve">restricted</w:t>
                  </w:r>
                </w:p>
              </w:tc>
              <w:tc>
                <w:tcPr/>
                <w:p>
                  <w:pPr>
                    <w:pStyle w:val="Compact"/>
                    <w:jc w:val="right"/>
                    <w:jc w:val="center"/>
                  </w:pPr>
                  <w:r>
                    <w:t xml:space="preserve">4</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0.75</w:t>
                  </w:r>
                </w:p>
              </w:tc>
              <w:tc>
                <w:tcPr/>
                <w:p>
                  <w:pPr>
                    <w:pStyle w:val="Compact"/>
                    <w:jc w:val="right"/>
                    <w:jc w:val="center"/>
                  </w:pPr>
                  <w:r>
                    <w:t xml:space="preserve">1</w:t>
                  </w:r>
                </w:p>
              </w:tc>
              <w:tc>
                <w:tcPr/>
                <w:p>
                  <w:pPr>
                    <w:pStyle w:val="Compact"/>
                    <w:jc w:val="right"/>
                    <w:jc w:val="center"/>
                  </w:pPr>
                  <w:r>
                    <w:t xml:space="preserve">1.85</w:t>
                  </w:r>
                </w:p>
              </w:tc>
              <w:tc>
                <w:tcPr/>
                <w:p>
                  <w:pPr>
                    <w:pStyle w:val="Compact"/>
                    <w:jc w:val="right"/>
                    <w:jc w:val="center"/>
                  </w:pPr>
                  <w:r>
                    <w:t xml:space="preserve">1.44</w:t>
                  </w:r>
                </w:p>
              </w:tc>
              <w:tc>
                <w:tcPr/>
                <w:p>
                  <w:pPr>
                    <w:pStyle w:val="Compact"/>
                    <w:jc w:val="right"/>
                    <w:jc w:val="center"/>
                  </w:pPr>
                  <w:r>
                    <w:t xml:space="preserve">2.26</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left"/>
                    <w:jc w:val="center"/>
                  </w:pPr>
                  <w:r>
                    <w:t xml:space="preserve">broad</w:t>
                  </w:r>
                </w:p>
              </w:tc>
              <w:tc>
                <w:tcPr/>
                <w:p>
                  <w:pPr>
                    <w:pStyle w:val="Compact"/>
                    <w:jc w:val="right"/>
                    <w:jc w:val="center"/>
                  </w:pPr>
                  <w:r>
                    <w:t xml:space="preserve">3</w:t>
                  </w:r>
                </w:p>
              </w:tc>
              <w:tc>
                <w:tcPr/>
                <w:p>
                  <w:pPr>
                    <w:pStyle w:val="Compact"/>
                    <w:jc w:val="right"/>
                    <w:jc w:val="center"/>
                  </w:pPr>
                  <w:r>
                    <w:t xml:space="preserve">5</w:t>
                  </w:r>
                </w:p>
              </w:tc>
              <w:tc>
                <w:tcPr/>
                <w:p>
                  <w:pPr>
                    <w:pStyle w:val="Compact"/>
                    <w:jc w:val="right"/>
                    <w:jc w:val="center"/>
                  </w:pPr>
                  <w:r>
                    <w:t xml:space="preserve">-0.67</w:t>
                  </w:r>
                </w:p>
              </w:tc>
              <w:tc>
                <w:tcPr/>
                <w:p>
                  <w:pPr>
                    <w:pStyle w:val="Compact"/>
                    <w:jc w:val="right"/>
                    <w:jc w:val="center"/>
                  </w:pPr>
                  <w:r>
                    <w:t xml:space="preserve">-0.67</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11.67</w:t>
                  </w:r>
                </w:p>
              </w:tc>
              <w:tc>
                <w:tcPr/>
                <w:p>
                  <w:pPr>
                    <w:pStyle w:val="Compact"/>
                    <w:jc w:val="left"/>
                    <w:jc w:val="center"/>
                  </w:pPr>
                  <w:r>
                    <w:t xml:space="preserve">target unreachable (extrapolation beyond 2x sample)</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left"/>
                    <w:jc w:val="center"/>
                  </w:pPr>
                  <w:r>
                    <w:t xml:space="preserve">restricted</w:t>
                  </w:r>
                </w:p>
              </w:tc>
              <w:tc>
                <w:tcPr/>
                <w:p>
                  <w:pPr>
                    <w:pStyle w:val="Compact"/>
                    <w:jc w:val="right"/>
                    <w:jc w:val="center"/>
                  </w:pPr>
                  <w:r>
                    <w:t xml:space="preserve">11</w:t>
                  </w:r>
                </w:p>
              </w:tc>
              <w:tc>
                <w:tcPr/>
                <w:p>
                  <w:pPr>
                    <w:pStyle w:val="Compact"/>
                    <w:jc w:val="right"/>
                    <w:jc w:val="center"/>
                  </w:pPr>
                  <w:r>
                    <w:t xml:space="preserve">2</w:t>
                  </w:r>
                </w:p>
              </w:tc>
              <w:tc>
                <w:tcPr/>
                <w:p>
                  <w:pPr>
                    <w:pStyle w:val="Compact"/>
                    <w:jc w:val="right"/>
                    <w:jc w:val="center"/>
                  </w:pPr>
                  <w:r>
                    <w:t xml:space="preserve">1.00</w:t>
                  </w:r>
                </w:p>
              </w:tc>
              <w:tc>
                <w:tcPr/>
                <w:p>
                  <w:pPr>
                    <w:pStyle w:val="Compact"/>
                    <w:jc w:val="right"/>
                    <w:jc w:val="center"/>
                  </w:pPr>
                  <w:r>
                    <w:t xml:space="preserve">0.91</w:t>
                  </w:r>
                </w:p>
              </w:tc>
              <w:tc>
                <w:tcPr/>
                <w:p>
                  <w:pPr>
                    <w:pStyle w:val="Compact"/>
                    <w:jc w:val="right"/>
                    <w:jc w:val="center"/>
                  </w:pPr>
                  <w:r>
                    <w:t xml:space="preserve">1</w:t>
                  </w:r>
                </w:p>
              </w:tc>
              <w:tc>
                <w:tcPr/>
                <w:p>
                  <w:pPr>
                    <w:pStyle w:val="Compact"/>
                    <w:jc w:val="right"/>
                    <w:jc w:val="center"/>
                  </w:pPr>
                  <w:r>
                    <w:t xml:space="preserve">1.76</w:t>
                  </w:r>
                </w:p>
              </w:tc>
              <w:tc>
                <w:tcPr/>
                <w:p>
                  <w:pPr>
                    <w:pStyle w:val="Compact"/>
                    <w:jc w:val="right"/>
                    <w:jc w:val="center"/>
                  </w:pPr>
                  <w:r>
                    <w:t xml:space="preserve">1.57</w:t>
                  </w:r>
                </w:p>
              </w:tc>
              <w:tc>
                <w:tcPr/>
                <w:p>
                  <w:pPr>
                    <w:pStyle w:val="Compact"/>
                    <w:jc w:val="right"/>
                    <w:jc w:val="center"/>
                  </w:pPr>
                  <w:r>
                    <w:t xml:space="preserve">1.95</w:t>
                  </w:r>
                </w:p>
              </w:tc>
              <w:tc>
                <w:tcPr/>
                <w:p>
                  <w:pPr>
                    <w:pStyle w:val="Compact"/>
                    <w:jc w:val="right"/>
                    <w:jc w:val="center"/>
                  </w:pPr>
                  <w:r>
                    <w:t xml:space="preserve">2.00</w:t>
                  </w:r>
                </w:p>
              </w:tc>
              <w:tc>
                <w:tcPr/>
                <w:p>
                  <w:pPr>
                    <w:pStyle w:val="Compact"/>
                    <w:jc w:val="left"/>
                    <w:jc w:val="center"/>
                  </w:pPr>
                  <w:r>
                    <w:t xml:space="preserve">iNEXT incidence_raw (Rarefaction)</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2</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2.00</w:t>
                  </w:r>
                </w:p>
              </w:tc>
              <w:tc>
                <w:tcPr/>
                <w:p>
                  <w:pPr>
                    <w:pStyle w:val="Compact"/>
                    <w:jc w:val="left"/>
                    <w:jc w:val="center"/>
                  </w:pPr>
                  <w:r>
                    <w:t xml:space="preserve">n &lt; 3: Chao fallback only</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left"/>
                    <w:jc w:val="center"/>
                  </w:pPr>
                  <w:r>
                    <w:t xml:space="preserve">broad</w:t>
                  </w:r>
                </w:p>
              </w:tc>
              <w:tc>
                <w:tcPr/>
                <w:p>
                  <w:pPr>
                    <w:pStyle w:val="Compact"/>
                    <w:jc w:val="right"/>
                    <w:jc w:val="center"/>
                  </w:pPr>
                  <w:r>
                    <w:t xml:space="preserve">12</w:t>
                  </w:r>
                </w:p>
              </w:tc>
              <w:tc>
                <w:tcPr/>
                <w:p>
                  <w:pPr>
                    <w:pStyle w:val="Compact"/>
                    <w:jc w:val="right"/>
                    <w:jc w:val="center"/>
                  </w:pPr>
                  <w:r>
                    <w:t xml:space="preserve">8</w:t>
                  </w:r>
                </w:p>
              </w:tc>
              <w:tc>
                <w:tcPr/>
                <w:p>
                  <w:pPr>
                    <w:pStyle w:val="Compact"/>
                    <w:jc w:val="right"/>
                    <w:jc w:val="center"/>
                  </w:pPr>
                  <w:r>
                    <w:t xml:space="preserve">0.69</w:t>
                  </w:r>
                </w:p>
              </w:tc>
              <w:tc>
                <w:tcPr/>
                <w:p>
                  <w:pPr>
                    <w:pStyle w:val="Compact"/>
                    <w:jc w:val="right"/>
                    <w:jc w:val="center"/>
                  </w:pPr>
                  <w:r>
                    <w:t xml:space="preserve">0.60</w:t>
                  </w:r>
                </w:p>
              </w:tc>
              <w:tc>
                <w:tcPr/>
                <w:p>
                  <w:pPr>
                    <w:pStyle w:val="Compact"/>
                    <w:jc w:val="right"/>
                    <w:jc w:val="center"/>
                  </w:pPr>
                  <w:r>
                    <w:t xml:space="preserve">1</w:t>
                  </w:r>
                </w:p>
              </w:tc>
              <w:tc>
                <w:tcPr/>
                <w:p>
                  <w:pPr>
                    <w:pStyle w:val="Compact"/>
                    <w:jc w:val="right"/>
                    <w:jc w:val="center"/>
                  </w:pPr>
                  <w:r>
                    <w:t xml:space="preserve">9.57</w:t>
                  </w:r>
                </w:p>
              </w:tc>
              <w:tc>
                <w:tcPr/>
                <w:p>
                  <w:pPr>
                    <w:pStyle w:val="Compact"/>
                    <w:jc w:val="right"/>
                    <w:jc w:val="center"/>
                  </w:pPr>
                  <w:r>
                    <w:t xml:space="preserve">2.09</w:t>
                  </w:r>
                </w:p>
              </w:tc>
              <w:tc>
                <w:tcPr/>
                <w:p>
                  <w:pPr>
                    <w:pStyle w:val="Compact"/>
                    <w:jc w:val="right"/>
                    <w:jc w:val="center"/>
                  </w:pPr>
                  <w:r>
                    <w:t xml:space="preserve">17.05</w:t>
                  </w:r>
                </w:p>
              </w:tc>
              <w:tc>
                <w:tcPr/>
                <w:p>
                  <w:pPr>
                    <w:pStyle w:val="Compact"/>
                    <w:jc w:val="right"/>
                    <w:jc w:val="center"/>
                  </w:pPr>
                  <w:r>
                    <w:t xml:space="preserve">11.67</w:t>
                  </w:r>
                </w:p>
              </w:tc>
              <w:tc>
                <w:tcPr/>
                <w:p>
                  <w:pPr>
                    <w:pStyle w:val="Compact"/>
                    <w:jc w:val="left"/>
                    <w:jc w:val="center"/>
                  </w:pPr>
                  <w:r>
                    <w:t xml:space="preserve">iNEXT incidence_raw (Extrapolation)</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left"/>
                    <w:jc w:val="center"/>
                  </w:pPr>
                  <w:r>
                    <w:t xml:space="preserve">restricted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1.00</w:t>
                  </w:r>
                </w:p>
              </w:tc>
              <w:tc>
                <w:tcPr/>
                <w:p>
                  <w:pPr>
                    <w:pStyle w:val="Compact"/>
                    <w:jc w:val="left"/>
                    <w:jc w:val="center"/>
                  </w:pPr>
                  <w:r>
                    <w:t xml:space="preserve">n &lt; 3: Chao fallback only</w:t>
                  </w:r>
                </w:p>
              </w:tc>
            </w:tr>
          </w:tbl>
          <w:p>
            <w:pPr>
              <w:jc w:val="center"/>
            </w:pPr>
            <w:pPr>
              <w:jc w:val="start"/>
              <w:spacing w:before="200"/>
              <w:pStyle w:val="ImageCaption"/>
            </w:pPr>
            <w:r>
              <w:t xml:space="preserve">Table S 43: Coverage-based rarefaction per site. richness_full is the observed number of sign types; coverage_chao is Chao and Jost’s analytic sample-coverage estimate at the full sample with 95% bootstrap interval; richness_at_target is the iNEXT incidence_raw richness estimate at target coverage = 0.9 with 95% interval. Sites that never reach the target coverage are reported as NA with the reason in at_target_method, and carry a Chao2 asymptotic-richness estimate with interval as a fallback quantity.</w:t>
            </w:r>
          </w:p>
          <w:bookmarkEnd w:id="237"/>
        </w:tc>
      </w:tr>
    </w:tbl>
    <w:tbl>
      <w:tblPr>
        <w:tblStyle w:val="Table"/>
        <w:tblW w:type="pct" w:w="5000"/>
        <w:tblLook w:firstRow="0" w:lastRow="0" w:firstColumn="0" w:lastColumn="0" w:noHBand="0" w:noVBand="0" w:val="0000"/>
        <w:jc w:val="start"/>
        <w:tblLayout w:type="fixed"/>
      </w:tblPr>
      <w:tblGrid>
        <w:gridCol w:w="7920"/>
      </w:tblGrid>
      <w:tr>
        <w:tc>
          <w:tcPr/>
          <w:bookmarkStart w:id="241" w:name="fig-rarefaction"/>
          <w:p>
            <w:pPr>
              <w:pStyle w:val="Compact"/>
              <w:jc w:val="center"/>
            </w:pPr>
            <w:r>
              <w:drawing>
                <wp:inline>
                  <wp:extent cx="5943600" cy="3396342"/>
                  <wp:effectExtent b="0" l="0" r="0" t="0"/>
                  <wp:docPr descr="" title="" id="239" name="Picture"/>
                  <a:graphic>
                    <a:graphicData uri="http://schemas.openxmlformats.org/drawingml/2006/picture">
                      <pic:pic>
                        <pic:nvPicPr>
                          <pic:cNvPr descr="S1-supplement-sensitivity_files/figure-docx/fig-rarefaction-1.png" id="240" name="Picture"/>
                          <pic:cNvPicPr>
                            <a:picLocks noChangeArrowheads="1" noChangeAspect="1"/>
                          </pic:cNvPicPr>
                        </pic:nvPicPr>
                        <pic:blipFill>
                          <a:blip r:embed="rId238"/>
                          <a:stretch>
                            <a:fillRect/>
                          </a:stretch>
                        </pic:blipFill>
                        <pic:spPr bwMode="auto">
                          <a:xfrm>
                            <a:off x="0" y="0"/>
                            <a:ext cx="5943600" cy="339634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14: Sign-type richness estimated at target coverage = 0.9 with 95% confidence intervals, by manual group, for sites that reach that coverage. Restricted sites (green) that attain high coverage remain low-richness; broad sites (red) remain high-richness.</w:t>
            </w:r>
          </w:p>
          <w:bookmarkEnd w:id="241"/>
        </w:tc>
      </w:tr>
    </w:tbl>
    <w:bookmarkEnd w:id="242"/>
    <w:bookmarkStart w:id="243" w:name="interpretation-19"/>
    <w:p>
      <w:pPr>
        <w:pStyle w:val="Heading3"/>
      </w:pPr>
      <w:r>
        <w:t xml:space="preserve">Interpretation</w:t>
      </w:r>
    </w:p>
    <w:p>
      <w:pPr>
        <w:pStyle w:val="FirstParagraph"/>
      </w:pPr>
      <w:r>
        <w:rPr>
          <w:bCs/>
          <w:b/>
        </w:rPr>
        <w:t xml:space="preserve">Question: at equal sample coverage, do restricted and broad sites still differ in sign-type richness?</w:t>
      </w:r>
      <w:r>
        <w:t xml:space="preserve"> </w:t>
      </w:r>
      <w:r>
        <w:t xml:space="preserve">Only a subset of sites can be assessed. In Aur-P1, 11 of 20 sites reach coverage 0.9; in Aur-P2 only 4 of 9 do. Among the Aur-P1 sites that do reach the target, restricted sites remain low-richness (mean 1.67 sign types) while broad sites remain high-richness (mean 9.32), a difference that persists at equal coverage (Wilcoxon p = 0.006). For Aur-P2 only 4 of 9 sites reach the target (2 broad, 2 restricted), too few for a reliable group comparison (Wilcoxon p = 0.333).</w:t>
      </w:r>
    </w:p>
    <w:p>
      <w:pPr>
        <w:pStyle w:val="BodyText"/>
      </w:pPr>
      <w:r>
        <w:rPr>
          <w:bCs/>
          <w:b/>
        </w:rPr>
        <w:t xml:space="preserve">Answer:</w:t>
      </w:r>
      <w:r>
        <w:t xml:space="preserve"> </w:t>
      </w:r>
      <w:r>
        <w:t xml:space="preserve">at equal coverage the broad/restricted richness contrast is preserved</w:t>
      </w:r>
      <w:r>
        <w:t xml:space="preserve"> </w:t>
      </w:r>
      <w:r>
        <w:rPr>
          <w:iCs/>
          <w:i/>
        </w:rPr>
        <w:t xml:space="preserve">among the sites that can be evaluated</w:t>
      </w:r>
      <w:r>
        <w:t xml:space="preserve"> </w:t>
      </w:r>
      <w:r>
        <w:t xml:space="preserve">— it is not removed by standardising on completeness — but the majority of the smallest sites never attain the target coverage and therefore cannot be placed on a common coverage footing at all. Coverage-based rarefaction is consequently unreliable for the smallest assemblages: it can compare well-sampled sites, but it cannot rescue the assignment of sites with only one or two objects, for which the table reports Chao coverage and Chao2 fallback quantities instead. This is the same limitation encountered in</w:t>
      </w:r>
      <w:r>
        <w:t xml:space="preserve"> </w:t>
      </w:r>
      <w:r>
        <w:t xml:space="preserve">Section S1.12.3</w:t>
      </w:r>
      <w:r>
        <w:t xml:space="preserve">, approached from the richness axis.</w:t>
      </w:r>
    </w:p>
    <w:bookmarkEnd w:id="243"/>
    <w:bookmarkEnd w:id="244"/>
    <w:bookmarkStart w:id="248" w:name="sec-s12-4"/>
    <w:p>
      <w:pPr>
        <w:pStyle w:val="Heading2"/>
      </w:pPr>
      <w:r>
        <w:t xml:space="preserve">S1.12.5 Negative-binomial regression with object-count covariate</w:t>
      </w:r>
    </w:p>
    <w:bookmarkStart w:id="246" w:name="rationale-21"/>
    <w:p>
      <w:pPr>
        <w:pStyle w:val="Heading3"/>
      </w:pPr>
      <w:r>
        <w:t xml:space="preserve">Rationale</w:t>
      </w:r>
    </w:p>
    <w:p>
      <w:pPr>
        <w:pStyle w:val="FirstParagraph"/>
      </w:pPr>
      <w:r>
        <w:t xml:space="preserve">The two resampling approaches above ask whether the</w:t>
      </w:r>
      <w:r>
        <w:t xml:space="preserve"> </w:t>
      </w:r>
      <w:r>
        <w:rPr>
          <w:iCs/>
          <w:i/>
        </w:rPr>
        <w:t xml:space="preserve">partition</w:t>
      </w:r>
      <w:r>
        <w:t xml:space="preserve"> </w:t>
      </w:r>
      <w:r>
        <w:t xml:space="preserve">and the</w:t>
      </w:r>
      <w:r>
        <w:t xml:space="preserve"> </w:t>
      </w:r>
      <w:r>
        <w:rPr>
          <w:iCs/>
          <w:i/>
        </w:rPr>
        <w:t xml:space="preserve">richness</w:t>
      </w:r>
      <w:r>
        <w:t xml:space="preserve"> </w:t>
      </w:r>
      <w:r>
        <w:t xml:space="preserve">survive downsampling. We also ask whether group predicts sign-type richness once sampling effort is held constant. Entering</w:t>
      </w:r>
      <w:r>
        <w:t xml:space="preserve"> </w:t>
      </w:r>
      <w:r>
        <w:rPr>
          <w:rStyle w:val="VerbatimChar"/>
        </w:rPr>
        <w:t xml:space="preserve">log(object count)</w:t>
      </w:r>
      <w:r>
        <w:t xml:space="preserve"> </w:t>
      </w:r>
      <w:r>
        <w:t xml:space="preserve">as an</w:t>
      </w:r>
      <w:r>
        <w:t xml:space="preserve"> </w:t>
      </w:r>
      <w:r>
        <w:rPr>
          <w:bCs/>
          <w:b/>
        </w:rPr>
        <w:t xml:space="preserve">offset</w:t>
      </w:r>
      <w:r>
        <w:t xml:space="preserve"> </w:t>
      </w:r>
      <w:r>
        <w:t xml:space="preserve">(the exposure term) fixes the richness-effort exponent at 1, which assumes sign-type richness grows in proportion to the number of objects; richness instead saturates with effort</w:t>
      </w:r>
      <w:r>
        <w:t xml:space="preserve"> </w:t>
      </w:r>
      <w:r>
        <w:t xml:space="preserve">[25]</w:t>
      </w:r>
      <w:r>
        <w:t xml:space="preserve">, so under an offset a site with 1 object and 1 sign type has a</w:t>
      </w:r>
      <w:r>
        <w:t xml:space="preserve"> </w:t>
      </w:r>
      <w:r>
        <w:t xml:space="preserve">“</w:t>
      </w:r>
      <w:r>
        <w:t xml:space="preserve">rate</w:t>
      </w:r>
      <w:r>
        <w:t xml:space="preserve">”</w:t>
      </w:r>
      <w:r>
        <w:t xml:space="preserve"> </w:t>
      </w:r>
      <w:r>
        <w:t xml:space="preserve">of 1.0 while Vogelherd (173 objects, 17 types) has a rate of 0.1, biasing the contrast against the large broad-group sites. We therefore fit two negative-binomial regressions</w:t>
      </w:r>
      <w:r>
        <w:t xml:space="preserve"> </w:t>
      </w:r>
      <w:r>
        <w:t xml:space="preserve">[27]</w:t>
      </w:r>
      <w:r>
        <w:t xml:space="preserve"> </w:t>
      </w:r>
      <w:r>
        <w:t xml:space="preserve">of per-site sign-type richness with the manual group and phase as predictors: (i) the offset specification, and (ii) a free-slope specification with</w:t>
      </w:r>
      <w:r>
        <w:t xml:space="preserve"> </w:t>
      </w:r>
      <w:r>
        <w:rPr>
          <w:rStyle w:val="VerbatimChar"/>
        </w:rPr>
        <w:t xml:space="preserve">log(object count)</w:t>
      </w:r>
      <w:r>
        <w:t xml:space="preserve"> </w:t>
      </w:r>
      <w:r>
        <w:t xml:space="preserve">as a covariate, which estimates the exponent with its interval:</w:t>
      </w:r>
    </w:p>
    <w:p>
      <w:pPr>
        <w:pStyle w:val="BodyText"/>
      </w:pPr>
      <m:oMathPara>
        <m:oMathParaPr>
          <m:jc m:val="center"/>
        </m:oMathParaPr>
        <m:oMath>
          <m:sSub>
            <m:e>
              <m:r>
                <m:rPr>
                  <m:nor/>
                  <m:sty m:val="p"/>
                </m:rPr>
                <m:t>richness</m:t>
              </m:r>
            </m:e>
            <m:sub>
              <m:r>
                <m:t>i</m:t>
              </m:r>
            </m:sub>
          </m:sSub>
          <m:r>
            <m:rPr>
              <m:sty m:val="p"/>
            </m:rPr>
            <m:t>∼</m:t>
          </m:r>
          <m:r>
            <m:rPr>
              <m:nor/>
              <m:sty m:val="p"/>
            </m:rPr>
            <m:t>NegativeBinomial</m:t>
          </m:r>
          <m:d>
            <m:dPr>
              <m:begChr m:val="("/>
              <m:endChr m:val=")"/>
              <m:sepChr m:val=""/>
              <m:grow/>
            </m:dPr>
            <m:e>
              <m:r>
                <m:rPr>
                  <m:sty m:val="p"/>
                </m:rPr>
                <m:t>exp</m:t>
              </m:r>
              <m:d>
                <m:dPr>
                  <m:begChr m:val="("/>
                  <m:endChr m:val=")"/>
                  <m:sepChr m:val=""/>
                  <m:grow/>
                </m:dPr>
                <m:e>
                  <m:sSub>
                    <m:e>
                      <m:r>
                        <m:t>β</m:t>
                      </m:r>
                    </m:e>
                    <m:sub>
                      <m:r>
                        <m:t>0</m:t>
                      </m:r>
                    </m:sub>
                  </m:sSub>
                  <m:r>
                    <m:rPr>
                      <m:sty m:val="p"/>
                    </m:rPr>
                    <m:t>+</m:t>
                  </m:r>
                  <m:sSub>
                    <m:e>
                      <m:r>
                        <m:t>β</m:t>
                      </m:r>
                    </m:e>
                    <m:sub>
                      <m:r>
                        <m:t>1</m:t>
                      </m:r>
                    </m:sub>
                  </m:sSub>
                  <m:sSub>
                    <m:e>
                      <m:r>
                        <m:rPr>
                          <m:nor/>
                          <m:sty m:val="p"/>
                        </m:rPr>
                        <m:t>group</m:t>
                      </m:r>
                    </m:e>
                    <m:sub>
                      <m:r>
                        <m:t>i</m:t>
                      </m:r>
                    </m:sub>
                  </m:sSub>
                  <m:r>
                    <m:rPr>
                      <m:sty m:val="p"/>
                    </m:rPr>
                    <m:t>+</m:t>
                  </m:r>
                  <m:sSub>
                    <m:e>
                      <m:r>
                        <m:t>β</m:t>
                      </m:r>
                    </m:e>
                    <m:sub>
                      <m:r>
                        <m:t>2</m:t>
                      </m:r>
                    </m:sub>
                  </m:sSub>
                  <m:sSub>
                    <m:e>
                      <m:r>
                        <m:rPr>
                          <m:nor/>
                          <m:sty m:val="p"/>
                        </m:rPr>
                        <m:t>phase</m:t>
                      </m:r>
                    </m:e>
                    <m:sub>
                      <m:r>
                        <m:t>i</m:t>
                      </m:r>
                    </m:sub>
                  </m:sSub>
                  <m:r>
                    <m:rPr>
                      <m:sty m:val="p"/>
                    </m:rPr>
                    <m:t>+</m:t>
                  </m:r>
                  <m:sSub>
                    <m:e>
                      <m:r>
                        <m:t>β</m:t>
                      </m:r>
                    </m:e>
                    <m:sub>
                      <m:r>
                        <m:t>3</m:t>
                      </m:r>
                    </m:sub>
                  </m:sSub>
                  <m:r>
                    <m:rPr>
                      <m:sty m:val="p"/>
                    </m:rPr>
                    <m:t>log</m:t>
                  </m:r>
                  <m:d>
                    <m:dPr>
                      <m:begChr m:val="("/>
                      <m:endChr m:val=")"/>
                      <m:sepChr m:val=""/>
                      <m:grow/>
                    </m:dPr>
                    <m:e>
                      <m:sSub>
                        <m:e>
                          <m:r>
                            <m:rPr>
                              <m:nor/>
                              <m:sty m:val="p"/>
                            </m:rPr>
                            <m:t>objects</m:t>
                          </m:r>
                        </m:e>
                        <m:sub>
                          <m:r>
                            <m:t>i</m:t>
                          </m:r>
                        </m:sub>
                      </m:sSub>
                    </m:e>
                  </m:d>
                </m:e>
              </m:d>
            </m:e>
          </m:d>
          <m:r>
            <m:rPr>
              <m:sty m:val="p"/>
            </m:rPr>
            <m:t>.</m:t>
          </m:r>
        </m:oMath>
      </m:oMathPara>
    </w:p>
    <w:p>
      <w:pPr>
        <w:pStyle w:val="FirstParagraph"/>
      </w:pPr>
      <w:r>
        <w:rPr>
          <w:bCs/>
          <w:b/>
        </w:rPr>
        <w:t xml:space="preserve">Question: does the group effect on sign-type richness survive after accounting for sampling effort?</w:t>
      </w:r>
    </w:p>
    <w:tbl>
      <w:tblPr>
        <w:tblStyle w:val="Table"/>
        <w:tblW w:type="pct" w:w="5000"/>
        <w:tblLook w:firstRow="0" w:lastRow="0" w:firstColumn="0" w:lastColumn="0" w:noHBand="0" w:noVBand="0" w:val="0000"/>
        <w:jc w:val="start"/>
        <w:tblLayout w:type="fixed"/>
      </w:tblPr>
      <w:tblGrid>
        <w:gridCol w:w="7920"/>
      </w:tblGrid>
      <w:tr>
        <w:tc>
          <w:tcPr/>
          <w:bookmarkStart w:id="245" w:name="tbl-mixed-nb"/>
          <w:tbl>
            <w:tblPr>
              <w:tblStyle w:val="Table"/>
              <w:tblW w:type="pct" w:w="5000"/>
              <w:tblLook w:firstRow="1" w:lastRow="0" w:firstColumn="0" w:lastColumn="0" w:noHBand="0" w:noVBand="0" w:val="0020"/>
              <w:jc w:val="start"/>
              <w:tblLayout w:type="fixed"/>
            </w:tblPr>
            <w:tblGrid>
              <w:gridCol w:w="2554"/>
              <w:gridCol w:w="1149"/>
              <w:gridCol w:w="1277"/>
              <w:gridCol w:w="1405"/>
              <w:gridCol w:w="1532"/>
            </w:tblGrid>
            <w:tr>
              <w:trPr>
                <w:tblHeader w:val="true"/>
              </w:trPr>
              <w:tc>
                <w:tcPr/>
                <w:p>
                  <w:pPr>
                    <w:pStyle w:val="Compact"/>
                    <w:jc w:val="left"/>
                    <w:jc w:val="center"/>
                  </w:pPr>
                  <w:r>
                    <w:t xml:space="preserve">Term</w:t>
                  </w:r>
                </w:p>
              </w:tc>
              <w:tc>
                <w:tcPr/>
                <w:p>
                  <w:pPr>
                    <w:pStyle w:val="Compact"/>
                    <w:jc w:val="right"/>
                    <w:jc w:val="center"/>
                  </w:pPr>
                  <w:r>
                    <w:t xml:space="preserve">log-rate (offset)</w:t>
                  </w:r>
                </w:p>
              </w:tc>
              <w:tc>
                <w:tcPr/>
                <w:p>
                  <w:pPr>
                    <w:pStyle w:val="Compact"/>
                    <w:jc w:val="right"/>
                    <w:jc w:val="center"/>
                  </w:pPr>
                  <w:r>
                    <w:t xml:space="preserve">rate ratio (offset)</w:t>
                  </w:r>
                </w:p>
              </w:tc>
              <w:tc>
                <w:tcPr/>
                <w:p>
                  <w:pPr>
                    <w:pStyle w:val="Compact"/>
                    <w:jc w:val="right"/>
                    <w:jc w:val="center"/>
                  </w:pPr>
                  <w:r>
                    <w:t xml:space="preserve">log-rate (free slope)</w:t>
                  </w:r>
                </w:p>
              </w:tc>
              <w:tc>
                <w:tcPr/>
                <w:p>
                  <w:pPr>
                    <w:pStyle w:val="Compact"/>
                    <w:jc w:val="right"/>
                    <w:jc w:val="center"/>
                  </w:pPr>
                  <w:r>
                    <w:t xml:space="preserve">rate ratio (free slope)</w:t>
                  </w:r>
                </w:p>
              </w:tc>
            </w:tr>
            <w:tr>
              <w:tc>
                <w:tcPr/>
                <w:p>
                  <w:pPr>
                    <w:pStyle w:val="Compact"/>
                    <w:jc w:val="left"/>
                    <w:jc w:val="center"/>
                  </w:pPr>
                  <w:r>
                    <w:t xml:space="preserve">Intercept</w:t>
                  </w:r>
                </w:p>
              </w:tc>
              <w:tc>
                <w:tcPr/>
                <w:p>
                  <w:pPr>
                    <w:pStyle w:val="Compact"/>
                    <w:jc w:val="right"/>
                    <w:jc w:val="center"/>
                  </w:pPr>
                  <w:r>
                    <w:t xml:space="preserve">-0.455</w:t>
                  </w:r>
                </w:p>
              </w:tc>
              <w:tc>
                <w:tcPr/>
                <w:p>
                  <w:pPr>
                    <w:pStyle w:val="Compact"/>
                    <w:jc w:val="right"/>
                    <w:jc w:val="center"/>
                  </w:pPr>
                  <w:r>
                    <w:t xml:space="preserve">0.635</w:t>
                  </w:r>
                </w:p>
              </w:tc>
              <w:tc>
                <w:tcPr/>
                <w:p>
                  <w:pPr>
                    <w:pStyle w:val="Compact"/>
                    <w:jc w:val="right"/>
                    <w:jc w:val="center"/>
                  </w:pPr>
                  <w:r>
                    <w:t xml:space="preserve">0.085</w:t>
                  </w:r>
                </w:p>
              </w:tc>
              <w:tc>
                <w:tcPr/>
                <w:p>
                  <w:pPr>
                    <w:pStyle w:val="Compact"/>
                    <w:jc w:val="right"/>
                    <w:jc w:val="center"/>
                  </w:pPr>
                  <w:r>
                    <w:t xml:space="preserve">1.089</w:t>
                  </w:r>
                </w:p>
              </w:tc>
            </w:tr>
            <w:tr>
              <w:tc>
                <w:tcPr/>
                <w:p>
                  <w:pPr>
                    <w:pStyle w:val="Compact"/>
                    <w:jc w:val="left"/>
                    <w:jc w:val="center"/>
                  </w:pPr>
                  <w:r>
                    <w:t xml:space="preserve">Group (broad vs restricted)</w:t>
                  </w:r>
                </w:p>
              </w:tc>
              <w:tc>
                <w:tcPr/>
                <w:p>
                  <w:pPr>
                    <w:pStyle w:val="Compact"/>
                    <w:jc w:val="right"/>
                    <w:jc w:val="center"/>
                  </w:pPr>
                  <w:r>
                    <w:t xml:space="preserve">-0.329</w:t>
                  </w:r>
                </w:p>
              </w:tc>
              <w:tc>
                <w:tcPr/>
                <w:p>
                  <w:pPr>
                    <w:pStyle w:val="Compact"/>
                    <w:jc w:val="right"/>
                    <w:jc w:val="center"/>
                  </w:pPr>
                  <w:r>
                    <w:t xml:space="preserve">0.720</w:t>
                  </w:r>
                </w:p>
              </w:tc>
              <w:tc>
                <w:tcPr/>
                <w:p>
                  <w:pPr>
                    <w:pStyle w:val="Compact"/>
                    <w:jc w:val="right"/>
                    <w:jc w:val="center"/>
                  </w:pPr>
                  <w:r>
                    <w:t xml:space="preserve">0.838</w:t>
                  </w:r>
                </w:p>
              </w:tc>
              <w:tc>
                <w:tcPr/>
                <w:p>
                  <w:pPr>
                    <w:pStyle w:val="Compact"/>
                    <w:jc w:val="right"/>
                    <w:jc w:val="center"/>
                  </w:pPr>
                  <w:r>
                    <w:t xml:space="preserve">2.311</w:t>
                  </w:r>
                </w:p>
              </w:tc>
            </w:tr>
            <w:tr>
              <w:tc>
                <w:tcPr/>
                <w:p>
                  <w:pPr>
                    <w:pStyle w:val="Compact"/>
                    <w:jc w:val="left"/>
                    <w:jc w:val="center"/>
                  </w:pPr>
                  <w:r>
                    <w:t xml:space="preserve">Phase (Aur-P2 vs Aur-P1)</w:t>
                  </w:r>
                </w:p>
              </w:tc>
              <w:tc>
                <w:tcPr/>
                <w:p>
                  <w:pPr>
                    <w:pStyle w:val="Compact"/>
                    <w:jc w:val="right"/>
                    <w:jc w:val="center"/>
                  </w:pPr>
                  <w:r>
                    <w:t xml:space="preserve">0.238</w:t>
                  </w:r>
                </w:p>
              </w:tc>
              <w:tc>
                <w:tcPr/>
                <w:p>
                  <w:pPr>
                    <w:pStyle w:val="Compact"/>
                    <w:jc w:val="right"/>
                    <w:jc w:val="center"/>
                  </w:pPr>
                  <w:r>
                    <w:t xml:space="preserve">1.269</w:t>
                  </w:r>
                </w:p>
              </w:tc>
              <w:tc>
                <w:tcPr/>
                <w:p>
                  <w:pPr>
                    <w:pStyle w:val="Compact"/>
                    <w:jc w:val="right"/>
                    <w:jc w:val="center"/>
                  </w:pPr>
                  <w:r>
                    <w:t xml:space="preserve">0.130</w:t>
                  </w:r>
                </w:p>
              </w:tc>
              <w:tc>
                <w:tcPr/>
                <w:p>
                  <w:pPr>
                    <w:pStyle w:val="Compact"/>
                    <w:jc w:val="right"/>
                    <w:jc w:val="center"/>
                  </w:pPr>
                  <w:r>
                    <w:t xml:space="preserve">1.139</w:t>
                  </w:r>
                </w:p>
              </w:tc>
            </w:tr>
            <w:tr>
              <w:tc>
                <w:tcPr/>
                <w:p>
                  <w:pPr>
                    <w:pStyle w:val="Compact"/>
                    <w:jc w:val="left"/>
                    <w:jc w:val="center"/>
                  </w:pPr>
                  <w:r>
                    <w:t xml:space="preserve">log(objects) exponent (free-slope only)</w:t>
                  </w:r>
                </w:p>
              </w:tc>
              <w:tc>
                <w:tcPr/>
                <w:p>
                  <w:pPr>
                    <w:pStyle w:val="Compact"/>
                    <w:jc w:val="right"/>
                    <w:jc w:val="center"/>
                  </w:pPr>
                  <w:r>
                    <w:t xml:space="preserve">NA</w:t>
                  </w:r>
                </w:p>
              </w:tc>
              <w:tc>
                <w:tcPr/>
                <w:p>
                  <w:pPr>
                    <w:pStyle w:val="Compact"/>
                    <w:jc w:val="right"/>
                    <w:jc w:val="center"/>
                  </w:pPr>
                  <w:r>
                    <w:t xml:space="preserve">NA</w:t>
                  </w:r>
                </w:p>
              </w:tc>
              <w:tc>
                <w:tcPr/>
                <w:p>
                  <w:pPr>
                    <w:pStyle w:val="Compact"/>
                    <w:jc w:val="right"/>
                    <w:jc w:val="center"/>
                  </w:pPr>
                  <w:r>
                    <w:t xml:space="preserve">0.377</w:t>
                  </w:r>
                </w:p>
              </w:tc>
              <w:tc>
                <w:tcPr/>
                <w:p>
                  <w:pPr>
                    <w:pStyle w:val="Compact"/>
                    <w:jc w:val="right"/>
                    <w:jc w:val="center"/>
                  </w:pPr>
                  <w:r>
                    <w:t xml:space="preserve">1.459</w:t>
                  </w:r>
                </w:p>
              </w:tc>
            </w:tr>
          </w:tbl>
          <w:p>
            <w:pPr>
              <w:jc w:val="center"/>
            </w:pPr>
            <w:pPr>
              <w:jc w:val="start"/>
              <w:spacing w:before="200"/>
              <w:pStyle w:val="ImageCaption"/>
            </w:pPr>
            <w:r>
              <w:t xml:space="preserve">Table S 44: Negative-binomial regressions of per-site sign-type richness: offset specification (richness-effort exponent fixed at 1) versus free-slope specification (exponent estimated). A non-significant group coefficient under the offset does not by itself show the richness gap is explained by object count, because the fixed exponent mis-specifies the saturating richness-effort relationship.</w:t>
            </w:r>
          </w:p>
          <w:bookmarkEnd w:id="245"/>
        </w:tc>
      </w:tr>
    </w:tbl>
    <w:bookmarkEnd w:id="246"/>
    <w:bookmarkStart w:id="247" w:name="interpretation-20"/>
    <w:p>
      <w:pPr>
        <w:pStyle w:val="Heading3"/>
      </w:pPr>
      <w:r>
        <w:t xml:space="preserve">Interpretation</w:t>
      </w:r>
    </w:p>
    <w:p>
      <w:pPr>
        <w:pStyle w:val="FirstParagraph"/>
      </w:pPr>
      <w:r>
        <w:rPr>
          <w:bCs/>
          <w:b/>
        </w:rPr>
        <w:t xml:space="preserve">Question: does the group effect on sign-type richness survive after accounting for sampling effort?</w:t>
      </w:r>
      <w:r>
        <w:t xml:space="preserve"> </w:t>
      </w:r>
      <w:r>
        <w:t xml:space="preserve">The answer depends on the specification, which is itself the finding. Under the offset specification the group coefficient is -0.329 (rate ratio 0.72, p = 0.292), i.e. non-significant and even slightly</w:t>
      </w:r>
      <w:r>
        <w:t xml:space="preserve"> </w:t>
      </w:r>
      <w:r>
        <w:rPr>
          <w:iCs/>
          <w:i/>
        </w:rPr>
        <w:t xml:space="preserve">negative</w:t>
      </w:r>
      <w:r>
        <w:t xml:space="preserve">. Under the free-slope specification the estimated richness-effort exponent is 0.377 (95% CI 0.228–0.528), which excludes 1: richness saturates with object count, so the offset’s proportionality assumption is rejected on these data and its rate ratio is biased against the large broad-group sites. With the exponent freed, broad-range sites are richer than restricted-range sites at equal object count (rate ratio 2.311, p = 0.003). This reversal shows the offset-based</w:t>
      </w:r>
      <w:r>
        <w:t xml:space="preserve"> </w:t>
      </w:r>
      <w:r>
        <w:t xml:space="preserve">“</w:t>
      </w:r>
      <w:r>
        <w:t xml:space="preserve">sampling-effort artefact</w:t>
      </w:r>
      <w:r>
        <w:t xml:space="preserve">”</w:t>
      </w:r>
      <w:r>
        <w:t xml:space="preserve"> </w:t>
      </w:r>
      <w:r>
        <w:t xml:space="preserve">reading was a property of the mis-specified model, not of the data, and it agrees with</w:t>
      </w:r>
      <w:r>
        <w:t xml:space="preserve"> </w:t>
      </w:r>
      <w:r>
        <w:t xml:space="preserve">Section S1.12.4</w:t>
      </w:r>
      <w:r>
        <w:t xml:space="preserve">, where the contrast persists among the sites assessable at equal coverage.</w:t>
      </w:r>
      <w:r>
        <w:t xml:space="preserve"> </w:t>
      </w:r>
      <w:r>
        <w:rPr>
          <w:bCs/>
          <w:b/>
        </w:rPr>
        <w:t xml:space="preserve">Caveat:</w:t>
      </w:r>
      <w:r>
        <w:t xml:space="preserve"> </w:t>
      </w:r>
      <w:r>
        <w:t xml:space="preserve">the free-slope fit has three predictors on 29 site-phase units with group strongly collinear with object count, and the dispersion fit reached its iteration limit, so its intervals are approximate; it is reported as a corrected specification, not a precise effect estimate.</w:t>
      </w:r>
      <w:r>
        <w:t xml:space="preserve"> </w:t>
      </w:r>
      <w:r>
        <w:rPr>
          <w:bCs/>
          <w:b/>
        </w:rPr>
        <w:t xml:space="preserve">Answer:</w:t>
      </w:r>
      <w:r>
        <w:t xml:space="preserve"> </w:t>
      </w:r>
      <w:r>
        <w:t xml:space="preserve">the raw richness gap is not distinguishable from a genuine group difference once saturating sampling effort is accounted for; a non-significant offset coefficient cannot be read as positive evidence that effort explains the gap.</w:t>
      </w:r>
    </w:p>
    <w:bookmarkEnd w:id="247"/>
    <w:bookmarkEnd w:id="248"/>
    <w:bookmarkStart w:id="256" w:name="sec-s12-5"/>
    <w:p>
      <w:pPr>
        <w:pStyle w:val="Heading2"/>
      </w:pPr>
      <w:r>
        <w:t xml:space="preserve">S1.12.6 Equal-effort pool comparison (iNEXT)</w:t>
      </w:r>
    </w:p>
    <w:bookmarkStart w:id="254" w:name="rationale-22"/>
    <w:p>
      <w:pPr>
        <w:pStyle w:val="Heading3"/>
      </w:pPr>
      <w:r>
        <w:t xml:space="preserve">Rationale</w:t>
      </w:r>
    </w:p>
    <w:p>
      <w:pPr>
        <w:pStyle w:val="FirstParagraph"/>
      </w:pPr>
      <w:r>
        <w:t xml:space="preserve">The Conclusion states that the sign-type pool contracts from Aur-P1 (26 types) to Aur-P2 (15 types), consistent with cultural drift in small populations. This raw count compares pools sampled with very different effort: 346 objects at 20 sites in Aur-P1 versus 63 objects at 9 sites in Aur-P2. It is also confounded with object classes that occur only in Aur-P1, such as limestone blocs, tubes and figurine classes that carry the most frequent Aur-P1-only sign types (vulva, zoomorph, cupule). A smaller pool in Aur-P2 is therefore expected from fewer objects alone, without any phase-level change in cultural repertoire.</w:t>
      </w:r>
    </w:p>
    <w:p>
      <w:pPr>
        <w:pStyle w:val="BodyText"/>
      </w:pPr>
      <w:r>
        <w:t xml:space="preserve">We test the contraction at equal effort with incidence-based rarefaction and extrapolation using</w:t>
      </w:r>
      <w:r>
        <w:t xml:space="preserve"> </w:t>
      </w:r>
      <w:r>
        <w:rPr>
          <w:rStyle w:val="VerbatimChar"/>
        </w:rPr>
        <w:t xml:space="preserve">iNEXT</w:t>
      </w:r>
      <w:r>
        <w:t xml:space="preserve"> </w:t>
      </w:r>
      <w:r>
        <w:t xml:space="preserve">[24,26]</w:t>
      </w:r>
      <w:r>
        <w:t xml:space="preserve">. Each mobile object is a sampling unit and each geometric sign type is a species. For each phase the incidence frequency of a sign type is the number of objects that carry it.</w:t>
      </w:r>
      <w:r>
        <w:t xml:space="preserve"> </w:t>
      </w:r>
      <w:r>
        <w:rPr>
          <w:rStyle w:val="VerbatimChar"/>
        </w:rPr>
        <w:t xml:space="preserve">iNEXT</w:t>
      </w:r>
      <w:r>
        <w:t xml:space="preserve"> </w:t>
      </w:r>
      <w:r>
        <w:t xml:space="preserve">with</w:t>
      </w:r>
      <w:r>
        <w:t xml:space="preserve"> </w:t>
      </w:r>
      <w:r>
        <w:rPr>
          <w:rStyle w:val="VerbatimChar"/>
        </w:rPr>
        <w:t xml:space="preserve">datatype = "incidence_freq"</w:t>
      </w:r>
      <w:r>
        <w:t xml:space="preserve"> </w:t>
      </w:r>
      <w:r>
        <w:t xml:space="preserve">standardises richness by sample completeness and returns 95% confidence intervals from 200 bootstrap replicates. We report two comparisons: (a) all object types and (b) restricted to object types present in both phases, which removes the class confound as a check.</w:t>
      </w:r>
    </w:p>
    <w:p>
      <w:pPr>
        <w:pStyle w:val="BodyText"/>
      </w:pPr>
      <w:r>
        <w:rPr>
          <w:bCs/>
          <w:b/>
        </w:rPr>
        <w:t xml:space="preserve">Question: does the raw 26 vs 15 pool contraction survive equal effort?</w:t>
      </w:r>
    </w:p>
    <w:tbl>
      <w:tblPr>
        <w:tblStyle w:val="Table"/>
        <w:tblW w:type="pct" w:w="5000"/>
        <w:tblLook w:firstRow="0" w:lastRow="0" w:firstColumn="0" w:lastColumn="0" w:noHBand="0" w:noVBand="0" w:val="0000"/>
        <w:jc w:val="start"/>
        <w:tblLayout w:type="fixed"/>
      </w:tblPr>
      <w:tblGrid>
        <w:gridCol w:w="7920"/>
      </w:tblGrid>
      <w:tr>
        <w:tc>
          <w:tcPr/>
          <w:bookmarkStart w:id="249" w:name="tbl-pool-inext"/>
          <w:tbl>
            <w:tblPr>
              <w:tblStyle w:val="Table"/>
              <w:tblW w:type="pct" w:w="5000"/>
              <w:tblLook w:firstRow="1" w:lastRow="0" w:firstColumn="0" w:lastColumn="0" w:noHBand="0" w:noVBand="0" w:val="0020"/>
              <w:jc w:val="start"/>
              <w:tblLayout w:type="fixed"/>
            </w:tblPr>
            <w:tblGrid>
              <w:gridCol w:w="1952"/>
              <w:gridCol w:w="759"/>
              <w:gridCol w:w="1301"/>
              <w:gridCol w:w="1518"/>
              <w:gridCol w:w="542"/>
              <w:gridCol w:w="542"/>
              <w:gridCol w:w="1301"/>
            </w:tblGrid>
            <w:tr>
              <w:trPr>
                <w:tblHeader w:val="true"/>
              </w:trPr>
              <w:tc>
                <w:tcPr/>
                <w:p>
                  <w:pPr>
                    <w:pStyle w:val="Compact"/>
                    <w:jc w:val="left"/>
                    <w:jc w:val="center"/>
                  </w:pPr>
                  <w:r>
                    <w:t xml:space="preserve">Object-type set</w:t>
                  </w:r>
                </w:p>
              </w:tc>
              <w:tc>
                <w:tcPr/>
                <w:p>
                  <w:pPr>
                    <w:pStyle w:val="Compact"/>
                    <w:jc w:val="left"/>
                    <w:jc w:val="center"/>
                  </w:pPr>
                  <w:r>
                    <w:t xml:space="preserve">Phase</w:t>
                  </w:r>
                </w:p>
              </w:tc>
              <w:tc>
                <w:tcPr/>
                <w:p>
                  <w:pPr>
                    <w:pStyle w:val="Compact"/>
                    <w:jc w:val="right"/>
                    <w:jc w:val="center"/>
                  </w:pPr>
                  <w:r>
                    <w:t xml:space="preserve">m (objects)</w:t>
                  </w:r>
                </w:p>
              </w:tc>
              <w:tc>
                <w:tcPr/>
                <w:p>
                  <w:pPr>
                    <w:pStyle w:val="Compact"/>
                    <w:jc w:val="right"/>
                    <w:jc w:val="center"/>
                  </w:pPr>
                  <w:r>
                    <w:t xml:space="preserve">Richness (qD)</w:t>
                  </w:r>
                </w:p>
              </w:tc>
              <w:tc>
                <w:tcPr/>
                <w:p>
                  <w:pPr>
                    <w:pStyle w:val="Compact"/>
                    <w:jc w:val="right"/>
                    <w:jc w:val="center"/>
                  </w:pPr>
                  <w:r>
                    <w:t xml:space="preserve">LCL</w:t>
                  </w:r>
                </w:p>
              </w:tc>
              <w:tc>
                <w:tcPr/>
                <w:p>
                  <w:pPr>
                    <w:pStyle w:val="Compact"/>
                    <w:jc w:val="right"/>
                    <w:jc w:val="center"/>
                  </w:pPr>
                  <w:r>
                    <w:t xml:space="preserve">UCL</w:t>
                  </w:r>
                </w:p>
              </w:tc>
              <w:tc>
                <w:tcPr/>
                <w:p>
                  <w:pPr>
                    <w:pStyle w:val="Compact"/>
                    <w:jc w:val="left"/>
                    <w:jc w:val="center"/>
                  </w:pPr>
                  <w:r>
                    <w:t xml:space="preserve">Method</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16.9</w:t>
                  </w:r>
                </w:p>
              </w:tc>
              <w:tc>
                <w:tcPr/>
                <w:p>
                  <w:pPr>
                    <w:pStyle w:val="Compact"/>
                    <w:jc w:val="right"/>
                    <w:jc w:val="center"/>
                  </w:pPr>
                  <w:r>
                    <w:t xml:space="preserve">15.5</w:t>
                  </w:r>
                </w:p>
              </w:tc>
              <w:tc>
                <w:tcPr/>
                <w:p>
                  <w:pPr>
                    <w:pStyle w:val="Compact"/>
                    <w:jc w:val="right"/>
                    <w:jc w:val="center"/>
                  </w:pPr>
                  <w:r>
                    <w:t xml:space="preserve">18.3</w:t>
                  </w:r>
                </w:p>
              </w:tc>
              <w:tc>
                <w:tcPr/>
                <w:p>
                  <w:pPr>
                    <w:pStyle w:val="Compact"/>
                    <w:jc w:val="left"/>
                    <w:jc w:val="center"/>
                  </w:pPr>
                  <w:r>
                    <w:t xml:space="preserve">Rarefaction</w:t>
                  </w:r>
                </w:p>
              </w:tc>
            </w:tr>
            <w:tr>
              <w:tc>
                <w:tcPr/>
                <w:p>
                  <w:pPr>
                    <w:pStyle w:val="Compact"/>
                    <w:jc w:val="left"/>
                    <w:jc w:val="center"/>
                  </w:pPr>
                  <w:r>
                    <w:t xml:space="preserve">all types</w:t>
                  </w:r>
                </w:p>
              </w:tc>
              <w:tc>
                <w:tcPr/>
                <w:p>
                  <w:pPr>
                    <w:pStyle w:val="Compact"/>
                    <w:jc w:val="left"/>
                    <w:jc w:val="center"/>
                  </w:pPr>
                  <w:r>
                    <w:t xml:space="preserve">Aur-P1</w:t>
                  </w:r>
                </w:p>
              </w:tc>
              <w:tc>
                <w:tcPr/>
                <w:p>
                  <w:pPr>
                    <w:pStyle w:val="Compact"/>
                    <w:jc w:val="right"/>
                    <w:jc w:val="center"/>
                  </w:pPr>
                  <w:r>
                    <w:t xml:space="preserve">346</w:t>
                  </w:r>
                </w:p>
              </w:tc>
              <w:tc>
                <w:tcPr/>
                <w:p>
                  <w:pPr>
                    <w:pStyle w:val="Compact"/>
                    <w:jc w:val="right"/>
                    <w:jc w:val="center"/>
                  </w:pPr>
                  <w:r>
                    <w:t xml:space="preserve">26.0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11.5</w:t>
                  </w:r>
                </w:p>
              </w:tc>
              <w:tc>
                <w:tcPr/>
                <w:p>
                  <w:pPr>
                    <w:pStyle w:val="Compact"/>
                    <w:jc w:val="right"/>
                    <w:jc w:val="center"/>
                  </w:pPr>
                  <w:r>
                    <w:t xml:space="preserve">18.5</w:t>
                  </w:r>
                </w:p>
              </w:tc>
              <w:tc>
                <w:tcPr/>
                <w:p>
                  <w:pPr>
                    <w:pStyle w:val="Compact"/>
                    <w:jc w:val="left"/>
                    <w:jc w:val="center"/>
                  </w:pPr>
                  <w:r>
                    <w:t xml:space="preserve">Observed</w:t>
                  </w:r>
                </w:p>
              </w:tc>
            </w:tr>
            <w:tr>
              <w:tc>
                <w:tcPr/>
                <w:p>
                  <w:pPr>
                    <w:pStyle w:val="Compact"/>
                    <w:jc w:val="left"/>
                    <w:jc w:val="center"/>
                  </w:pPr>
                  <w:r>
                    <w:t xml:space="preserve">all types</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63</w:t>
                  </w:r>
                </w:p>
              </w:tc>
              <w:tc>
                <w:tcPr/>
                <w:p>
                  <w:pPr>
                    <w:pStyle w:val="Compact"/>
                    <w:jc w:val="right"/>
                    <w:jc w:val="center"/>
                  </w:pPr>
                  <w:r>
                    <w:t xml:space="preserve">15.4</w:t>
                  </w:r>
                </w:p>
              </w:tc>
              <w:tc>
                <w:tcPr/>
                <w:p>
                  <w:pPr>
                    <w:pStyle w:val="Compact"/>
                    <w:jc w:val="right"/>
                    <w:jc w:val="center"/>
                  </w:pPr>
                  <w:r>
                    <w:t xml:space="preserve">13.6</w:t>
                  </w:r>
                </w:p>
              </w:tc>
              <w:tc>
                <w:tcPr/>
                <w:p>
                  <w:pPr>
                    <w:pStyle w:val="Compact"/>
                    <w:jc w:val="right"/>
                    <w:jc w:val="center"/>
                  </w:pPr>
                  <w:r>
                    <w:t xml:space="preserve">17.1</w:t>
                  </w:r>
                </w:p>
              </w:tc>
              <w:tc>
                <w:tcPr/>
                <w:p>
                  <w:pPr>
                    <w:pStyle w:val="Compact"/>
                    <w:jc w:val="left"/>
                    <w:jc w:val="center"/>
                  </w:pPr>
                  <w:r>
                    <w:t xml:space="preserve">Rarefaction</w:t>
                  </w:r>
                </w:p>
              </w:tc>
            </w:tr>
            <w:tr>
              <w:tc>
                <w:tcPr/>
                <w:p>
                  <w:pPr>
                    <w:pStyle w:val="Compact"/>
                    <w:jc w:val="left"/>
                    <w:jc w:val="center"/>
                  </w:pPr>
                  <w:r>
                    <w:t xml:space="preserve">shared types only</w:t>
                  </w:r>
                </w:p>
              </w:tc>
              <w:tc>
                <w:tcPr/>
                <w:p>
                  <w:pPr>
                    <w:pStyle w:val="Compact"/>
                    <w:jc w:val="left"/>
                    <w:jc w:val="center"/>
                  </w:pPr>
                  <w:r>
                    <w:t xml:space="preserve">Aur-P1</w:t>
                  </w:r>
                </w:p>
              </w:tc>
              <w:tc>
                <w:tcPr/>
                <w:p>
                  <w:pPr>
                    <w:pStyle w:val="Compact"/>
                    <w:jc w:val="right"/>
                    <w:jc w:val="center"/>
                  </w:pPr>
                  <w:r>
                    <w:t xml:space="preserve">220</w:t>
                  </w:r>
                </w:p>
              </w:tc>
              <w:tc>
                <w:tcPr/>
                <w:p>
                  <w:pPr>
                    <w:pStyle w:val="Compact"/>
                    <w:jc w:val="right"/>
                    <w:jc w:val="center"/>
                  </w:pPr>
                  <w:r>
                    <w:t xml:space="preserve">22.0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11.3</w:t>
                  </w:r>
                </w:p>
              </w:tc>
              <w:tc>
                <w:tcPr/>
                <w:p>
                  <w:pPr>
                    <w:pStyle w:val="Compact"/>
                    <w:jc w:val="right"/>
                    <w:jc w:val="center"/>
                  </w:pPr>
                  <w:r>
                    <w:t xml:space="preserve">18.7</w:t>
                  </w:r>
                </w:p>
              </w:tc>
              <w:tc>
                <w:tcPr/>
                <w:p>
                  <w:pPr>
                    <w:pStyle w:val="Compact"/>
                    <w:jc w:val="left"/>
                    <w:jc w:val="center"/>
                  </w:pPr>
                  <w:r>
                    <w:t xml:space="preserve">Observed</w:t>
                  </w:r>
                </w:p>
              </w:tc>
            </w:tr>
            <w:tr>
              <w:tc>
                <w:tcPr/>
                <w:p>
                  <w:pPr>
                    <w:pStyle w:val="Compact"/>
                    <w:jc w:val="left"/>
                    <w:jc w:val="center"/>
                  </w:pPr>
                  <w:r>
                    <w:t xml:space="preserve">shared types only</w:t>
                  </w:r>
                </w:p>
              </w:tc>
              <w:tc>
                <w:tcPr/>
                <w:p>
                  <w:pPr>
                    <w:pStyle w:val="Compact"/>
                    <w:jc w:val="left"/>
                    <w:jc w:val="center"/>
                  </w:pPr>
                  <w:r>
                    <w:t xml:space="preserve">Aur-P2</w:t>
                  </w:r>
                </w:p>
              </w:tc>
              <w:tc>
                <w:tcPr/>
                <w:p>
                  <w:pPr>
                    <w:pStyle w:val="Compact"/>
                    <w:jc w:val="right"/>
                    <w:jc w:val="center"/>
                  </w:pPr>
                  <w:r>
                    <w:t xml:space="preserve">63</w:t>
                  </w:r>
                </w:p>
              </w:tc>
              <w:tc>
                <w:tcPr/>
                <w:p>
                  <w:pPr>
                    <w:pStyle w:val="Compact"/>
                    <w:jc w:val="right"/>
                    <w:jc w:val="center"/>
                  </w:pPr>
                  <w:r>
                    <w:t xml:space="preserve">15.0</w:t>
                  </w:r>
                </w:p>
              </w:tc>
              <w:tc>
                <w:tcPr/>
                <w:p>
                  <w:pPr>
                    <w:pStyle w:val="Compact"/>
                    <w:jc w:val="right"/>
                    <w:jc w:val="center"/>
                  </w:pPr>
                  <w:r>
                    <w:t xml:space="preserve">NA</w:t>
                  </w:r>
                </w:p>
              </w:tc>
              <w:tc>
                <w:tcPr/>
                <w:p>
                  <w:pPr>
                    <w:pStyle w:val="Compact"/>
                    <w:jc w:val="right"/>
                    <w:jc w:val="center"/>
                  </w:pPr>
                  <w:r>
                    <w:t xml:space="preserve">NA</w:t>
                  </w:r>
                </w:p>
              </w:tc>
              <w:tc>
                <w:tcPr/>
                <w:p>
                  <w:pPr>
                    <w:pStyle w:val="Compact"/>
                    <w:jc w:val="left"/>
                    <w:jc w:val="center"/>
                  </w:pPr>
                  <w:r>
                    <w:t xml:space="preserve">Observed</w:t>
                  </w:r>
                </w:p>
              </w:tc>
            </w:tr>
          </w:tbl>
          <w:p>
            <w:pPr>
              <w:jc w:val="center"/>
            </w:pPr>
            <w:pPr>
              <w:jc w:val="start"/>
              <w:spacing w:before="200"/>
              <w:pStyle w:val="ImageCaption"/>
            </w:pPr>
            <w:r>
              <w:t xml:space="preserve">Table S 45: Equal-effort sign-type pool comparison with iNEXT (incidence_freq, q = 0, 200 bootstraps). Observed pools are 26 types (Aur-P1, 346 objects) and 15 types (Aur-P2, 63 objects). Rarefied Aur-P1 to 63 objects and extrapolated Aur-P2 are shown with 95% confidence intervals; a second set restricts to object types present in both phases (shared types only).</w:t>
            </w:r>
          </w:p>
          <w:bookmarkEnd w:id="249"/>
        </w:tc>
      </w:tr>
    </w:tbl>
    <w:tbl>
      <w:tblPr>
        <w:tblStyle w:val="Table"/>
        <w:tblW w:type="pct" w:w="5000"/>
        <w:tblLook w:firstRow="0" w:lastRow="0" w:firstColumn="0" w:lastColumn="0" w:noHBand="0" w:noVBand="0" w:val="0000"/>
        <w:jc w:val="start"/>
        <w:tblLayout w:type="fixed"/>
      </w:tblPr>
      <w:tblGrid>
        <w:gridCol w:w="7920"/>
      </w:tblGrid>
      <w:tr>
        <w:tc>
          <w:tcPr/>
          <w:bookmarkStart w:id="253" w:name="fig-pool-inext"/>
          <w:p>
            <w:pPr>
              <w:pStyle w:val="Compact"/>
              <w:jc w:val="center"/>
            </w:pPr>
            <w:r>
              <w:drawing>
                <wp:inline>
                  <wp:extent cx="5943600" cy="3566160"/>
                  <wp:effectExtent b="0" l="0" r="0" t="0"/>
                  <wp:docPr descr="" title="" id="251" name="Picture"/>
                  <a:graphic>
                    <a:graphicData uri="http://schemas.openxmlformats.org/drawingml/2006/picture">
                      <pic:pic>
                        <pic:nvPicPr>
                          <pic:cNvPr descr="S1-supplement-sensitivity_files/figure-docx/fig-pool-inext-1.png" id="252" name="Picture"/>
                          <pic:cNvPicPr>
                            <a:picLocks noChangeArrowheads="1" noChangeAspect="1"/>
                          </pic:cNvPicPr>
                        </pic:nvPicPr>
                        <pic:blipFill>
                          <a:blip r:embed="rId250"/>
                          <a:stretch>
                            <a:fillRect/>
                          </a:stretch>
                        </pic:blipFill>
                        <pic:spPr bwMode="auto">
                          <a:xfrm>
                            <a:off x="0" y="0"/>
                            <a:ext cx="5943600" cy="356616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15: iNEXT rarefaction/extrapolation curves for sign-type richness (Hill number q = 0) by phase. Solid segment is rarefaction, dashed is extrapolation; shading is 95% confidence band (200 bootstraps). Vertical line marks 63 objects (Aur-P2 sample size) where Aur-P1 is rarefied. All types (left) and shared types only (right) are shown.</w:t>
            </w:r>
          </w:p>
          <w:bookmarkEnd w:id="253"/>
        </w:tc>
      </w:tr>
    </w:tbl>
    <w:bookmarkEnd w:id="254"/>
    <w:bookmarkStart w:id="255" w:name="interpretation-21"/>
    <w:p>
      <w:pPr>
        <w:pStyle w:val="Heading3"/>
      </w:pPr>
      <w:r>
        <w:t xml:space="preserve">Interpretation</w:t>
      </w:r>
    </w:p>
    <w:p>
      <w:pPr>
        <w:pStyle w:val="FirstParagraph"/>
      </w:pPr>
      <w:r>
        <w:rPr>
          <w:bCs/>
          <w:b/>
        </w:rPr>
        <w:t xml:space="preserve">Question: does the raw 26 vs 15 pool contraction survive equal effort?</w:t>
      </w:r>
      <w:r>
        <w:t xml:space="preserve"> </w:t>
      </w:r>
      <w:r>
        <w:t xml:space="preserve">No. When Aur-P1 is rarefied to 63 objects, its expected richness drops into the range 16.9 types (95% CI 15.5–18.3), which overlaps the Aur-P2 observed pool of 15 types. The Aur-P2 95% interval extended to the same effort likewise overlaps.</w:t>
      </w:r>
    </w:p>
    <w:p>
      <w:pPr>
        <w:pStyle w:val="BodyText"/>
      </w:pPr>
      <w:r>
        <w:t xml:space="preserve">When the comparison is restricted to object types present in both phases, the overlap remains (15.4 vs 15), so limestone blocs, tubes and figurines do not create the effect.</w:t>
      </w:r>
    </w:p>
    <w:p>
      <w:pPr>
        <w:pStyle w:val="BodyText"/>
      </w:pPr>
      <w:r>
        <w:rPr>
          <w:bCs/>
          <w:b/>
        </w:rPr>
        <w:t xml:space="preserve">Answer:</w:t>
      </w:r>
      <w:r>
        <w:t xml:space="preserve"> </w:t>
      </w:r>
      <w:r>
        <w:t xml:space="preserve">the raw pool difference is not distinguishable from sampling variation at equal object count or equal coverage. The raw 26 vs 15 count reflects 346 vs 63 objects and phase-specific object classes, not a demonstrated phase-level contraction.</w:t>
      </w:r>
    </w:p>
    <w:bookmarkEnd w:id="255"/>
    <w:bookmarkEnd w:id="256"/>
    <w:bookmarkStart w:id="266" w:name="sec-s12-6"/>
    <w:p>
      <w:pPr>
        <w:pStyle w:val="Heading2"/>
      </w:pPr>
      <w:r>
        <w:t xml:space="preserve">S1.12.7 Figurine Exclusion</w:t>
      </w:r>
    </w:p>
    <w:bookmarkStart w:id="264" w:name="rationale-23"/>
    <w:p>
      <w:pPr>
        <w:pStyle w:val="Heading3"/>
      </w:pPr>
      <w:r>
        <w:t xml:space="preserve">Rationale</w:t>
      </w:r>
    </w:p>
    <w:p>
      <w:pPr>
        <w:pStyle w:val="FirstParagraph"/>
      </w:pPr>
      <w:r>
        <w:t xml:space="preserve">[28]</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 It answers two specific questions:</w:t>
      </w:r>
    </w:p>
    <w:p>
      <w:pPr>
        <w:pStyle w:val="BodyText"/>
      </w:pPr>
      <w:r>
        <w:rPr>
          <w:bCs/>
          <w:b/>
        </w:rPr>
        <w:t xml:space="preserve">Question: does the Aur-P1 greater than Aur-P2 ordering survive when all figurines are excluded?</w:t>
      </w:r>
    </w:p>
    <w:p>
      <w:pPr>
        <w:pStyle w:val="BodyText"/>
      </w:pPr>
      <w:r>
        <w:rPr>
          <w:bCs/>
          <w:b/>
        </w:rPr>
        <w:t xml:space="preserve">Question: does the Aur-P1 greater than Aur-P2 ordering survive when only Vogelherd figurines are excluded?</w:t>
      </w:r>
    </w:p>
    <w:p>
      <w:pPr>
        <w:pStyle w:val="BodyText"/>
      </w:pPr>
      <w:r>
        <w:rPr>
          <w:bCs/>
          <w:b/>
        </w:rPr>
        <w:t xml:space="preserve">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257"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S 46: Distribution of figurine objects across phases and sites. Figurine types include figurine zoomorph, figurine anthropomorph, figurine undet., and possible figurine.</w:t>
            </w:r>
          </w:p>
          <w:bookmarkEnd w:id="257"/>
        </w:tc>
      </w:tr>
    </w:tbl>
    <w:p>
      <w:pPr>
        <w:pStyle w:val="BodyText"/>
      </w:pPr>
      <w:hyperlink w:anchor="tbl-figurine-count">
        <w:r>
          <w:rPr>
            <w:rStyle w:val="Hyperlink"/>
          </w:rPr>
          <w:t xml:space="preserve">Table S 46</w:t>
        </w:r>
      </w:hyperlink>
      <w:r>
        <w:t xml:space="preserve"> </w:t>
      </w:r>
      <w:r>
        <w:t xml:space="preserve">shows that figurines are heavily concentrated at Vogelherd (50 objects), with minor representation at Hohle Fels (4, 4),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 , is driven by these 50 objects at a single site.</w:t>
      </w:r>
    </w:p>
    <w:p>
      <w:pPr>
        <w:pStyle w:val="BodyText"/>
      </w:pPr>
      <w:r>
        <w:rPr>
          <w:bCs/>
          <w:b/>
        </w:rPr>
        <w:t xml:space="preserve">Analysis 1: exclude all figurines.</w:t>
      </w:r>
    </w:p>
    <w:p>
      <w:pPr>
        <w:pStyle w:val="BodyText"/>
      </w:pPr>
      <w:r>
        <w:rPr>
          <w:bCs/>
          <w:b/>
        </w:rPr>
        <w:t xml:space="preserve">Method.</w:t>
      </w:r>
      <w:r>
        <w:t xml:space="preserve"> </w:t>
      </w: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258" w:name="tbl-exclude-figurines"/>
          <w:tbl>
            <w:tblPr>
              <w:tblStyle w:val="Table"/>
              <w:tblW w:type="pct" w:w="5000"/>
              <w:tblLook w:firstRow="1" w:lastRow="0" w:firstColumn="0" w:lastColumn="0" w:noHBand="0" w:noVBand="0" w:val="0020"/>
              <w:jc w:val="start"/>
              <w:tblLayout w:type="fixed"/>
            </w:tblPr>
            <w:tblGrid>
              <w:gridCol w:w="602"/>
              <w:gridCol w:w="516"/>
              <w:gridCol w:w="602"/>
              <w:gridCol w:w="774"/>
              <w:gridCol w:w="1119"/>
              <w:gridCol w:w="1205"/>
              <w:gridCol w:w="1033"/>
              <w:gridCol w:w="2066"/>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Exclude all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all figurines</w:t>
                  </w:r>
                </w:p>
              </w:tc>
            </w:tr>
          </w:tbl>
          <w:p>
            <w:pPr>
              <w:jc w:val="center"/>
            </w:pPr>
            <w:pPr>
              <w:jc w:val="start"/>
              <w:spacing w:before="200"/>
              <w:pStyle w:val="ImageCaption"/>
            </w:pPr>
            <w:r>
              <w:t xml:space="preserve">Table S 47: Network statistics before and after excluding all figurine objects (figurine zoomorph, figurine anthropomorph, figurine undet., and possible figurine). Threshold = 0.2, Jaccard similarity.</w:t>
            </w:r>
          </w:p>
          <w:bookmarkEnd w:id="258"/>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59"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S 48: Number of sites per phase before and after figurine exclusion. Sites are lost when all objects at that site are figurines.</w:t>
            </w:r>
          </w:p>
          <w:bookmarkEnd w:id="259"/>
        </w:tc>
      </w:tr>
    </w:tbl>
    <w:p>
      <w:pPr>
        <w:pStyle w:val="BodyText"/>
      </w:pPr>
      <w:r>
        <w:rPr>
          <w:bCs/>
          <w:b/>
        </w:rPr>
        <w:t xml:space="preserve">Result under all-figurine exclusion.</w:t>
      </w:r>
      <w:r>
        <w:t xml:space="preserve"> </w:t>
      </w:r>
      <w:r>
        <w:t xml:space="preserve">Excluding all 63 figurines has only a small effect on the Aur-P1 network: one edge is lost (75 → 74) and mean degree falls from 7.5 to 7.4, with no sites lost (all 20 sites retained). Aur-P2 is unchanged (mean degree 4.22, 19 edges, 9 sites): the 4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 under figurine exclusion, preserving the main-text ordering Aur-P1 &gt; Aur-P2 (7.4 &gt; 4.22). The Aur-P1 network remains the more connected regardless of figurine inclusion, confirming that its structure is not contingent on figurine-bearing sign assemblages at Vogelherd.</w:t>
      </w:r>
    </w:p>
    <w:p>
      <w:pPr>
        <w:pStyle w:val="BodyText"/>
      </w:pPr>
      <w:r>
        <w:rPr>
          <w:bCs/>
          <w:b/>
        </w:rPr>
        <w:t xml:space="preserve">Analysis 2: exclude Vogelherd figurines only.</w:t>
      </w:r>
    </w:p>
    <w:p>
      <w:pPr>
        <w:pStyle w:val="BodyText"/>
      </w:pPr>
      <w:r>
        <w:rPr>
          <w:bCs/>
          <w:b/>
        </w:rPr>
        <w:t xml:space="preserve">Method.</w:t>
      </w:r>
      <w:r>
        <w:t xml:space="preserve"> </w:t>
      </w: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260" w:name="tbl-vogelherd-exclude"/>
          <w:tbl>
            <w:tblPr>
              <w:tblStyle w:val="Table"/>
              <w:tblW w:type="pct" w:w="5000"/>
              <w:tblLook w:firstRow="1" w:lastRow="0" w:firstColumn="0" w:lastColumn="0" w:noHBand="0" w:noVBand="0" w:val="0020"/>
              <w:jc w:val="start"/>
              <w:tblLayout w:type="fixed"/>
            </w:tblPr>
            <w:tblGrid>
              <w:gridCol w:w="571"/>
              <w:gridCol w:w="489"/>
              <w:gridCol w:w="571"/>
              <w:gridCol w:w="734"/>
              <w:gridCol w:w="1061"/>
              <w:gridCol w:w="1143"/>
              <w:gridCol w:w="979"/>
              <w:gridCol w:w="2367"/>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Baseline (all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Baseline (all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Exclude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Exclude Vogelherd figurines</w:t>
                  </w:r>
                </w:p>
              </w:tc>
            </w:tr>
          </w:tbl>
          <w:p>
            <w:pPr>
              <w:jc w:val="center"/>
            </w:pPr>
            <w:pPr>
              <w:jc w:val="start"/>
              <w:spacing w:before="200"/>
              <w:pStyle w:val="ImageCaption"/>
            </w:pPr>
            <w:r>
              <w:t xml:space="preserve">Table S 49: Network statistics before and after excluding figurines from Vogelherd only. All other figurines (Hohle Fels, Geissenklösterle, Hohlenstein-Stadel, La Ferrassie) are retained. Threshold = 0.2, Jaccard similarity.</w:t>
            </w:r>
          </w:p>
          <w:bookmarkEnd w:id="26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26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S 50: Vogelherd object counts before and after removing figurines. Non-figurine objects at Vogelherd (tools, plaquettes, etc.) are retained.</w:t>
            </w:r>
          </w:p>
          <w:bookmarkEnd w:id="261"/>
        </w:tc>
      </w:tr>
    </w:tbl>
    <w:p>
      <w:pPr>
        <w:pStyle w:val="BodyText"/>
      </w:pPr>
      <w:r>
        <w:rPr>
          <w:bCs/>
          <w:b/>
        </w:rPr>
        <w:t xml:space="preserve">Result under Vogelherd-only exclusion.</w:t>
      </w:r>
      <w:r>
        <w:t xml:space="preserve"> </w:t>
      </w:r>
      <w:r>
        <w:t xml:space="preserve">Removing only Vogelherd’s figurines (50 objects: 173 → 123 in Aur-P1) has a negligible effect on Aur-P1: mean degree drops from 7.5 to 7.4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(4, 4), Geissenklösterle (3), Hohlenstein-Stadel (1), and La Ferrassie (1) do not alter the network structure , including the 4 Hohle Fels figurines assigned to Aur-P2, which leave that phase’s network unchanged , and Vogelherd’s connectivity within Aur-P1 is carried by its 123 non-figurine objects.</w:t>
      </w:r>
    </w:p>
    <w:p>
      <w:pPr>
        <w:pStyle w:val="BodyText"/>
      </w:pPr>
      <w:r>
        <w:rPr>
          <w:bCs/>
          <w:b/>
        </w:rPr>
        <w:t xml:space="preserve">Joint comparison.</w:t>
      </w:r>
    </w:p>
    <w:tbl>
      <w:tblPr>
        <w:tblStyle w:val="Table"/>
        <w:tblW w:type="pct" w:w="5000"/>
        <w:tblLook w:firstRow="0" w:lastRow="0" w:firstColumn="0" w:lastColumn="0" w:noHBand="0" w:noVBand="0" w:val="0000"/>
        <w:jc w:val="start"/>
        <w:tblLayout w:type="fixed"/>
      </w:tblPr>
      <w:tblGrid>
        <w:gridCol w:w="7920"/>
      </w:tblGrid>
      <w:tr>
        <w:tc>
          <w:tcPr/>
          <w:bookmarkStart w:id="262" w:name="tbl-objtype-joint"/>
          <w:tbl>
            <w:tblPr>
              <w:tblStyle w:val="Table"/>
              <w:tblW w:type="pct" w:w="5000"/>
              <w:tblLook w:firstRow="1" w:lastRow="0" w:firstColumn="0" w:lastColumn="0" w:noHBand="0" w:noVBand="0" w:val="0020"/>
              <w:jc w:val="start"/>
              <w:tblLayout w:type="fixed"/>
            </w:tblPr>
            <w:tblGrid>
              <w:gridCol w:w="523"/>
              <w:gridCol w:w="2092"/>
              <w:gridCol w:w="448"/>
              <w:gridCol w:w="523"/>
              <w:gridCol w:w="971"/>
              <w:gridCol w:w="1046"/>
              <w:gridCol w:w="896"/>
              <w:gridCol w:w="141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degree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S 51: Side-by-side comparison of network statistics across all conditions: baseline (all objects), exclude all figurines, and exclude Vogelherd figurines only. The rightmost columns show the percentage change in mean degree from baseline.</w:t>
            </w:r>
          </w:p>
          <w:bookmarkEnd w:id="262"/>
        </w:tc>
      </w:tr>
    </w:tbl>
    <w:p>
      <w:pPr>
        <w:pStyle w:val="BodyText"/>
      </w:pPr>
      <w:r>
        <w:rPr>
          <w:bCs/>
          <w:b/>
        </w:rPr>
        <w:t xml:space="preserve">Joint comparison detail.</w:t>
      </w:r>
      <w:r>
        <w:t xml:space="preserve"> </w:t>
      </w:r>
      <w:r>
        <w:t xml:space="preserve">The joint comparison in</w:t>
      </w:r>
      <w:r>
        <w:t xml:space="preserve"> </w:t>
      </w:r>
      <w:hyperlink w:anchor="tbl-objtype-joint">
        <w:r>
          <w:rPr>
            <w:rStyle w:val="Hyperlink"/>
          </w:rPr>
          <w:t xml:space="preserve">Table S 51</w:t>
        </w:r>
      </w:hyperlink>
      <w:r>
        <w:t xml:space="preserve"> </w:t>
      </w:r>
      <w:r>
        <w:t xml:space="preserve">shows that figurine exclusion has a modest and phase-dependent effect on network structure:</w:t>
      </w:r>
    </w:p>
    <w:tbl>
      <w:tblPr>
        <w:tblStyle w:val="Table"/>
        <w:tblW w:type="pct" w:w="5000"/>
        <w:tblLook w:firstRow="0" w:lastRow="0" w:firstColumn="0" w:lastColumn="0" w:noHBand="0" w:noVBand="0" w:val="0000"/>
        <w:jc w:val="start"/>
        <w:tblLayout w:type="fixed"/>
      </w:tblPr>
      <w:tblGrid>
        <w:gridCol w:w="7920"/>
      </w:tblGrid>
      <w:tr>
        <w:tc>
          <w:tcPr/>
          <w:bookmarkStart w:id="263" w:name="tbl-meandegree-summary"/>
          <w:tbl>
            <w:tblPr>
              <w:tblStyle w:val="Table"/>
              <w:tblW w:type="pct" w:w="5000"/>
              <w:tblLook w:firstRow="1" w:lastRow="0" w:firstColumn="0" w:lastColumn="0" w:noHBand="0" w:noVBand="0" w:val="0020"/>
              <w:jc w:val="start"/>
              <w:tblLayout w:type="fixed"/>
            </w:tblPr>
            <w:tblGrid>
              <w:gridCol w:w="770"/>
              <w:gridCol w:w="2310"/>
              <w:gridCol w:w="1540"/>
              <w:gridCol w:w="770"/>
              <w:gridCol w:w="1760"/>
              <w:gridCol w:w="770"/>
            </w:tblGrid>
            <w:tr>
              <w:trPr>
                <w:tblHeader w:val="true"/>
              </w:trPr>
              <w:tc>
                <w:tcPr/>
                <w:p>
                  <w:pPr>
                    <w:pStyle w:val="Compact"/>
                    <w:jc w:val="left"/>
                    <w:jc w:val="center"/>
                  </w:pPr>
                  <w:r>
                    <w:t xml:space="preserve">Phase</w:t>
                  </w:r>
                </w:p>
              </w:tc>
              <w:tc>
                <w:tcPr/>
                <w:p>
                  <w:pPr>
                    <w:pStyle w:val="Compact"/>
                    <w:jc w:val="left"/>
                    <w:jc w:val="center"/>
                  </w:pPr>
                  <w:r>
                    <w:t xml:space="preserve">Baseline mean degree</w:t>
                  </w:r>
                </w:p>
              </w:tc>
              <w:tc>
                <w:tcPr/>
                <w:p>
                  <w:pPr>
                    <w:pStyle w:val="Compact"/>
                    <w:jc w:val="center"/>
                    <w:jc w:val="center"/>
                  </w:pPr>
                  <w:r>
                    <w:t xml:space="preserve">No figurines</w:t>
                  </w:r>
                </w:p>
              </w:tc>
              <w:tc>
                <w:tcPr/>
                <w:p>
                  <w:pPr>
                    <w:pStyle w:val="Compact"/>
                    <w:jc w:val="center"/>
                    <w:jc w:val="center"/>
                  </w:pPr>
                  <w:r>
                    <w:t xml:space="preserve">Δ</w:t>
                  </w:r>
                </w:p>
              </w:tc>
              <w:tc>
                <w:tcPr/>
                <w:p>
                  <w:pPr>
                    <w:pStyle w:val="Compact"/>
                    <w:jc w:val="center"/>
                    <w:jc w:val="center"/>
                  </w:pPr>
                  <w:r>
                    <w:t xml:space="preserve">Vogelherd only</w:t>
                  </w:r>
                </w:p>
              </w:tc>
              <w:tc>
                <w:tcPr/>
                <w:p>
                  <w:pPr>
                    <w:pStyle w:val="Compact"/>
                    <w:jc w:val="center"/>
                    <w:jc w:val="center"/>
                  </w:pPr>
                  <w:r>
                    <w:t xml:space="preserve">Δ</w:t>
                  </w:r>
                </w:p>
              </w:tc>
            </w:tr>
            <w:tr>
              <w:tc>
                <w:tcPr/>
                <w:p>
                  <w:pPr>
                    <w:pStyle w:val="Compact"/>
                    <w:jc w:val="left"/>
                    <w:jc w:val="center"/>
                  </w:pPr>
                  <w:r>
                    <w:t xml:space="preserve">Aur-P1</w:t>
                  </w:r>
                </w:p>
              </w:tc>
              <w:tc>
                <w:tcPr/>
                <w:p>
                  <w:pPr>
                    <w:pStyle w:val="Compact"/>
                    <w:jc w:val="left"/>
                    <w:jc w:val="center"/>
                  </w:pPr>
                  <w:r>
                    <w:t xml:space="preserve">7.50</w:t>
                  </w:r>
                </w:p>
              </w:tc>
              <w:tc>
                <w:tcPr/>
                <w:p>
                  <w:pPr>
                    <w:pStyle w:val="Compact"/>
                    <w:jc w:val="center"/>
                    <w:jc w:val="center"/>
                  </w:pPr>
                  <w:r>
                    <w:t xml:space="preserve">7.40</w:t>
                  </w:r>
                </w:p>
              </w:tc>
              <w:tc>
                <w:tcPr/>
                <w:p>
                  <w:pPr>
                    <w:pStyle w:val="Compact"/>
                    <w:jc w:val="center"/>
                    <w:jc w:val="center"/>
                  </w:pPr>
                  <w:r>
                    <w:t xml:space="preserve">-1.3%</w:t>
                  </w:r>
                </w:p>
              </w:tc>
              <w:tc>
                <w:tcPr/>
                <w:p>
                  <w:pPr>
                    <w:pStyle w:val="Compact"/>
                    <w:jc w:val="center"/>
                    <w:jc w:val="center"/>
                  </w:pPr>
                  <w:r>
                    <w:t xml:space="preserve">7.40</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4.22</w:t>
                  </w:r>
                </w:p>
              </w:tc>
              <w:tc>
                <w:tcPr/>
                <w:p>
                  <w:pPr>
                    <w:pStyle w:val="Compact"/>
                    <w:jc w:val="center"/>
                    <w:jc w:val="center"/>
                  </w:pPr>
                  <w:r>
                    <w:t xml:space="preserve">4.22</w:t>
                  </w:r>
                </w:p>
              </w:tc>
              <w:tc>
                <w:tcPr/>
                <w:p>
                  <w:pPr>
                    <w:pStyle w:val="Compact"/>
                    <w:jc w:val="center"/>
                    <w:jc w:val="center"/>
                  </w:pPr>
                  <w:r>
                    <w:t xml:space="preserve">0.0%</w:t>
                  </w:r>
                </w:p>
              </w:tc>
              <w:tc>
                <w:tcPr/>
                <w:p>
                  <w:pPr>
                    <w:pStyle w:val="Compact"/>
                    <w:jc w:val="center"/>
                    <w:jc w:val="center"/>
                  </w:pPr>
                  <w:r>
                    <w:t xml:space="preserve">4.22</w:t>
                  </w:r>
                </w:p>
              </w:tc>
              <w:tc>
                <w:tcPr/>
                <w:p>
                  <w:pPr>
                    <w:pStyle w:val="Compact"/>
                    <w:jc w:val="center"/>
                    <w:jc w:val="center"/>
                  </w:pPr>
                  <w:r>
                    <w:t xml:space="preserve">0.0%</w:t>
                  </w:r>
                </w:p>
              </w:tc>
            </w:tr>
          </w:tbl>
          <w:p>
            <w:pPr>
              <w:jc w:val="center"/>
            </w:pPr>
            <w:pPr>
              <w:jc w:val="start"/>
              <w:spacing w:before="200"/>
              <w:pStyle w:val="ImageCaption"/>
            </w:pPr>
            <w:r>
              <w:t xml:space="preserve">Table S 52: Mean degree by figurine-exclusion condition, with percentage change from baseline. Reproduced directly from the joint comparison in</w:t>
            </w:r>
            <w:r>
              <w:t xml:space="preserve"> </w:t>
            </w:r>
            <w:hyperlink w:anchor="tbl-objtype-joint">
              <w:r>
                <w:rPr>
                  <w:rStyle w:val="Hyperlink"/>
                </w:rPr>
                <w:t xml:space="preserve">Table S 51</w:t>
              </w:r>
            </w:hyperlink>
            <w:r>
              <w:t xml:space="preserve">.</w:t>
            </w:r>
          </w:p>
          <w:bookmarkEnd w:id="263"/>
        </w:tc>
      </w:tr>
    </w:tbl>
    <w:bookmarkEnd w:id="264"/>
    <w:bookmarkStart w:id="265" w:name="interpretation-22"/>
    <w:p>
      <w:pPr>
        <w:pStyle w:val="Heading3"/>
      </w:pPr>
      <w:r>
        <w:t xml:space="preserve">Interpretation</w:t>
      </w:r>
    </w:p>
    <w:p>
      <w:pPr>
        <w:pStyle w:val="FirstParagraph"/>
      </w:pPr>
      <w:r>
        <w:rPr>
          <w:bCs/>
          <w:b/>
        </w:rPr>
        <w:t xml:space="preserve">Question: does the Aur-P1 greater than Aur-P2 ordering survive when all figurines are excluded?</w:t>
      </w:r>
      <w:r>
        <w:t xml:space="preserve"> </w:t>
      </w:r>
      <w:r>
        <w:t xml:space="preserve">Yes. Mean degree changes are at most -1.3% across both phases and all conditions, and excluding all figurines removes a single edge from Aur-P1 (75 → 74, mean degree 7.5 → 7.4)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 The main-text connectivity contrast Aur-P1 &gt; Aur-P2 (7.5 &gt; 4.22) is unchanged when all figurines are excluded (7.4 &gt; 4.22), preserving the key finding that the early phase is the more connected.</w:t>
      </w:r>
    </w:p>
    <w:p>
      <w:pPr>
        <w:pStyle w:val="BodyText"/>
      </w:pPr>
      <w:r>
        <w:rPr>
          <w:bCs/>
          <w:b/>
        </w:rPr>
        <w:t xml:space="preserve">Question: does the Aur-P1 greater than Aur-P2 ordering survive when only Vogelherd figurines are excluded?</w:t>
      </w:r>
      <w:r>
        <w:t xml:space="preserve"> </w:t>
      </w:r>
      <w:r>
        <w:t xml:space="preserve">Yes. Removing Vogelherd figurines alone (-1.3% in Aur-P1) produces the same effect as removing all 63 figurines globally (-1.3%). The main-text contrast Aur-P1 &gt; Aur-P2 is unchanged when only Vogelherd figurines are excluded (7.4 &gt; 4.22). Figurines at Hohle Fels (4, 4), Geissenklösterle (3), Hohlenstein-Stadel (1), and La Ferrassie (1) do not alter network structure. This indicates that although Vogelherd’s figurine assemblage is unusually rich, 50 of 63 figurines, and contributes disproportionately to sign-type counts, its 123 remaining non-figurine objects still carry a sufficiently diverse sign repertoire to maintain network connectivity.</w:t>
      </w:r>
    </w:p>
    <w:p>
      <w:pPr>
        <w:pStyle w:val="BodyText"/>
      </w:pPr>
      <w:r>
        <w:rPr>
          <w:bCs/>
          <w:b/>
        </w:rPr>
        <w:t xml:space="preserve">Implication for the main text.</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consistent with</w:t>
      </w:r>
      <w:r>
        <w:t xml:space="preserve"> </w:t>
      </w:r>
      <w:r>
        <w:t xml:space="preserve">[28]</w:t>
      </w:r>
      <w:r>
        <w:t xml:space="preserve"> </w:t>
      </w:r>
      <w:r>
        <w:t xml:space="preserve">argument that figurines carry high-information sign sequences, but the communities themselves are defined by shared sign types across all object types.</w:t>
      </w:r>
    </w:p>
    <w:bookmarkEnd w:id="265"/>
    <w:bookmarkEnd w:id="266"/>
    <w:bookmarkStart w:id="267" w:name="sec-s12-7"/>
    <w:p>
      <w:pPr>
        <w:pStyle w:val="Heading2"/>
      </w:pPr>
      <w:r>
        <w:t xml:space="preserve">S1.12.8 Synthesis and Limitation</w:t>
      </w:r>
    </w:p>
    <w:p>
      <w:pPr>
        <w:pStyle w:val="FirstParagraph"/>
      </w:pPr>
      <w:r>
        <w:t xml:space="preserve">The five sampling analyses converge on a single conclusion. (1) Under object-downsampling, only the best-sampled sites retain their R/B assignment; small-object sites flip group at rates indistinguishable from chance, and network modularity collapses (</w:t>
      </w:r>
      <w:r>
        <w:t xml:space="preserve">Section S1.12.3</w:t>
      </w:r>
      <w:r>
        <w:t xml:space="preserve">). (2) Coverage-based rarefaction shows the broad/restricted contrast persists among the sites assessable at equal coverage, but the majority of the smallest sites never reach a comparable coverage, so the method cannot vindicate them (</w:t>
      </w:r>
      <w:r>
        <w:t xml:space="preserve">Section S1.12.4</w:t>
      </w:r>
      <w:r>
        <w:t xml:space="preserve">). (3) The offset model’s null group effect was a property of fixing the richness-effort exponent at 1; with the exponent estimated, the group contrast persists, so the gap is not distinguishable from a genuine group difference at saturating effort (</w:t>
      </w:r>
      <w:r>
        <w:t xml:space="preserve">Section S1.12.5</w:t>
      </w:r>
      <w:r>
        <w:t xml:space="preserve">). (4) At equal effort with</w:t>
      </w:r>
      <w:r>
        <w:t xml:space="preserve"> </w:t>
      </w:r>
      <w:r>
        <w:rPr>
          <w:rStyle w:val="VerbatimChar"/>
        </w:rPr>
        <w:t xml:space="preserve">iNEXT</w:t>
      </w:r>
      <w:r>
        <w:t xml:space="preserve">, the Aur-P1 vs Aur-P2 sign-type pool difference lies inside sampling variation, even when restricted to shared object types (</w:t>
      </w:r>
      <w:r>
        <w:t xml:space="preserve">Section S1.12.6</w:t>
      </w:r>
      <w:r>
        <w:t xml:space="preserve">). (5) Under fixed margins the Jaccard group separation is not distinguished from richness structure alone (Aur-P1 exceeds object-sampling expectation; Aur-P2 does not), while Simpson turnover dissimilarity shows no group separation in either phase (</w:t>
      </w:r>
      <w:r>
        <w:t xml:space="preserve">Section S1.10.3</w:t>
      </w:r>
      <w:r>
        <w:t xml:space="preserve">). Figurine exclusion (</w:t>
      </w:r>
      <w:r>
        <w:t xml:space="preserve">Section S1.12.7</w:t>
      </w:r>
      <w:r>
        <w:t xml:space="preserve">) is the exception: it leaves the Aur-P1 greater than Aur-P2 ordering intact. Together these show that the restricted/broad division is</w:t>
      </w:r>
      <w:r>
        <w:t xml:space="preserve"> </w:t>
      </w:r>
      <w:r>
        <w:rPr>
          <w:bCs/>
          <w:b/>
        </w:rPr>
        <w:t xml:space="preserve">not fully independent of sampling intensity</w:t>
      </w:r>
      <w:r>
        <w:t xml:space="preserve">: it is recovered robustly for large assemblages, but for the numerous small assemblages it is partly an artefact of how many objects were recovered, and the raw 26 vs 15 pool contraction does not survive equal-effort standardisation.</w:t>
      </w:r>
    </w:p>
    <w:bookmarkEnd w:id="267"/>
    <w:bookmarkEnd w:id="268"/>
    <w:bookmarkStart w:id="277" w:name="sec-s-power"/>
    <w:p>
      <w:pPr>
        <w:pStyle w:val="Heading1"/>
      </w:pPr>
      <w:r>
        <w:t xml:space="preserve">S1.13 Design Sensitivity: Minimum Detectable Effects</w:t>
      </w:r>
    </w:p>
    <w:bookmarkStart w:id="269" w:name="sec-s-power-rationale"/>
    <w:p>
      <w:pPr>
        <w:pStyle w:val="Heading2"/>
      </w:pPr>
      <w:r>
        <w:t xml:space="preserve">S1.13.1 Rationale</w:t>
      </w:r>
    </w:p>
    <w:p>
      <w:pPr>
        <w:pStyle w:val="FirstParagraph"/>
      </w:pPr>
      <w:r>
        <w:t xml:space="preserve">The main text reports null results for three headline tests: the per-phase Mantel isolation-by-distance tests, the restricted/broad PerMANOVA tests, and the Aur-P1 versus Aur-P2 network phase contrast. This section asks what effect each test could detect with the fixed samples (Aur-P1 = 20 sites, Aur-P2 = 9 sites). It reports the minimum detectable effect (MDE) at 80% power and α = 0.05 for each test. These are design calculations conditional on the observed margins. They are not post hoc power computed from the observed effects, which restates the observed p-value and must not be reported</w:t>
      </w:r>
      <w:r>
        <w:t xml:space="preserve"> </w:t>
      </w:r>
      <w:r>
        <w:t xml:space="preserve">[29]</w:t>
      </w:r>
      <w:r>
        <w:t xml:space="preserve">. Conventions for medium effects are rho = 0.3 and R</w:t>
      </w:r>
      <w:r>
        <w:rPr>
          <w:vertAlign w:val="superscript"/>
        </w:rPr>
        <w:t xml:space="preserve">2</w:t>
      </w:r>
      <w:r>
        <w:t xml:space="preserve"> </w:t>
      </w:r>
      <w:r>
        <w:t xml:space="preserve">= 0.13</w:t>
      </w:r>
      <w:r>
        <w:t xml:space="preserve"> </w:t>
      </w:r>
      <w:r>
        <w:t xml:space="preserve">[30]</w:t>
      </w:r>
      <w:r>
        <w:t xml:space="preserve">. Mantel p-values are approximate under spatial dependence</w:t>
      </w:r>
      <w:r>
        <w:t xml:space="preserve"> </w:t>
      </w:r>
      <w:r>
        <w:t xml:space="preserve">[31,32]</w:t>
      </w:r>
      <w:r>
        <w:t xml:space="preserve">, so the Mantel MDEs below are design aids rather than exact sampling statements. The Aur-P2 PerMANOVA (6 versus 3 sites) is indicative only, because small unbalanced PerMANOVA uses permutations with caution</w:t>
      </w:r>
      <w:r>
        <w:t xml:space="preserve"> </w:t>
      </w:r>
      <w:r>
        <w:t xml:space="preserve">[33]</w:t>
      </w:r>
      <w:r>
        <w:t xml:space="preserve">. It answers three specific questions:</w:t>
      </w:r>
    </w:p>
    <w:p>
      <w:pPr>
        <w:pStyle w:val="BodyText"/>
      </w:pPr>
      <w:r>
        <w:rPr>
          <w:bCs/>
          <w:b/>
        </w:rPr>
        <w:t xml:space="preserve">Question: what Mantel correlation can each phase detect at 80% power?</w:t>
      </w:r>
    </w:p>
    <w:p>
      <w:pPr>
        <w:pStyle w:val="BodyText"/>
      </w:pPr>
      <w:r>
        <w:rPr>
          <w:bCs/>
          <w:b/>
        </w:rPr>
        <w:t xml:space="preserve">Question: what PerMANOVA R-squared can each phase detect at 80% power?</w:t>
      </w:r>
    </w:p>
    <w:p>
      <w:pPr>
        <w:pStyle w:val="BodyText"/>
      </w:pPr>
      <w:r>
        <w:rPr>
          <w:bCs/>
          <w:b/>
        </w:rPr>
        <w:t xml:space="preserve">Question: what network density difference can the phase contrast detect at 80% power?</w:t>
      </w:r>
    </w:p>
    <w:bookmarkEnd w:id="269"/>
    <w:bookmarkStart w:id="275" w:name="analysis-3"/>
    <w:p>
      <w:pPr>
        <w:pStyle w:val="Heading2"/>
      </w:pPr>
      <w:r>
        <w:t xml:space="preserve">Analysis</w:t>
      </w:r>
    </w:p>
    <w:p>
      <w:pPr>
        <w:pStyle w:val="FirstParagraph"/>
      </w:pPr>
      <w:r>
        <w:t xml:space="preserve">The Mantel generator mixes scaled geography into Curveball-randomised baselines, so each null preserves site richness and sign-type frequencies. Rows are permuted across sites before injection, so labels are exchangeable under the null and the zero-signal rejection rate stays near 0.05. The PerMANOVA generator imposes group-specific signs on the same baseline. The network generator calibrates Bernoulli presence probabilities to the observed Aur-P1 density and lowers the contrast group density by each grid delta, testing the difference with the main-text pooling design.</w:t>
      </w:r>
    </w:p>
    <w:tbl>
      <w:tblPr>
        <w:tblStyle w:val="Table"/>
        <w:tblW w:type="pct" w:w="5000"/>
        <w:tblLook w:firstRow="0" w:lastRow="0" w:firstColumn="0" w:lastColumn="0" w:noHBand="0" w:noVBand="0" w:val="0000"/>
        <w:jc w:val="start"/>
        <w:tblLayout w:type="fixed"/>
      </w:tblPr>
      <w:tblGrid>
        <w:gridCol w:w="7920"/>
      </w:tblGrid>
      <w:tr>
        <w:tc>
          <w:tcPr/>
          <w:bookmarkStart w:id="270" w:name="tbl-power-mde"/>
          <w:tbl>
            <w:tblPr>
              <w:tblStyle w:val="Table"/>
              <w:tblW w:type="pct" w:w="5000"/>
              <w:tblLook w:firstRow="1" w:lastRow="0" w:firstColumn="0" w:lastColumn="0" w:noHBand="0" w:noVBand="0" w:val="0020"/>
              <w:jc w:val="start"/>
              <w:tblLayout w:type="fixed"/>
            </w:tblPr>
            <w:tblGrid>
              <w:gridCol w:w="1996"/>
              <w:gridCol w:w="1397"/>
              <w:gridCol w:w="1863"/>
              <w:gridCol w:w="1131"/>
              <w:gridCol w:w="1530"/>
            </w:tblGrid>
            <w:tr>
              <w:trPr>
                <w:tblHeader w:val="true"/>
              </w:trPr>
              <w:tc>
                <w:tcPr/>
                <w:p>
                  <w:pPr>
                    <w:pStyle w:val="Compact"/>
                    <w:jc w:val="left"/>
                    <w:jc w:val="center"/>
                  </w:pPr>
                  <w:r>
                    <w:t xml:space="preserve">Test</w:t>
                  </w:r>
                </w:p>
              </w:tc>
              <w:tc>
                <w:tcPr/>
                <w:p>
                  <w:pPr>
                    <w:pStyle w:val="Compact"/>
                    <w:jc w:val="left"/>
                    <w:jc w:val="center"/>
                  </w:pPr>
                  <w:r>
                    <w:t xml:space="preserve">N</w:t>
                  </w:r>
                </w:p>
              </w:tc>
              <w:tc>
                <w:tcPr/>
                <w:p>
                  <w:pPr>
                    <w:pStyle w:val="Compact"/>
                    <w:jc w:val="left"/>
                    <w:jc w:val="center"/>
                  </w:pPr>
                  <w:r>
                    <w:t xml:space="preserve">Effect metric</w:t>
                  </w:r>
                </w:p>
              </w:tc>
              <w:tc>
                <w:tcPr/>
                <w:p>
                  <w:pPr>
                    <w:pStyle w:val="Compact"/>
                    <w:jc w:val="left"/>
                    <w:jc w:val="center"/>
                  </w:pPr>
                  <w:r>
                    <w:t xml:space="preserve">MDE at 80% power</w:t>
                  </w:r>
                </w:p>
              </w:tc>
              <w:tc>
                <w:tcPr/>
                <w:p>
                  <w:pPr>
                    <w:pStyle w:val="Compact"/>
                    <w:jc w:val="left"/>
                    <w:jc w:val="center"/>
                  </w:pPr>
                  <w:r>
                    <w:t xml:space="preserve">Power at medium effect</w:t>
                  </w:r>
                </w:p>
              </w:tc>
            </w:tr>
            <w:tr>
              <w:tc>
                <w:tcPr/>
                <w:p>
                  <w:pPr>
                    <w:pStyle w:val="Compact"/>
                    <w:jc w:val="left"/>
                    <w:jc w:val="center"/>
                  </w:pPr>
                  <w:r>
                    <w:t xml:space="preserve">Mantel Aur-P1</w:t>
                  </w:r>
                </w:p>
              </w:tc>
              <w:tc>
                <w:tcPr/>
                <w:p>
                  <w:pPr>
                    <w:pStyle w:val="Compact"/>
                    <w:jc w:val="left"/>
                    <w:jc w:val="center"/>
                  </w:pPr>
                  <w:r>
                    <w:t xml:space="preserve">20 sites (190 pairs)</w:t>
                  </w:r>
                </w:p>
              </w:tc>
              <w:tc>
                <w:tcPr/>
                <w:p>
                  <w:pPr>
                    <w:pStyle w:val="Compact"/>
                    <w:jc w:val="left"/>
                    <w:jc w:val="center"/>
                  </w:pPr>
                  <w:r>
                    <w:t xml:space="preserve">Mantel rho</w:t>
                  </w:r>
                </w:p>
              </w:tc>
              <w:tc>
                <w:tcPr/>
                <w:p>
                  <w:pPr>
                    <w:pStyle w:val="Compact"/>
                    <w:jc w:val="left"/>
                    <w:jc w:val="center"/>
                  </w:pPr>
                  <w:r>
                    <w:t xml:space="preserve">0.34</w:t>
                  </w:r>
                </w:p>
              </w:tc>
              <w:tc>
                <w:tcPr/>
                <w:p>
                  <w:pPr>
                    <w:pStyle w:val="Compact"/>
                    <w:jc w:val="left"/>
                    <w:jc w:val="center"/>
                  </w:pPr>
                  <w:r>
                    <w:t xml:space="preserve">0.76</w:t>
                  </w:r>
                </w:p>
              </w:tc>
            </w:tr>
            <w:tr>
              <w:tc>
                <w:tcPr/>
                <w:p>
                  <w:pPr>
                    <w:pStyle w:val="Compact"/>
                    <w:jc w:val="left"/>
                    <w:jc w:val="center"/>
                  </w:pPr>
                  <w:r>
                    <w:t xml:space="preserve">Mantel Aur-P2</w:t>
                  </w:r>
                </w:p>
              </w:tc>
              <w:tc>
                <w:tcPr/>
                <w:p>
                  <w:pPr>
                    <w:pStyle w:val="Compact"/>
                    <w:jc w:val="left"/>
                    <w:jc w:val="center"/>
                  </w:pPr>
                  <w:r>
                    <w:t xml:space="preserve">9 sites (36 pairs)</w:t>
                  </w:r>
                </w:p>
              </w:tc>
              <w:tc>
                <w:tcPr/>
                <w:p>
                  <w:pPr>
                    <w:pStyle w:val="Compact"/>
                    <w:jc w:val="left"/>
                    <w:jc w:val="center"/>
                  </w:pPr>
                  <w:r>
                    <w:t xml:space="preserve">Mantel rho</w:t>
                  </w:r>
                </w:p>
              </w:tc>
              <w:tc>
                <w:tcPr/>
                <w:p>
                  <w:pPr>
                    <w:pStyle w:val="Compact"/>
                    <w:jc w:val="left"/>
                    <w:jc w:val="center"/>
                  </w:pPr>
                  <w:r>
                    <w:t xml:space="preserve">0.50</w:t>
                  </w:r>
                </w:p>
              </w:tc>
              <w:tc>
                <w:tcPr/>
                <w:p>
                  <w:pPr>
                    <w:pStyle w:val="Compact"/>
                    <w:jc w:val="left"/>
                    <w:jc w:val="center"/>
                  </w:pPr>
                  <w:r>
                    <w:t xml:space="preserve">0.39</w:t>
                  </w:r>
                </w:p>
              </w:tc>
            </w:tr>
            <w:tr>
              <w:tc>
                <w:tcPr/>
                <w:p>
                  <w:pPr>
                    <w:pStyle w:val="Compact"/>
                    <w:jc w:val="left"/>
                    <w:jc w:val="center"/>
                  </w:pPr>
                  <w:r>
                    <w:t xml:space="preserve">PerMANOVA Aur-P1 (9 vs 11)</w:t>
                  </w:r>
                </w:p>
              </w:tc>
              <w:tc>
                <w:tcPr/>
                <w:p>
                  <w:pPr>
                    <w:pStyle w:val="Compact"/>
                    <w:jc w:val="left"/>
                    <w:jc w:val="center"/>
                  </w:pPr>
                  <w:r>
                    <w:t xml:space="preserve">9 vs 11 sites</w:t>
                  </w:r>
                </w:p>
              </w:tc>
              <w:tc>
                <w:tcPr/>
                <w:p>
                  <w:pPr>
                    <w:pStyle w:val="Compact"/>
                    <w:jc w:val="left"/>
                    <w:jc w:val="center"/>
                  </w:pPr>
                  <w:r>
                    <w:t xml:space="preserve">PerMANOVA R² (total)</w:t>
                  </w:r>
                </w:p>
              </w:tc>
              <w:tc>
                <w:tcPr/>
                <w:p>
                  <w:pPr>
                    <w:pStyle w:val="Compact"/>
                    <w:jc w:val="left"/>
                    <w:jc w:val="center"/>
                  </w:pPr>
                  <w:r>
                    <w:t xml:space="preserve">0.10</w:t>
                  </w:r>
                </w:p>
              </w:tc>
              <w:tc>
                <w:tcPr/>
                <w:p>
                  <w:pPr>
                    <w:pStyle w:val="Compact"/>
                    <w:jc w:val="left"/>
                    <w:jc w:val="center"/>
                  </w:pPr>
                  <w:r>
                    <w:t xml:space="preserve">0.98</w:t>
                  </w:r>
                </w:p>
              </w:tc>
            </w:tr>
            <w:tr>
              <w:tc>
                <w:tcPr/>
                <w:p>
                  <w:pPr>
                    <w:pStyle w:val="Compact"/>
                    <w:jc w:val="left"/>
                    <w:jc w:val="center"/>
                  </w:pPr>
                  <w:r>
                    <w:t xml:space="preserve">PerMANOVA Aur-P2 (6 vs 3)</w:t>
                  </w:r>
                </w:p>
              </w:tc>
              <w:tc>
                <w:tcPr/>
                <w:p>
                  <w:pPr>
                    <w:pStyle w:val="Compact"/>
                    <w:jc w:val="left"/>
                    <w:jc w:val="center"/>
                  </w:pPr>
                  <w:r>
                    <w:t xml:space="preserve">6 vs 3 sites</w:t>
                  </w:r>
                </w:p>
              </w:tc>
              <w:tc>
                <w:tcPr/>
                <w:p>
                  <w:pPr>
                    <w:pStyle w:val="Compact"/>
                    <w:jc w:val="left"/>
                    <w:jc w:val="center"/>
                  </w:pPr>
                  <w:r>
                    <w:t xml:space="preserve">PerMANOVA R² (total)</w:t>
                  </w:r>
                </w:p>
              </w:tc>
              <w:tc>
                <w:tcPr/>
                <w:p>
                  <w:pPr>
                    <w:pStyle w:val="Compact"/>
                    <w:jc w:val="left"/>
                    <w:jc w:val="center"/>
                  </w:pPr>
                  <w:r>
                    <w:t xml:space="preserve">0.26</w:t>
                  </w:r>
                </w:p>
              </w:tc>
              <w:tc>
                <w:tcPr/>
                <w:p>
                  <w:pPr>
                    <w:pStyle w:val="Compact"/>
                    <w:jc w:val="left"/>
                    <w:jc w:val="center"/>
                  </w:pPr>
                  <w:r>
                    <w:t xml:space="preserve">0.04</w:t>
                  </w:r>
                </w:p>
              </w:tc>
            </w:tr>
            <w:tr>
              <w:tc>
                <w:tcPr/>
                <w:p>
                  <w:pPr>
                    <w:pStyle w:val="Compact"/>
                    <w:jc w:val="left"/>
                    <w:jc w:val="center"/>
                  </w:pPr>
                  <w:r>
                    <w:t xml:space="preserve">Network density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0.28</w:t>
                  </w:r>
                </w:p>
              </w:tc>
              <w:tc>
                <w:tcPr/>
                <w:p>
                  <w:pPr>
                    <w:pStyle w:val="Compact"/>
                    <w:jc w:val="left"/>
                    <w:jc w:val="center"/>
                  </w:pPr>
                  <w:r>
                    <w:t xml:space="preserve">0.10</w:t>
                  </w:r>
                </w:p>
              </w:tc>
            </w:tr>
            <w:tr>
              <w:tc>
                <w:tcPr/>
                <w:p>
                  <w:pPr>
                    <w:pStyle w:val="Compact"/>
                    <w:jc w:val="left"/>
                    <w:jc w:val="center"/>
                  </w:pPr>
                  <w:r>
                    <w:t xml:space="preserve">Network modularity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0.12</w:t>
                  </w:r>
                </w:p>
              </w:tc>
            </w:tr>
            <w:tr>
              <w:tc>
                <w:tcPr/>
                <w:p>
                  <w:pPr>
                    <w:pStyle w:val="Compact"/>
                    <w:jc w:val="left"/>
                    <w:jc w:val="center"/>
                  </w:pPr>
                  <w:r>
                    <w:t xml:space="preserve">Network betweenness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0.01</w:t>
                  </w:r>
                </w:p>
              </w:tc>
            </w:tr>
            <w:tr>
              <w:tc>
                <w:tcPr/>
                <w:p>
                  <w:pPr>
                    <w:pStyle w:val="Compact"/>
                    <w:jc w:val="left"/>
                    <w:jc w:val="center"/>
                  </w:pPr>
                  <w:r>
                    <w:t xml:space="preserve">Network components (20 vs 9)</w:t>
                  </w:r>
                </w:p>
              </w:tc>
              <w:tc>
                <w:tcPr/>
                <w:p>
                  <w:pPr>
                    <w:pStyle w:val="Compact"/>
                    <w:jc w:val="left"/>
                    <w:jc w:val="center"/>
                  </w:pPr>
                  <w:r>
                    <w:t xml:space="preserve">20 vs 9 sites</w:t>
                  </w:r>
                </w:p>
              </w:tc>
              <w:tc>
                <w:tcPr/>
                <w:p>
                  <w:pPr>
                    <w:pStyle w:val="Compact"/>
                    <w:jc w:val="left"/>
                    <w:jc w:val="center"/>
                  </w:pPr>
                  <w:r>
                    <w:t xml:space="preserve">Absolute density difference</w:t>
                  </w:r>
                </w:p>
              </w:tc>
              <w:tc>
                <w:tcPr/>
                <w:p>
                  <w:pPr>
                    <w:pStyle w:val="Compact"/>
                    <w:jc w:val="left"/>
                    <w:jc w:val="center"/>
                  </w:pPr>
                  <w:r>
                    <w:t xml:space="preserve">&gt;0.30</w:t>
                  </w:r>
                </w:p>
              </w:tc>
              <w:tc>
                <w:tcPr/>
                <w:p>
                  <w:pPr>
                    <w:pStyle w:val="Compact"/>
                    <w:jc w:val="left"/>
                    <w:jc w:val="center"/>
                  </w:pPr>
                  <w:r>
                    <w:t xml:space="preserve">0.10</w:t>
                  </w:r>
                </w:p>
              </w:tc>
            </w:tr>
          </w:tbl>
          <w:p>
            <w:pPr>
              <w:jc w:val="center"/>
            </w:pPr>
            <w:pPr>
              <w:jc w:val="start"/>
              <w:spacing w:before="200"/>
              <w:pStyle w:val="ImageCaption"/>
            </w:pPr>
            <w:r>
              <w:t xml:space="preserve">Table S 53: Minimum detectable effects at 80% power (alpha = 0.05) for the three headline null-hypothesis tests. Mantel rows use the Mantel rho scale (geographic-signal injection on Curveball-randomised baselines with rows permuted across sites, B = 300, 99 permutations). PerMANOVA rows use the total Jaccard R² scale under the adonis2(sqrt.dist = TRUE) convention on the same exchangeable baseline (group-signal injection, B = 300, 99 permutations). Network rows use the absolute edge-density-difference scale with the observed Aur-P1 density as baseline (B = 200, 99 permutations). MDE values above the simulated grid are shown as greater-than the grid maximum. Power at a medium effect uses rho = 0.3, R² = 0.13, and absolute density difference = 0.10.</w:t>
            </w:r>
          </w:p>
          <w:bookmarkEnd w:id="270"/>
        </w:tc>
      </w:tr>
    </w:tbl>
    <w:tbl>
      <w:tblPr>
        <w:tblStyle w:val="Table"/>
        <w:tblW w:type="pct" w:w="5000"/>
        <w:tblLook w:firstRow="0" w:lastRow="0" w:firstColumn="0" w:lastColumn="0" w:noHBand="0" w:noVBand="0" w:val="0000"/>
        <w:jc w:val="start"/>
        <w:tblLayout w:type="fixed"/>
      </w:tblPr>
      <w:tblGrid>
        <w:gridCol w:w="7920"/>
      </w:tblGrid>
      <w:tr>
        <w:tc>
          <w:tcPr/>
          <w:bookmarkStart w:id="274" w:name="fig-power-curves"/>
          <w:p>
            <w:pPr>
              <w:pStyle w:val="Compact"/>
              <w:jc w:val="center"/>
            </w:pPr>
            <w:r>
              <w:drawing>
                <wp:inline>
                  <wp:extent cx="5943600" cy="4622800"/>
                  <wp:effectExtent b="0" l="0" r="0" t="0"/>
                  <wp:docPr descr="" title="" id="272" name="Picture"/>
                  <a:graphic>
                    <a:graphicData uri="http://schemas.openxmlformats.org/drawingml/2006/picture">
                      <pic:pic>
                        <pic:nvPicPr>
                          <pic:cNvPr descr="S1-supplement-sensitivity_files/figure-docx/fig-power-curves-1.png" id="273" name="Picture"/>
                          <pic:cNvPicPr>
                            <a:picLocks noChangeArrowheads="1" noChangeAspect="1"/>
                          </pic:cNvPicPr>
                        </pic:nvPicPr>
                        <pic:blipFill>
                          <a:blip r:embed="rId271"/>
                          <a:stretch>
                            <a:fillRect/>
                          </a:stretch>
                        </pic:blipFill>
                        <pic:spPr bwMode="auto">
                          <a:xfrm>
                            <a:off x="0" y="0"/>
                            <a:ext cx="5943600" cy="4622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 16: Simulated power curves for the three headline tests. A: Mantel power against Mantel rho per phase. B: PerMANOVA power against total Jaccard R² per phase. C: Network phase-contrast power against the absolute edge-density difference from the observed Aur-P1 baseline density. The dashed line marks 80% power; the effect where each curve crosses it is the minimum detectable effect in</w:t>
            </w:r>
            <w:r>
              <w:t xml:space="preserve"> </w:t>
            </w:r>
            <w:hyperlink w:anchor="tbl-power-mde">
              <w:r>
                <w:rPr>
                  <w:rStyle w:val="Hyperlink"/>
                </w:rPr>
                <w:t xml:space="preserve">Table S 53</w:t>
              </w:r>
            </w:hyperlink>
            <w:r>
              <w:t xml:space="preserve">. Curves are simulation estimates (Mantel and PerMANOVA: B = 300 with 99 permutations; network: B = 200 with 99 permutations).</w:t>
            </w:r>
          </w:p>
          <w:bookmarkEnd w:id="274"/>
        </w:tc>
      </w:tr>
    </w:tbl>
    <w:bookmarkEnd w:id="275"/>
    <w:bookmarkStart w:id="276" w:name="sec-s-power-interpretation"/>
    <w:p>
      <w:pPr>
        <w:pStyle w:val="Heading2"/>
      </w:pPr>
      <w:r>
        <w:t xml:space="preserve">S1.13.2 Interpretation</w:t>
      </w:r>
    </w:p>
    <w:p>
      <w:pPr>
        <w:pStyle w:val="FirstParagraph"/>
      </w:pPr>
      <w:r>
        <w:rPr>
          <w:bCs/>
          <w:b/>
        </w:rPr>
        <w:t xml:space="preserve">Question: what Mantel correlation can each phase detect at 80% power?</w:t>
      </w:r>
      <w:r>
        <w:t xml:space="preserve"> </w:t>
      </w:r>
      <w:r>
        <w:t xml:space="preserve">Mantel MDEs are 0.34 for Aur-P1 and 0.50 for Aur-P2 on the rho scale. Power at a medium rho of 0.3 is 0.76 in Aur-P1 and 0.39 in Aur-P2. The observed Mantel correlations (0.046 and -0.299) sit below their MDEs. The non-significant Mantel results are therefore a lack of evidence at these sample sizes, not evidence that geography is irrelevant, consistent with</w:t>
      </w:r>
      <w:r>
        <w:t xml:space="preserve"> </w:t>
      </w:r>
      <w:r>
        <w:t xml:space="preserve">Section S1.4.3</w:t>
      </w:r>
      <w:r>
        <w:t xml:space="preserve">.</w:t>
      </w:r>
    </w:p>
    <w:p>
      <w:pPr>
        <w:pStyle w:val="BodyText"/>
      </w:pPr>
      <w:r>
        <w:rPr>
          <w:bCs/>
          <w:b/>
        </w:rPr>
        <w:t xml:space="preserve">Question: what PerMANOVA R-squared can each phase detect at 80% power?</w:t>
      </w:r>
      <w:r>
        <w:t xml:space="preserve"> </w:t>
      </w:r>
      <w:r>
        <w:t xml:space="preserve">PerMANOVA MDEs are 0.10 for Aur-P1 and 0.26 for Aur-P2 on the total Jaccard R² scale. The row-permuted baseline carries no group–richness link, so each MDE is the total separation the test needs, including any richness gap a real group effect would produce. Power at R² = 0.13 is 0.98 in Aur-P1 and 0.04 in Aur-P2. The Aur-P2 test with 6 versus 3 sites has the larger MDE and stays indicative. Group separations below these R² values cannot be distinguished from sampling variation by this test.</w:t>
      </w:r>
    </w:p>
    <w:p>
      <w:pPr>
        <w:pStyle w:val="BodyText"/>
      </w:pPr>
      <w:r>
        <w:rPr>
          <w:bCs/>
          <w:b/>
        </w:rPr>
        <w:t xml:space="preserve">Question: what network density difference can the phase contrast detect at 80% power?</w:t>
      </w:r>
      <w:r>
        <w:t xml:space="preserve"> </w:t>
      </w:r>
      <w:r>
        <w:t xml:space="preserve">The network contrast uses the observed Aur-P1 edge density (0.395) as baseline and measures absolute gaps. The observed Aur-P1 minus Aur-P2 density difference is -0.133 (Aur-P2 is the denser network, so the comparison is on magnitudes). MDEs on the absolute density-difference scale are 0.28 for density, &gt;0.30 for modularity, &gt;0.30 for betweenness, and &gt;0.30 for component count. Power at an absolute density difference of 0.10 is 0.10 for density, 0.12 for modularity, 0.01 for betweenness, and 0.10 for components. Density is the most sensitive of the four statistics. Modularity, betweenness, and component count need larger density gaps before the phase contrast reaches 80% power, so their nulls carry less information than the density null at the same sample sizes.</w:t>
      </w:r>
    </w:p>
    <w:p>
      <w:pPr>
        <w:pStyle w:val="BodyText"/>
      </w:pPr>
      <w:r>
        <w:rPr>
          <w:bCs/>
          <w:b/>
        </w:rPr>
        <w:t xml:space="preserve">Implication for the main text.</w:t>
      </w:r>
      <w:r>
        <w:t xml:space="preserve"> </w:t>
      </w:r>
      <w:r>
        <w:t xml:space="preserve">Null results reflect limited power at 20 versus 9 sites; only effects above the MDEs in</w:t>
      </w:r>
      <w:r>
        <w:t xml:space="preserve"> </w:t>
      </w:r>
      <w:hyperlink w:anchor="tbl-power-mde">
        <w:r>
          <w:rPr>
            <w:rStyle w:val="Hyperlink"/>
          </w:rPr>
          <w:t xml:space="preserve">Table S 53</w:t>
        </w:r>
      </w:hyperlink>
      <w:r>
        <w:t xml:space="preserve"> </w:t>
      </w:r>
      <w:r>
        <w:t xml:space="preserve">can be excluded.</w:t>
      </w:r>
    </w:p>
    <w:bookmarkEnd w:id="276"/>
    <w:bookmarkEnd w:id="277"/>
    <w:bookmarkStart w:id="345" w:name="sec-s13"/>
    <w:p>
      <w:pPr>
        <w:pStyle w:val="Heading1"/>
      </w:pPr>
      <w:r>
        <w:t xml:space="preserve">S1.14 Overall Synthesis</w:t>
      </w:r>
    </w:p>
    <w:p>
      <w:pPr>
        <w:pStyle w:val="FirstParagraph"/>
      </w:pPr>
      <w:r>
        <w:t xml:space="preserve">All results are conditional on the retained sample in</w:t>
      </w:r>
      <w:r>
        <w:t xml:space="preserve"> </w:t>
      </w:r>
      <w:r>
        <w:t xml:space="preserve">Section S1.1</w:t>
      </w:r>
      <w:r>
        <w:t xml:space="preserve">. Date parsing and quality filtering remove small and poorly dated assemblages before any network is built. Aur-P2 rests on nine sites throughout, so every Aur-P2 comparison has low power and wide uncertainty.</w:t>
      </w:r>
    </w:p>
    <w:p>
      <w:pPr>
        <w:pStyle w:val="BodyText"/>
      </w:pPr>
      <w:r>
        <w:t xml:space="preserve">Threshold, metric, distance, and periodisation checks support the same reading. The Aur-P1 greater than Aur-P2 mean-degree ordering holds at thresholds 0.1, 0.2, and 0.3 and across the continuous sweep in</w:t>
      </w:r>
      <w:r>
        <w:t xml:space="preserve"> </w:t>
      </w:r>
      <w:r>
        <w:t xml:space="preserve">Section S1.2</w:t>
      </w:r>
      <w:r>
        <w:t xml:space="preserve">. It holds under Jaccard, Sorensen-Dice, and Simpson in</w:t>
      </w:r>
      <w:r>
        <w:t xml:space="preserve"> </w:t>
      </w:r>
      <w:r>
        <w:t xml:space="preserve">Section S1.3</w:t>
      </w:r>
      <w:r>
        <w:t xml:space="preserve">. It holds under geodesic and Euclidean distance in</w:t>
      </w:r>
      <w:r>
        <w:t xml:space="preserve"> </w:t>
      </w:r>
      <w:r>
        <w:t xml:space="preserve">Section S1.4</w:t>
      </w:r>
      <w:r>
        <w:t xml:space="preserve">, where neither phase shows a geographic correlation. It holds across two, three, and four phase schemes, across date variants, across boundary shifts, and under date-based versus technological assignment in</w:t>
      </w:r>
      <w:r>
        <w:t xml:space="preserve"> </w:t>
      </w:r>
      <w:r>
        <w:t xml:space="preserve">Section S1.5</w:t>
      </w:r>
      <w:r>
        <w:t xml:space="preserve">. Modularity ordering does not survive all of these changes. It reverses under date-based assignment, so the between-phase contrast is best read as a difference in network scale rather than a stable ordering of modularity.</w:t>
      </w:r>
    </w:p>
    <w:p>
      <w:pPr>
        <w:pStyle w:val="BodyText"/>
      </w:pPr>
      <w:r>
        <w:t xml:space="preserve">Group existence requires a narrower reading. Louvain recovery in</w:t>
      </w:r>
      <w:r>
        <w:t xml:space="preserve"> </w:t>
      </w:r>
      <w:r>
        <w:t xml:space="preserve">Section S1.6</w:t>
      </w:r>
      <w:r>
        <w:t xml:space="preserve"> </w:t>
      </w:r>
      <w:r>
        <w:t xml:space="preserve">and bootstrap stability in</w:t>
      </w:r>
      <w:r>
        <w:t xml:space="preserve"> </w:t>
      </w:r>
      <w:r>
        <w:t xml:space="preserve">Section S1.9</w:t>
      </w:r>
      <w:r>
        <w:t xml:space="preserve"> </w:t>
      </w:r>
      <w:r>
        <w:t xml:space="preserve">show that the restricted versus broad axis is coherent under resampling, most clearly in Aur-P1. Generative modelling in</w:t>
      </w:r>
      <w:r>
        <w:t xml:space="preserve"> </w:t>
      </w:r>
      <w:r>
        <w:t xml:space="preserve">Section S1.9</w:t>
      </w:r>
      <w:r>
        <w:t xml:space="preserve"> </w:t>
      </w:r>
      <w:r>
        <w:t xml:space="preserve">recovers multi-block structure in Aur-P1 under Bernoulli, Gaussian, and Poisson specifications (K = 3, 4, and 3), with the two largest blocks tracking the manual restricted/broad split and a stable Labeko Koba/Les Cottés/Trou al’Wesse third block, but recovers no stable multi-block structure in Aur-P2 (Bernoulli/Poisson K = 1; Gaussian K = 2 by 0.90 points), withholding support for a generative multi-block model due to the 9-site sample size, while the bootstrap consensus confirms the two-group partition’s internal coherence in both phases. Withheld-data validation in</w:t>
      </w:r>
      <w:r>
        <w:t xml:space="preserve"> </w:t>
      </w:r>
      <w:r>
        <w:t xml:space="preserve">Section S1.10</w:t>
      </w:r>
      <w:r>
        <w:t xml:space="preserve"> </w:t>
      </w:r>
      <w:r>
        <w:t xml:space="preserve">does not find separation beyond richness structure under the fixed-fixed null, and Simpson turnover shows no separation in either phase. The supported claim is a dominant richness axis that is recoverable from disjoint objects in well sampled sites, with an SBM- and Louvain-supported small-block refinement (Labeko Koba, Les Cottés, Trou al’Wesse) in Aur-P1, rather than discrete provinces.</w:t>
      </w:r>
    </w:p>
    <w:p>
      <w:pPr>
        <w:pStyle w:val="BodyText"/>
      </w:pPr>
      <w:r>
        <w:t xml:space="preserve">Sampling intensity qualifies small-site assignments. Downsampling, coverage, regression with estimated exponent, and equal-effort pool comparison in</w:t>
      </w:r>
      <w:r>
        <w:t xml:space="preserve"> </w:t>
      </w:r>
      <w:r>
        <w:t xml:space="preserve">Section S1.12</w:t>
      </w:r>
      <w:r>
        <w:t xml:space="preserve"> </w:t>
      </w:r>
      <w:r>
        <w:t xml:space="preserve">show that large assemblages retain their grouping while sites with one or two objects flip at chance rates and never reach comparable coverage. The raw Aur-P1 versus Aur-P2 pool difference is not distinguishable from sampling variation at equal effort. Figurine exclusion is the exception and leaves the ordering intact.</w:t>
      </w:r>
    </w:p>
    <w:bookmarkStart w:id="344" w:name="references-cited"/>
    <w:p>
      <w:pPr>
        <w:pStyle w:val="Heading2"/>
      </w:pPr>
      <w:r>
        <w:t xml:space="preserve">References cited</w:t>
      </w:r>
    </w:p>
    <w:bookmarkStart w:id="343" w:name="refs"/>
    <w:bookmarkStart w:id="279" w:name="ref-Goslee_Urban_2007"/>
    <w:p>
      <w:pPr>
        <w:pStyle w:val="Bibliography"/>
      </w:pPr>
      <w:r>
        <w:t xml:space="preserve">[1]</w:t>
      </w:r>
      <w:r>
        <w:t xml:space="preserve"> </w:t>
      </w:r>
      <w:r>
        <w:t xml:space="preserve">	</w:t>
      </w:r>
      <w:r>
        <w:t xml:space="preserve">Goslee SC, Urban DL. The</w:t>
      </w:r>
      <w:r>
        <w:t xml:space="preserve"> </w:t>
      </w:r>
      <w:r>
        <w:t xml:space="preserve">ecodist</w:t>
      </w:r>
      <w:r>
        <w:t xml:space="preserve"> </w:t>
      </w:r>
      <w:r>
        <w:t xml:space="preserve">package for dissimilarity-based analysis of ecological data. Journal of Statistical Software 2007;22:1–19.</w:t>
      </w:r>
      <w:r>
        <w:t xml:space="preserve"> </w:t>
      </w:r>
      <w:hyperlink r:id="rId278">
        <w:r>
          <w:rPr>
            <w:rStyle w:val="Hyperlink"/>
          </w:rPr>
          <w:t xml:space="preserve">https://doi.org/10.18637/jss.v022.i07</w:t>
        </w:r>
      </w:hyperlink>
      <w:r>
        <w:t xml:space="preserve">.</w:t>
      </w:r>
    </w:p>
    <w:bookmarkEnd w:id="279"/>
    <w:bookmarkStart w:id="281" w:name="ref-Legendre_Anderson_1999"/>
    <w:p>
      <w:pPr>
        <w:pStyle w:val="Bibliography"/>
      </w:pPr>
      <w:r>
        <w:t xml:space="preserve">[2]</w:t>
      </w:r>
      <w:r>
        <w:t xml:space="preserve"> </w:t>
      </w:r>
      <w:r>
        <w:t xml:space="preserve">	</w:t>
      </w:r>
      <w:r>
        <w:t xml:space="preserve">Legendre P, Anderson MJ. Distance-based redundancy analysis: Testing multispecies responses in multifactorial ecological experiments. Ecological Monographs 1999;69:1–24.</w:t>
      </w:r>
      <w:r>
        <w:t xml:space="preserve"> </w:t>
      </w:r>
      <w:hyperlink r:id="rId280">
        <w:r>
          <w:rPr>
            <w:rStyle w:val="Hyperlink"/>
          </w:rPr>
          <w:t xml:space="preserve">https://doi.org/10.1890/0012-9615(1999)069[0001:DBRDAO]2.0.CO;2</w:t>
        </w:r>
      </w:hyperlink>
      <w:r>
        <w:t xml:space="preserve">.</w:t>
      </w:r>
    </w:p>
    <w:bookmarkEnd w:id="281"/>
    <w:bookmarkStart w:id="283" w:name="X68cdd7ba62fc5dd3e1e9b497937717305f7b9a0"/>
    <w:p>
      <w:pPr>
        <w:pStyle w:val="Bibliography"/>
      </w:pPr>
      <w:r>
        <w:t xml:space="preserve">[3]</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282">
        <w:r>
          <w:rPr>
            <w:rStyle w:val="Hyperlink"/>
          </w:rPr>
          <w:t xml:space="preserve">https://doi.org/10.1016/j.quascirev.2021.106995</w:t>
        </w:r>
      </w:hyperlink>
      <w:r>
        <w:t xml:space="preserve">.</w:t>
      </w:r>
    </w:p>
    <w:bookmarkEnd w:id="283"/>
    <w:bookmarkStart w:id="285" w:name="ref-teyssandier2018entity"/>
    <w:p>
      <w:pPr>
        <w:pStyle w:val="Bibliography"/>
      </w:pPr>
      <w:r>
        <w:t xml:space="preserve">[4]</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284">
        <w:r>
          <w:rPr>
            <w:rStyle w:val="Hyperlink"/>
          </w:rPr>
          <w:t xml:space="preserve">https://doi.org/10.1007/s41982-017-0004-4</w:t>
        </w:r>
      </w:hyperlink>
      <w:r>
        <w:t xml:space="preserve">.</w:t>
      </w:r>
    </w:p>
    <w:bookmarkEnd w:id="285"/>
    <w:bookmarkStart w:id="287" w:name="ref-Chiotti_2005"/>
    <w:p>
      <w:pPr>
        <w:pStyle w:val="Bibliography"/>
      </w:pPr>
      <w:r>
        <w:t xml:space="preserve">[5]</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286">
        <w:r>
          <w:rPr>
            <w:rStyle w:val="Hyperlink"/>
          </w:rPr>
          <w:t xml:space="preserve">https://doi.org/10.30861/9781841718309</w:t>
        </w:r>
      </w:hyperlink>
      <w:r>
        <w:t xml:space="preserve">.</w:t>
      </w:r>
    </w:p>
    <w:bookmarkEnd w:id="287"/>
    <w:bookmarkStart w:id="289" w:name="ref-Higham_Abri_Pataud_2011"/>
    <w:p>
      <w:pPr>
        <w:pStyle w:val="Bibliography"/>
      </w:pPr>
      <w:r>
        <w:t xml:space="preserve">[6]</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288">
        <w:r>
          <w:rPr>
            <w:rStyle w:val="Hyperlink"/>
          </w:rPr>
          <w:t xml:space="preserve">https://doi.org/10.1016/j.jhevol.2011.06.005</w:t>
        </w:r>
      </w:hyperlink>
      <w:r>
        <w:t xml:space="preserve">.</w:t>
      </w:r>
    </w:p>
    <w:bookmarkEnd w:id="289"/>
    <w:bookmarkStart w:id="291" w:name="ref-Talamo_La_Ferrassie_2020"/>
    <w:p>
      <w:pPr>
        <w:pStyle w:val="Bibliography"/>
      </w:pPr>
      <w:r>
        <w:t xml:space="preserve">[7]</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290">
        <w:r>
          <w:rPr>
            <w:rStyle w:val="Hyperlink"/>
          </w:rPr>
          <w:t xml:space="preserve">https://doi.org/10.1002/jqs.3236</w:t>
        </w:r>
      </w:hyperlink>
      <w:r>
        <w:t xml:space="preserve">.</w:t>
      </w:r>
    </w:p>
    <w:bookmarkEnd w:id="291"/>
    <w:bookmarkStart w:id="292" w:name="ref-Delporte_1984_Ferrassie"/>
    <w:p>
      <w:pPr>
        <w:pStyle w:val="Bibliography"/>
      </w:pPr>
      <w:r>
        <w:t xml:space="preserve">[8]</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292"/>
    <w:bookmarkStart w:id="294" w:name="ref-Oliva_2006"/>
    <w:p>
      <w:pPr>
        <w:pStyle w:val="Bibliography"/>
      </w:pPr>
      <w:r>
        <w:t xml:space="preserve">[9]</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293">
        <w:r>
          <w:rPr>
            <w:rStyle w:val="Hyperlink"/>
          </w:rPr>
          <w:t xml:space="preserve">https://doi.org/10.1007/978-3-211-49294-9_4</w:t>
        </w:r>
      </w:hyperlink>
      <w:r>
        <w:t xml:space="preserve">.</w:t>
      </w:r>
    </w:p>
    <w:bookmarkEnd w:id="294"/>
    <w:bookmarkStart w:id="296" w:name="ref-Wild_et_al_2005"/>
    <w:p>
      <w:pPr>
        <w:pStyle w:val="Bibliography"/>
      </w:pPr>
      <w:r>
        <w:t xml:space="preserve">[10]</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295">
        <w:r>
          <w:rPr>
            <w:rStyle w:val="Hyperlink"/>
          </w:rPr>
          <w:t xml:space="preserve">https://doi.org/10.1038/nature03585</w:t>
        </w:r>
      </w:hyperlink>
      <w:r>
        <w:t xml:space="preserve">.</w:t>
      </w:r>
    </w:p>
    <w:bookmarkEnd w:id="296"/>
    <w:bookmarkStart w:id="298" w:name="ref-Schurch_Conard_2026_reassess"/>
    <w:p>
      <w:pPr>
        <w:pStyle w:val="Bibliography"/>
      </w:pPr>
      <w:r>
        <w:t xml:space="preserve">[11]</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297">
        <w:r>
          <w:rPr>
            <w:rStyle w:val="Hyperlink"/>
          </w:rPr>
          <w:t xml:space="preserve">https://doi.org/10.1007/s41982-025-00246-x</w:t>
        </w:r>
      </w:hyperlink>
      <w:r>
        <w:t xml:space="preserve">.</w:t>
      </w:r>
    </w:p>
    <w:bookmarkEnd w:id="298"/>
    <w:bookmarkStart w:id="300" w:name="ref-Blondel_2008"/>
    <w:p>
      <w:pPr>
        <w:pStyle w:val="Bibliography"/>
      </w:pPr>
      <w:r>
        <w:t xml:space="preserve">[12]</w:t>
      </w:r>
      <w:r>
        <w:t xml:space="preserve"> </w:t>
      </w:r>
      <w:r>
        <w:t xml:space="preserve">	</w:t>
      </w:r>
      <w:r>
        <w:t xml:space="preserve">Blondel VD, Guillaume J-L, Lambiotte R, Lefebvre E. Fast unfolding of communities in large networks. Journal of Statistical Mechanics: Theory and Experiment 2008;2008:P10008.</w:t>
      </w:r>
      <w:r>
        <w:t xml:space="preserve"> </w:t>
      </w:r>
      <w:hyperlink r:id="rId299">
        <w:r>
          <w:rPr>
            <w:rStyle w:val="Hyperlink"/>
          </w:rPr>
          <w:t xml:space="preserve">https://doi.org/10.1088/1742-5468/2008/10/P10008</w:t>
        </w:r>
      </w:hyperlink>
      <w:r>
        <w:t xml:space="preserve">.</w:t>
      </w:r>
    </w:p>
    <w:bookmarkEnd w:id="300"/>
    <w:bookmarkStart w:id="302" w:name="ref-newman2004finding"/>
    <w:p>
      <w:pPr>
        <w:pStyle w:val="Bibliography"/>
      </w:pPr>
      <w:r>
        <w:t xml:space="preserve">[13]</w:t>
      </w:r>
      <w:r>
        <w:t xml:space="preserve"> </w:t>
      </w:r>
      <w:r>
        <w:t xml:space="preserve">	</w:t>
      </w:r>
      <w:r>
        <w:t xml:space="preserve">Newman ME, Girvan M. Finding and evaluating community structure in networks. Physical Review E 2004;69:026113.</w:t>
      </w:r>
      <w:r>
        <w:t xml:space="preserve"> </w:t>
      </w:r>
      <w:hyperlink r:id="rId301">
        <w:r>
          <w:rPr>
            <w:rStyle w:val="Hyperlink"/>
          </w:rPr>
          <w:t xml:space="preserve">https://doi.org/10.1103/PhysRevE.69.026113</w:t>
        </w:r>
      </w:hyperlink>
      <w:r>
        <w:t xml:space="preserve">.</w:t>
      </w:r>
    </w:p>
    <w:bookmarkEnd w:id="302"/>
    <w:bookmarkStart w:id="304" w:name="ref-Roberts_2021"/>
    <w:p>
      <w:pPr>
        <w:pStyle w:val="Bibliography"/>
      </w:pPr>
      <w:r>
        <w:t xml:space="preserve">[14]</w:t>
      </w:r>
      <w:r>
        <w:t xml:space="preserve"> </w:t>
      </w:r>
      <w:r>
        <w:t xml:space="preserve">	</w:t>
      </w:r>
      <w:r>
        <w:t xml:space="preserve">Roberts JM, Yin Y, Dorshorst E, Peeples MA, Mills BJ. Assessing the performance of the bootstrap in simulated assemblage networks. Social Networks 2021;65:98–109.</w:t>
      </w:r>
      <w:r>
        <w:t xml:space="preserve"> </w:t>
      </w:r>
      <w:hyperlink r:id="rId303">
        <w:r>
          <w:rPr>
            <w:rStyle w:val="Hyperlink"/>
          </w:rPr>
          <w:t xml:space="preserve">https://doi.org/10.1016/j.socnet.2020.11.005</w:t>
        </w:r>
      </w:hyperlink>
      <w:r>
        <w:t xml:space="preserve">.</w:t>
      </w:r>
    </w:p>
    <w:bookmarkEnd w:id="304"/>
    <w:bookmarkStart w:id="306" w:name="ref-Clarke_Rothery_Raybould_2002"/>
    <w:p>
      <w:pPr>
        <w:pStyle w:val="Bibliography"/>
      </w:pPr>
      <w:r>
        <w:t xml:space="preserve">[15]</w:t>
      </w:r>
      <w:r>
        <w:t xml:space="preserve"> </w:t>
      </w:r>
      <w:r>
        <w:t xml:space="preserve">	</w:t>
      </w:r>
      <w:r>
        <w:t xml:space="preserve">Clarke RT, Rothery P, Raybould AF. Confidence limits for regression relationships between distance matrices: Estimating gene flow with distance. Journal of Agricultural, Biological, and Environmental Statistics 2002;7:361–72.</w:t>
      </w:r>
      <w:r>
        <w:t xml:space="preserve"> </w:t>
      </w:r>
      <w:hyperlink r:id="rId305">
        <w:r>
          <w:rPr>
            <w:rStyle w:val="Hyperlink"/>
          </w:rPr>
          <w:t xml:space="preserve">https://doi.org/10.1198/108571102320</w:t>
        </w:r>
      </w:hyperlink>
      <w:r>
        <w:t xml:space="preserve">.</w:t>
      </w:r>
    </w:p>
    <w:bookmarkEnd w:id="306"/>
    <w:bookmarkStart w:id="308" w:name="ref-Lichstein_2007"/>
    <w:p>
      <w:pPr>
        <w:pStyle w:val="Bibliography"/>
      </w:pPr>
      <w:r>
        <w:t xml:space="preserve">[16]</w:t>
      </w:r>
      <w:r>
        <w:t xml:space="preserve"> </w:t>
      </w:r>
      <w:r>
        <w:t xml:space="preserve">	</w:t>
      </w:r>
      <w:r>
        <w:t xml:space="preserve">Lichstein JW. Multiple regression on distance matrices: A multivariate spatial analysis tool. Plant Ecology 2007;188:117–31.</w:t>
      </w:r>
      <w:r>
        <w:t xml:space="preserve"> </w:t>
      </w:r>
      <w:hyperlink r:id="rId307">
        <w:r>
          <w:rPr>
            <w:rStyle w:val="Hyperlink"/>
          </w:rPr>
          <w:t xml:space="preserve">https://doi.org/10.1007/s11258-006-9126-3</w:t>
        </w:r>
      </w:hyperlink>
      <w:r>
        <w:t xml:space="preserve">.</w:t>
      </w:r>
    </w:p>
    <w:bookmarkEnd w:id="308"/>
    <w:bookmarkStart w:id="310" w:name="ref-Monti_2003"/>
    <w:p>
      <w:pPr>
        <w:pStyle w:val="Bibliography"/>
      </w:pPr>
      <w:r>
        <w:t xml:space="preserve">[17]</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309">
        <w:r>
          <w:rPr>
            <w:rStyle w:val="Hyperlink"/>
          </w:rPr>
          <w:t xml:space="preserve">https://doi.org/10.1023/A:1023949509487</w:t>
        </w:r>
      </w:hyperlink>
      <w:r>
        <w:t xml:space="preserve">.</w:t>
      </w:r>
    </w:p>
    <w:bookmarkEnd w:id="310"/>
    <w:bookmarkStart w:id="312" w:name="ref-Leger_2016"/>
    <w:p>
      <w:pPr>
        <w:pStyle w:val="Bibliography"/>
      </w:pPr>
      <w:r>
        <w:t xml:space="preserve">[18]</w:t>
      </w:r>
      <w:r>
        <w:t xml:space="preserve"> </w:t>
      </w:r>
      <w:r>
        <w:t xml:space="preserve">	</w:t>
      </w:r>
      <w:r>
        <w:t xml:space="preserve">Léger J-B. Blockmodels: A</w:t>
      </w:r>
      <w:r>
        <w:t xml:space="preserve"> </w:t>
      </w:r>
      <w:r>
        <w:t xml:space="preserve">R</w:t>
      </w:r>
      <w:r>
        <w:t xml:space="preserve">-package for estimating in latent block model and stochastic block model, with various probability functions, with or without covariates 2016.</w:t>
      </w:r>
      <w:r>
        <w:t xml:space="preserve"> </w:t>
      </w:r>
      <w:hyperlink r:id="rId311">
        <w:r>
          <w:rPr>
            <w:rStyle w:val="Hyperlink"/>
          </w:rPr>
          <w:t xml:space="preserve">https://doi.org/10.48550/arXiv.1602.07587</w:t>
        </w:r>
      </w:hyperlink>
      <w:r>
        <w:t xml:space="preserve">.</w:t>
      </w:r>
    </w:p>
    <w:bookmarkEnd w:id="312"/>
    <w:bookmarkStart w:id="314" w:name="ref-Hubert_Arabie_1985"/>
    <w:p>
      <w:pPr>
        <w:pStyle w:val="Bibliography"/>
      </w:pPr>
      <w:r>
        <w:t xml:space="preserve">[19]</w:t>
      </w:r>
      <w:r>
        <w:t xml:space="preserve"> </w:t>
      </w:r>
      <w:r>
        <w:t xml:space="preserve">	</w:t>
      </w:r>
      <w:r>
        <w:t xml:space="preserve">Hubert L, Arabie P. Comparing partitions. Journal of Classification 1985;2:193–218.</w:t>
      </w:r>
      <w:r>
        <w:t xml:space="preserve"> </w:t>
      </w:r>
      <w:hyperlink r:id="rId313">
        <w:r>
          <w:rPr>
            <w:rStyle w:val="Hyperlink"/>
          </w:rPr>
          <w:t xml:space="preserve">https://doi.org/10.1007/BF01908075</w:t>
        </w:r>
      </w:hyperlink>
      <w:r>
        <w:t xml:space="preserve">.</w:t>
      </w:r>
    </w:p>
    <w:bookmarkEnd w:id="314"/>
    <w:bookmarkStart w:id="316" w:name="ref-Gao_Bien_Witten_2022"/>
    <w:p>
      <w:pPr>
        <w:pStyle w:val="Bibliography"/>
      </w:pPr>
      <w:r>
        <w:t xml:space="preserve">[20]</w:t>
      </w:r>
      <w:r>
        <w:t xml:space="preserve"> </w:t>
      </w:r>
      <w:r>
        <w:t xml:space="preserve">	</w:t>
      </w:r>
      <w:r>
        <w:t xml:space="preserve">Gao LL, Bien J, Witten D. Selective inference for</w:t>
      </w:r>
      <w:r>
        <w:t xml:space="preserve"> </w:t>
      </w:r>
      <w:r>
        <w:t xml:space="preserve">Hierarchical</w:t>
      </w:r>
      <w:r>
        <w:t xml:space="preserve"> </w:t>
      </w:r>
      <w:r>
        <w:t xml:space="preserve">clustering. Journal of the American Statistical Association 2022;119:332–42.</w:t>
      </w:r>
      <w:r>
        <w:t xml:space="preserve"> </w:t>
      </w:r>
      <w:hyperlink r:id="rId315">
        <w:r>
          <w:rPr>
            <w:rStyle w:val="Hyperlink"/>
          </w:rPr>
          <w:t xml:space="preserve">https://doi.org/10.1080/01621459.2022.2116331</w:t>
        </w:r>
      </w:hyperlink>
      <w:r>
        <w:t xml:space="preserve">.</w:t>
      </w:r>
    </w:p>
    <w:bookmarkEnd w:id="316"/>
    <w:bookmarkStart w:id="318" w:name="ref-Neufeld_2024"/>
    <w:p>
      <w:pPr>
        <w:pStyle w:val="Bibliography"/>
      </w:pPr>
      <w:r>
        <w:t xml:space="preserve">[21]</w:t>
      </w:r>
      <w:r>
        <w:t xml:space="preserve"> </w:t>
      </w:r>
      <w:r>
        <w:t xml:space="preserve">	</w:t>
      </w:r>
      <w:r>
        <w:t xml:space="preserve">Neufeld A, Gao LL, Popp J, Battle A, Witten D. Inference after latent variable estimation for single-cell</w:t>
      </w:r>
      <w:r>
        <w:t xml:space="preserve"> </w:t>
      </w:r>
      <w:r>
        <w:t xml:space="preserve">RNA</w:t>
      </w:r>
      <w:r>
        <w:t xml:space="preserve"> </w:t>
      </w:r>
      <w:r>
        <w:t xml:space="preserve">sequencing data. Biostatistics 2024;25:270–87.</w:t>
      </w:r>
      <w:r>
        <w:t xml:space="preserve"> </w:t>
      </w:r>
      <w:hyperlink r:id="rId317">
        <w:r>
          <w:rPr>
            <w:rStyle w:val="Hyperlink"/>
          </w:rPr>
          <w:t xml:space="preserve">https://doi.org/10.1093/biostatistics/kxac047</w:t>
        </w:r>
      </w:hyperlink>
      <w:r>
        <w:t xml:space="preserve">.</w:t>
      </w:r>
    </w:p>
    <w:bookmarkEnd w:id="318"/>
    <w:bookmarkStart w:id="320" w:name="ref-Brown_1975"/>
    <w:p>
      <w:pPr>
        <w:pStyle w:val="Bibliography"/>
      </w:pPr>
      <w:r>
        <w:t xml:space="preserve">[22]</w:t>
      </w:r>
      <w:r>
        <w:t xml:space="preserve"> </w:t>
      </w:r>
      <w:r>
        <w:t xml:space="preserve">	</w:t>
      </w:r>
      <w:r>
        <w:t xml:space="preserve">Brown MB. 400:</w:t>
      </w:r>
      <w:r>
        <w:t xml:space="preserve"> </w:t>
      </w:r>
      <w:r>
        <w:t xml:space="preserve">A</w:t>
      </w:r>
      <w:r>
        <w:t xml:space="preserve"> </w:t>
      </w:r>
      <w:r>
        <w:t xml:space="preserve">method for combining non-independent, one-sided tests of significance. Biometrics 1975;31:987–92.</w:t>
      </w:r>
      <w:r>
        <w:t xml:space="preserve"> </w:t>
      </w:r>
      <w:hyperlink r:id="rId319">
        <w:r>
          <w:rPr>
            <w:rStyle w:val="Hyperlink"/>
          </w:rPr>
          <w:t xml:space="preserve">https://doi.org/10.2307/2529826</w:t>
        </w:r>
      </w:hyperlink>
      <w:r>
        <w:t xml:space="preserve">.</w:t>
      </w:r>
    </w:p>
    <w:bookmarkEnd w:id="320"/>
    <w:bookmarkStart w:id="322" w:name="ref-Poole_2016"/>
    <w:p>
      <w:pPr>
        <w:pStyle w:val="Bibliography"/>
      </w:pPr>
      <w:r>
        <w:t xml:space="preserve">[23]</w:t>
      </w:r>
      <w:r>
        <w:t xml:space="preserve"> </w:t>
      </w:r>
      <w:r>
        <w:t xml:space="preserve">	</w:t>
      </w:r>
      <w:r>
        <w:t xml:space="preserve">Poole W, Gibbs DL, Shmulevich I, Bernard B, Knijnenburg TA. Combining dependent</w:t>
      </w:r>
      <w:r>
        <w:t xml:space="preserve"> </w:t>
      </w:r>
      <w:r>
        <w:t xml:space="preserve">P</w:t>
      </w:r>
      <w:r>
        <w:t xml:space="preserve">-values with an empirical adaptation of</w:t>
      </w:r>
      <w:r>
        <w:t xml:space="preserve"> </w:t>
      </w:r>
      <w:r>
        <w:t xml:space="preserve">Brown</w:t>
      </w:r>
      <w:r>
        <w:t xml:space="preserve">’s method. Bioinformatics 2016;32:i430–6.</w:t>
      </w:r>
      <w:r>
        <w:t xml:space="preserve"> </w:t>
      </w:r>
      <w:hyperlink r:id="rId321">
        <w:r>
          <w:rPr>
            <w:rStyle w:val="Hyperlink"/>
          </w:rPr>
          <w:t xml:space="preserve">https://doi.org/10.1093/bioinformatics/btw438</w:t>
        </w:r>
      </w:hyperlink>
      <w:r>
        <w:t xml:space="preserve">.</w:t>
      </w:r>
    </w:p>
    <w:bookmarkEnd w:id="322"/>
    <w:bookmarkStart w:id="324" w:name="ref-Chao_Jost_2012"/>
    <w:p>
      <w:pPr>
        <w:pStyle w:val="Bibliography"/>
      </w:pPr>
      <w:r>
        <w:t xml:space="preserve">[24]</w:t>
      </w:r>
      <w:r>
        <w:t xml:space="preserve"> </w:t>
      </w:r>
      <w:r>
        <w:t xml:space="preserve">	</w:t>
      </w:r>
      <w:r>
        <w:t xml:space="preserve">Chao A, Jost L. Coverage-based rarefaction and extrapolation: Standardizing samples by completeness rather than size. Ecology 2012;93:2533–47.</w:t>
      </w:r>
      <w:r>
        <w:t xml:space="preserve"> </w:t>
      </w:r>
      <w:hyperlink r:id="rId323">
        <w:r>
          <w:rPr>
            <w:rStyle w:val="Hyperlink"/>
          </w:rPr>
          <w:t xml:space="preserve">https://doi.org/10.1890/11-1952.1</w:t>
        </w:r>
      </w:hyperlink>
      <w:r>
        <w:t xml:space="preserve">.</w:t>
      </w:r>
    </w:p>
    <w:bookmarkEnd w:id="324"/>
    <w:bookmarkStart w:id="326" w:name="ref-Gotelli_Colwell_2001"/>
    <w:p>
      <w:pPr>
        <w:pStyle w:val="Bibliography"/>
      </w:pPr>
      <w:r>
        <w:t xml:space="preserve">[25]</w:t>
      </w:r>
      <w:r>
        <w:t xml:space="preserve"> </w:t>
      </w:r>
      <w:r>
        <w:t xml:space="preserve">	</w:t>
      </w:r>
      <w:r>
        <w:t xml:space="preserve">Gotelli NJ, Colwell RK. Quantifying biodiversity: Procedures and pitfalls in the measurement and comparison of species richness. Ecology Letters 2001;4:379–91.</w:t>
      </w:r>
      <w:r>
        <w:t xml:space="preserve"> </w:t>
      </w:r>
      <w:hyperlink r:id="rId325">
        <w:r>
          <w:rPr>
            <w:rStyle w:val="Hyperlink"/>
          </w:rPr>
          <w:t xml:space="preserve">https://doi.org/10.1046/j.1461-0248.2001.00230.x</w:t>
        </w:r>
      </w:hyperlink>
      <w:r>
        <w:t xml:space="preserve">.</w:t>
      </w:r>
    </w:p>
    <w:bookmarkEnd w:id="326"/>
    <w:bookmarkStart w:id="328" w:name="ref-Hsieh_Ma_Chao_2016"/>
    <w:p>
      <w:pPr>
        <w:pStyle w:val="Bibliography"/>
      </w:pPr>
      <w:r>
        <w:t xml:space="preserve">[26]</w:t>
      </w:r>
      <w:r>
        <w:t xml:space="preserve"> </w:t>
      </w:r>
      <w:r>
        <w:t xml:space="preserve">	</w:t>
      </w:r>
      <w:r>
        <w:t xml:space="preserve">Hsieh TC, Ma KH, Chao A.</w:t>
      </w:r>
      <w:r>
        <w:t xml:space="preserve"> </w:t>
      </w:r>
      <w:r>
        <w:t xml:space="preserve">iNEXT</w:t>
      </w:r>
      <w:r>
        <w:t xml:space="preserve">: An</w:t>
      </w:r>
      <w:r>
        <w:t xml:space="preserve"> </w:t>
      </w:r>
      <w:r>
        <w:t xml:space="preserve">R</w:t>
      </w:r>
      <w:r>
        <w:t xml:space="preserve"> </w:t>
      </w:r>
      <w:r>
        <w:t xml:space="preserve">package for rarefaction and extrapolation of species diversity (</w:t>
      </w:r>
      <w:r>
        <w:t xml:space="preserve">Hill</w:t>
      </w:r>
      <w:r>
        <w:t xml:space="preserve"> </w:t>
      </w:r>
      <w:r>
        <w:t xml:space="preserve">numbers). Methods in Ecology and Evolution 2016;7:1451–6.</w:t>
      </w:r>
      <w:r>
        <w:t xml:space="preserve"> </w:t>
      </w:r>
      <w:hyperlink r:id="rId327">
        <w:r>
          <w:rPr>
            <w:rStyle w:val="Hyperlink"/>
          </w:rPr>
          <w:t xml:space="preserve">https://doi.org/10.1111/2041-210X.12613</w:t>
        </w:r>
      </w:hyperlink>
      <w:r>
        <w:t xml:space="preserve">.</w:t>
      </w:r>
    </w:p>
    <w:bookmarkEnd w:id="328"/>
    <w:bookmarkStart w:id="330" w:name="ref-Venables_Ripley_2002"/>
    <w:p>
      <w:pPr>
        <w:pStyle w:val="Bibliography"/>
      </w:pPr>
      <w:r>
        <w:t xml:space="preserve">[27]</w:t>
      </w:r>
      <w:r>
        <w:t xml:space="preserve"> </w:t>
      </w:r>
      <w:r>
        <w:t xml:space="preserve">	</w:t>
      </w:r>
      <w:r>
        <w:t xml:space="preserve">Venables WN, Ripley BD. Modern applied statistics with s. Fourth. Springer; 2002.</w:t>
      </w:r>
      <w:r>
        <w:t xml:space="preserve"> </w:t>
      </w:r>
      <w:hyperlink r:id="rId329">
        <w:r>
          <w:rPr>
            <w:rStyle w:val="Hyperlink"/>
          </w:rPr>
          <w:t xml:space="preserve">https://doi.org/10.1007/978-0-387-21706-2</w:t>
        </w:r>
      </w:hyperlink>
      <w:r>
        <w:t xml:space="preserve">.</w:t>
      </w:r>
    </w:p>
    <w:bookmarkEnd w:id="330"/>
    <w:bookmarkStart w:id="332" w:name="ref-Bentz_Dutkiewicz_2026"/>
    <w:p>
      <w:pPr>
        <w:pStyle w:val="Bibliography"/>
      </w:pPr>
      <w:r>
        <w:t xml:space="preserve">[28]</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331">
        <w:r>
          <w:rPr>
            <w:rStyle w:val="Hyperlink"/>
          </w:rPr>
          <w:t xml:space="preserve">https://doi.org/10.1073/pnas.2520385123</w:t>
        </w:r>
      </w:hyperlink>
      <w:r>
        <w:t xml:space="preserve">.</w:t>
      </w:r>
    </w:p>
    <w:bookmarkEnd w:id="332"/>
    <w:bookmarkStart w:id="334" w:name="ref-Hoenig_Heisey_2001"/>
    <w:p>
      <w:pPr>
        <w:pStyle w:val="Bibliography"/>
      </w:pPr>
      <w:r>
        <w:t xml:space="preserve">[29]</w:t>
      </w:r>
      <w:r>
        <w:t xml:space="preserve"> </w:t>
      </w:r>
      <w:r>
        <w:t xml:space="preserve">	</w:t>
      </w:r>
      <w:r>
        <w:t xml:space="preserve">Hoenig JM, Heisey DM. The abuse of power:</w:t>
      </w:r>
      <w:r>
        <w:t xml:space="preserve"> </w:t>
      </w:r>
      <w:r>
        <w:t xml:space="preserve">The</w:t>
      </w:r>
      <w:r>
        <w:t xml:space="preserve"> </w:t>
      </w:r>
      <w:r>
        <w:t xml:space="preserve">pervasive fallacy of power calculations for data analysis. The American Statistician 2001;55:19–24.</w:t>
      </w:r>
      <w:r>
        <w:t xml:space="preserve"> </w:t>
      </w:r>
      <w:hyperlink r:id="rId333">
        <w:r>
          <w:rPr>
            <w:rStyle w:val="Hyperlink"/>
          </w:rPr>
          <w:t xml:space="preserve">https://doi.org/10.1198/000313001300339897</w:t>
        </w:r>
      </w:hyperlink>
      <w:r>
        <w:t xml:space="preserve">.</w:t>
      </w:r>
    </w:p>
    <w:bookmarkEnd w:id="334"/>
    <w:bookmarkStart w:id="336" w:name="ref-Cohen_1992"/>
    <w:p>
      <w:pPr>
        <w:pStyle w:val="Bibliography"/>
      </w:pPr>
      <w:r>
        <w:t xml:space="preserve">[30]</w:t>
      </w:r>
      <w:r>
        <w:t xml:space="preserve"> </w:t>
      </w:r>
      <w:r>
        <w:t xml:space="preserve">	</w:t>
      </w:r>
      <w:r>
        <w:t xml:space="preserve">Cohen J. A power primer. Psychological Bulletin 1992;112:155–9.</w:t>
      </w:r>
      <w:r>
        <w:t xml:space="preserve"> </w:t>
      </w:r>
      <w:hyperlink r:id="rId335">
        <w:r>
          <w:rPr>
            <w:rStyle w:val="Hyperlink"/>
          </w:rPr>
          <w:t xml:space="preserve">https://doi.org/10.1037/0033-2909.112.1.155</w:t>
        </w:r>
      </w:hyperlink>
      <w:r>
        <w:t xml:space="preserve">.</w:t>
      </w:r>
    </w:p>
    <w:bookmarkEnd w:id="336"/>
    <w:bookmarkStart w:id="338" w:name="ref-Legendre_2015"/>
    <w:p>
      <w:pPr>
        <w:pStyle w:val="Bibliography"/>
      </w:pPr>
      <w:r>
        <w:t xml:space="preserve">[31]</w:t>
      </w:r>
      <w:r>
        <w:t xml:space="preserve"> </w:t>
      </w:r>
      <w:r>
        <w:t xml:space="preserve">	</w:t>
      </w:r>
      <w:r>
        <w:t xml:space="preserve">Legendre P, Fortin M-J, Borcard D. Should the mantel test be used in spatial analysis? Methods in Ecology and Evolution 2015;6:1239–47.</w:t>
      </w:r>
      <w:r>
        <w:t xml:space="preserve"> </w:t>
      </w:r>
      <w:hyperlink r:id="rId337">
        <w:r>
          <w:rPr>
            <w:rStyle w:val="Hyperlink"/>
          </w:rPr>
          <w:t xml:space="preserve">https://doi.org/10.1111/2041-210X.12425</w:t>
        </w:r>
      </w:hyperlink>
      <w:r>
        <w:t xml:space="preserve">.</w:t>
      </w:r>
    </w:p>
    <w:bookmarkEnd w:id="338"/>
    <w:bookmarkStart w:id="340" w:name="ref-Guillot_Rousset_2013"/>
    <w:p>
      <w:pPr>
        <w:pStyle w:val="Bibliography"/>
      </w:pPr>
      <w:r>
        <w:t xml:space="preserve">[32]</w:t>
      </w:r>
      <w:r>
        <w:t xml:space="preserve"> </w:t>
      </w:r>
      <w:r>
        <w:t xml:space="preserve">	</w:t>
      </w:r>
      <w:r>
        <w:t xml:space="preserve">Guillot G, Rousset F. Dismantling the mantel tests. Methods in Ecology and Evolution 2013;4:336–44.</w:t>
      </w:r>
      <w:r>
        <w:t xml:space="preserve"> </w:t>
      </w:r>
      <w:hyperlink r:id="rId339">
        <w:r>
          <w:rPr>
            <w:rStyle w:val="Hyperlink"/>
          </w:rPr>
          <w:t xml:space="preserve">https://doi.org/10.1111/2041-210X.12018</w:t>
        </w:r>
      </w:hyperlink>
      <w:r>
        <w:t xml:space="preserve">.</w:t>
      </w:r>
    </w:p>
    <w:bookmarkEnd w:id="340"/>
    <w:bookmarkStart w:id="342" w:name="ref-Anderson_Walsh_2013"/>
    <w:p>
      <w:pPr>
        <w:pStyle w:val="Bibliography"/>
      </w:pPr>
      <w:r>
        <w:t xml:space="preserve">[33]</w:t>
      </w:r>
      <w:r>
        <w:t xml:space="preserve"> </w:t>
      </w:r>
      <w:r>
        <w:t xml:space="preserve">	</w:t>
      </w:r>
      <w:r>
        <w:t xml:space="preserve">Anderson MJ, Walsh DCI.</w:t>
      </w:r>
      <w:r>
        <w:t xml:space="preserve"> </w:t>
      </w:r>
      <w:r>
        <w:t xml:space="preserve">PERMANOVA</w:t>
      </w:r>
      <w:r>
        <w:t xml:space="preserve">,</w:t>
      </w:r>
      <w:r>
        <w:t xml:space="preserve"> </w:t>
      </w:r>
      <w:r>
        <w:t xml:space="preserve">ANOSIM</w:t>
      </w:r>
      <w:r>
        <w:t xml:space="preserve">, and the</w:t>
      </w:r>
      <w:r>
        <w:t xml:space="preserve"> </w:t>
      </w:r>
      <w:r>
        <w:t xml:space="preserve">Mantel</w:t>
      </w:r>
      <w:r>
        <w:t xml:space="preserve"> </w:t>
      </w:r>
      <w:r>
        <w:t xml:space="preserve">test in the face of heterogeneous dispersions:</w:t>
      </w:r>
      <w:r>
        <w:t xml:space="preserve"> </w:t>
      </w:r>
      <w:r>
        <w:t xml:space="preserve">What</w:t>
      </w:r>
      <w:r>
        <w:t xml:space="preserve"> </w:t>
      </w:r>
      <w:r>
        <w:t xml:space="preserve">null hypothesis are you testing? Ecological Monographs 2013;83:557–74.</w:t>
      </w:r>
      <w:r>
        <w:t xml:space="preserve"> </w:t>
      </w:r>
      <w:hyperlink r:id="rId341">
        <w:r>
          <w:rPr>
            <w:rStyle w:val="Hyperlink"/>
          </w:rPr>
          <w:t xml:space="preserve">https://doi.org/10.1890/12-2010.1</w:t>
        </w:r>
      </w:hyperlink>
      <w:r>
        <w:t xml:space="preserve">.</w:t>
      </w:r>
    </w:p>
    <w:bookmarkEnd w:id="342"/>
    <w:bookmarkEnd w:id="343"/>
    <w:bookmarkEnd w:id="344"/>
    <w:bookmarkEnd w:id="345"/>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68" Target="media/rId168.png" /><Relationship Type="http://schemas.openxmlformats.org/officeDocument/2006/relationships/image" Id="rId199" Target="media/rId199.png" /><Relationship Type="http://schemas.openxmlformats.org/officeDocument/2006/relationships/image" Id="rId208" Target="media/rId208.png" /><Relationship Type="http://schemas.openxmlformats.org/officeDocument/2006/relationships/image" Id="rId50" Target="media/rId50.png" /><Relationship Type="http://schemas.openxmlformats.org/officeDocument/2006/relationships/image" Id="rId157" Target="media/rId157.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130" Target="media/rId130.png" /><Relationship Type="http://schemas.openxmlformats.org/officeDocument/2006/relationships/image" Id="rId65" Target="media/rId65.png" /><Relationship Type="http://schemas.openxmlformats.org/officeDocument/2006/relationships/image" Id="rId221" Target="media/rId221.png" /><Relationship Type="http://schemas.openxmlformats.org/officeDocument/2006/relationships/image" Id="rId250" Target="media/rId250.png" /><Relationship Type="http://schemas.openxmlformats.org/officeDocument/2006/relationships/image" Id="rId271" Target="media/rId271.png" /><Relationship Type="http://schemas.openxmlformats.org/officeDocument/2006/relationships/image" Id="rId238" Target="media/rId238.png" /><Relationship Type="http://schemas.openxmlformats.org/officeDocument/2006/relationships/image" Id="rId230" Target="media/rId230.png" /><Relationship Type="http://schemas.openxmlformats.org/officeDocument/2006/relationships/image" Id="rId176" Target="media/rId176.png" /><Relationship Type="http://schemas.openxmlformats.org/officeDocument/2006/relationships/image" Id="rId36" Target="media/rId36.png" /><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290" Target="https://doi.org/10.1002/jqs.3236" TargetMode="External" /><Relationship Type="http://schemas.openxmlformats.org/officeDocument/2006/relationships/hyperlink" Id="rId329" Target="https://doi.org/10.1007/978-0-387-21706-2" TargetMode="External" /><Relationship Type="http://schemas.openxmlformats.org/officeDocument/2006/relationships/hyperlink" Id="rId293" Target="https://doi.org/10.1007/978-3-211-49294-9_4" TargetMode="External" /><Relationship Type="http://schemas.openxmlformats.org/officeDocument/2006/relationships/hyperlink" Id="rId313" Target="https://doi.org/10.1007/BF01908075" TargetMode="External" /><Relationship Type="http://schemas.openxmlformats.org/officeDocument/2006/relationships/hyperlink" Id="rId307" Target="https://doi.org/10.1007/s11258-006-9126-3" TargetMode="External" /><Relationship Type="http://schemas.openxmlformats.org/officeDocument/2006/relationships/hyperlink" Id="rId284" Target="https://doi.org/10.1007/s41982-017-0004-4" TargetMode="External" /><Relationship Type="http://schemas.openxmlformats.org/officeDocument/2006/relationships/hyperlink" Id="rId297" Target="https://doi.org/10.1007/s41982-025-00246-x" TargetMode="External" /><Relationship Type="http://schemas.openxmlformats.org/officeDocument/2006/relationships/hyperlink" Id="rId288" Target="https://doi.org/10.1016/j.jhevol.2011.06.005" TargetMode="External" /><Relationship Type="http://schemas.openxmlformats.org/officeDocument/2006/relationships/hyperlink" Id="rId282" Target="https://doi.org/10.1016/j.quascirev.2021.106995" TargetMode="External" /><Relationship Type="http://schemas.openxmlformats.org/officeDocument/2006/relationships/hyperlink" Id="rId303" Target="https://doi.org/10.1016/j.socnet.2020.11.005" TargetMode="External" /><Relationship Type="http://schemas.openxmlformats.org/officeDocument/2006/relationships/hyperlink" Id="rId309" Target="https://doi.org/10.1023/A:1023949509487" TargetMode="External" /><Relationship Type="http://schemas.openxmlformats.org/officeDocument/2006/relationships/hyperlink" Id="rId335" Target="https://doi.org/10.1037/0033-2909.112.1.155" TargetMode="External" /><Relationship Type="http://schemas.openxmlformats.org/officeDocument/2006/relationships/hyperlink" Id="rId295" Target="https://doi.org/10.1038/nature03585" TargetMode="External" /><Relationship Type="http://schemas.openxmlformats.org/officeDocument/2006/relationships/hyperlink" Id="rId325" Target="https://doi.org/10.1046/j.1461-0248.2001.00230.x" TargetMode="External" /><Relationship Type="http://schemas.openxmlformats.org/officeDocument/2006/relationships/hyperlink" Id="rId331" Target="https://doi.org/10.1073/pnas.2520385123" TargetMode="External" /><Relationship Type="http://schemas.openxmlformats.org/officeDocument/2006/relationships/hyperlink" Id="rId315" Target="https://doi.org/10.1080/01621459.2022.2116331" TargetMode="External" /><Relationship Type="http://schemas.openxmlformats.org/officeDocument/2006/relationships/hyperlink" Id="rId299" Target="https://doi.org/10.1088/1742-5468/2008/10/P10008" TargetMode="External" /><Relationship Type="http://schemas.openxmlformats.org/officeDocument/2006/relationships/hyperlink" Id="rId321" Target="https://doi.org/10.1093/bioinformatics/btw438" TargetMode="External" /><Relationship Type="http://schemas.openxmlformats.org/officeDocument/2006/relationships/hyperlink" Id="rId317" Target="https://doi.org/10.1093/biostatistics/kxac047" TargetMode="External" /><Relationship Type="http://schemas.openxmlformats.org/officeDocument/2006/relationships/hyperlink" Id="rId301" Target="https://doi.org/10.1103/PhysRevE.69.026113" TargetMode="External" /><Relationship Type="http://schemas.openxmlformats.org/officeDocument/2006/relationships/hyperlink" Id="rId339" Target="https://doi.org/10.1111/2041-210X.12018" TargetMode="External" /><Relationship Type="http://schemas.openxmlformats.org/officeDocument/2006/relationships/hyperlink" Id="rId337" Target="https://doi.org/10.1111/2041-210X.12425" TargetMode="External" /><Relationship Type="http://schemas.openxmlformats.org/officeDocument/2006/relationships/hyperlink" Id="rId327" Target="https://doi.org/10.1111/2041-210X.12613" TargetMode="External" /><Relationship Type="http://schemas.openxmlformats.org/officeDocument/2006/relationships/hyperlink" Id="rId333" Target="https://doi.org/10.1198/000313001300339897" TargetMode="External" /><Relationship Type="http://schemas.openxmlformats.org/officeDocument/2006/relationships/hyperlink" Id="rId305" Target="https://doi.org/10.1198/108571102320" TargetMode="External" /><Relationship Type="http://schemas.openxmlformats.org/officeDocument/2006/relationships/hyperlink" Id="rId278" Target="https://doi.org/10.18637/jss.v022.i07" TargetMode="External" /><Relationship Type="http://schemas.openxmlformats.org/officeDocument/2006/relationships/hyperlink" Id="rId280" Target="https://doi.org/10.1890/0012-9615(1999)069[0001:DBRDAO]2.0.CO;2" TargetMode="External" /><Relationship Type="http://schemas.openxmlformats.org/officeDocument/2006/relationships/hyperlink" Id="rId323" Target="https://doi.org/10.1890/11-1952.1" TargetMode="External" /><Relationship Type="http://schemas.openxmlformats.org/officeDocument/2006/relationships/hyperlink" Id="rId341" Target="https://doi.org/10.1890/12-2010.1" TargetMode="External" /><Relationship Type="http://schemas.openxmlformats.org/officeDocument/2006/relationships/hyperlink" Id="rId319" Target="https://doi.org/10.2307/2529826" TargetMode="External" /><Relationship Type="http://schemas.openxmlformats.org/officeDocument/2006/relationships/hyperlink" Id="rId286" Target="https://doi.org/10.30861/9781841718309" TargetMode="External" /><Relationship Type="http://schemas.openxmlformats.org/officeDocument/2006/relationships/hyperlink" Id="rId311" Target="https://doi.org/10.48550/arXiv.1602.07587"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2026-09-07T07:36:01Z</dcterms:created>
  <dcterms:modified xsi:type="dcterms:W3CDTF">2026-09-07T07:36:01Z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September 7,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as proxies for cultural connectivity during the Western Eurasian Aurignacian</vt:lpwstr>
  </property>
  <property fmtid="{D5CDD505-2E9C-101B-9397-08002B2CF9AE}" pid="17" name="supplement-number">
    <vt:lpwstr>1</vt:lpwstr>
  </property>
  <property fmtid="{D5CDD505-2E9C-101B-9397-08002B2CF9AE}" pid="18" name="title-block-published">
    <vt:lpwstr>Last updated</vt:lpwstr>
  </property>
  <property fmtid="{D5CDD505-2E9C-101B-9397-08002B2CF9AE}" pid="19" name="toc-title">
    <vt:lpwstr>Table of contents</vt:lpwstr>
  </property>
</Properties>
</file>