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7,</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based on specialist technological attributions in site assignment. Using seriation and network analyses, we examine patterns of sign production in each phase, and investigate how the sign-sharing network differs between the Early and Late Aurignacian. Within the early phase (Aur-P1; 20 sites) we hypothesize a two-group structure of restricted versus broad geometric-sign repertoires. Stochastic block modelling recovers the restricted/broad split as its two largest blocks in Aur-P1, while selecting a single block in Aur-P2; but the richness gap between the groups is not distinguishable from a group difference once the saturating richness–effort relationship is modelled. Despite differences in network size between phases, permutation tests show no evidence for meaningful differences in overall connectivity, community structure, or centrality patterns. Mantel tests did not detect a significant correlation between geographic distance and sign distribution in either phase, and the isolation-by-distance relationship does not differ between them, but bootstrap confidence intervals indicate these tests are underpowered at these sample sizes. We find no statistically significant evidence in the SignBase sample for discrete geographically structured groups of Aurignacian geometric signs analogous to those claimed for personal ornaments.</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Personal ornaments are worn on the body and may therefore communicate information about social identity directly to other individuals. Geometric signs engraved on mobile objects may have operated differently, potentially functioning as notation systems, ownership marks, mnemonic devices, ritual symbols, or identity markers. Whether they produce the same geographic patterning observed in ornaments therefore remains an open question. If sign repertoires operated primarily as identity markers, we would expect geographically structured patterning similar to that observed for ornaments. Conversely, the absence of such structure would suggest that geometric signs tracked other social processes or functions. In this study, we extend this previous work using geometric signs as identity markers to investigate group dynamics in the Aurignacian period using seriation and network analysis complemented by robust sensitivity and validation analyses to evaluate whether sign repertoires identify geographically structured cultural groups, and if these change over time.</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Each object was assigned to a chronological phase following specialist technological attributions from the published literature, with the calibrated radiocarbon dates used to supplement the classification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to evaluate the correlation between distance in time and distribution of sign types found a weak but nominally statistically significant correlation (R = 0.062, p = 0.004).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w:t>
      </w:r>
      <w:r>
        <w:t xml:space="preserve"> </w:t>
      </w:r>
      <w:r>
        <w:t xml:space="preserve">“</w:t>
      </w:r>
      <w:r>
        <w:t xml:space="preserve">Sensitivity Analyses</w:t>
      </w:r>
      <w:r>
        <w:t xml:space="preserve">”</w:t>
      </w:r>
      <w:r>
        <w:t xml:space="preserve"> </w:t>
      </w:r>
      <w:r>
        <w:t xml:space="preserve">§S1.8.3): we binned all 28 sites (378 site pairs) by their absolute temporal separation (|ΔMedianBP|) to see if Jaccard sign dissimilarity rises with lag. It does not: the Spearman correlation between temporal lag and dissimilarity is -0.04 (p = 0.39) overall and -0.04 (p = 0.58) within phase.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and sign type distribution (R = 0.151, p = 0.071), supporting our decision to use presence/absence data. Beyond presence/absence coding, we additionally tested the residual object-count confound directly at the object level via downsampling, coverage-based rarefaction, and a negative-binomial regression with log object count as a covariate (see our S1</w:t>
      </w:r>
      <w:r>
        <w:t xml:space="preserve"> </w:t>
      </w:r>
      <w:r>
        <w:t xml:space="preserve">“</w:t>
      </w:r>
      <w:r>
        <w:t xml:space="preserve">Sensitivity Analyses</w:t>
      </w:r>
      <w:r>
        <w:t xml:space="preserve">”</w:t>
      </w:r>
      <w:r>
        <w:t xml:space="preserve">).</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§S1.7.5).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§S1.8.2). This reveals no candidate is significant, so the null Mantel does not identify any specific alternative process. A Mantel correlogram likewise did not detect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As a non-Mantel check that fits an explanatory model rather than correlating two distance matrices, we additionally ran a distance-based redundancy analysis</w:t>
      </w:r>
      <w:r>
        <w:t xml:space="preserve"> </w:t>
      </w:r>
      <w:r>
        <w:t xml:space="preserve">[33]</w:t>
      </w:r>
      <w:r>
        <w:t xml:space="preserve"> </w:t>
      </w:r>
      <w:r>
        <w:t xml:space="preserve">of the site Jaccard dissimilarity matrix on a linear geographic trend surface (longitude + latitude, identical specification in both phases; S1). It detects a weak linear geographic trend in Aur-P1 (R² = 0.156, adjusted R² = 0.057, p = 0.038) but no signal in Aur-P2 (R² = 0.191, adjusted R² = -0.078, p = 0.85). The Aur-P1 trend explains only about six percent of the adjusted variation, so it qualifies rather than overturns the Mantel null: at most a faint geographic gradient is distinguishable, not discrete geographic groups.</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c>
                <w:tcPr/>
                <w:p>
                  <w:pPr>
                    <w:pStyle w:val="Compact"/>
                    <w:jc w:val="left"/>
                    <w:jc w:val="center"/>
                  </w:pPr>
                  <w:r>
                    <w:t xml:space="preserve">Mantel 95% CI</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c>
                <w:tcPr/>
                <w:p>
                  <w:pPr>
                    <w:pStyle w:val="Compact"/>
                    <w:jc w:val="left"/>
                    <w:jc w:val="center"/>
                  </w:pPr>
                  <w:r>
                    <w:t xml:space="preserve">[-0.022, 0.086]</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c>
                <w:tcPr/>
                <w:p>
                  <w:pPr>
                    <w:pStyle w:val="Compact"/>
                    <w:jc w:val="left"/>
                    <w:jc w:val="center"/>
                  </w:pPr>
                  <w:r>
                    <w:t xml:space="preserve">[-0.355, -0.231]</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 The 95% confidence interval comes from an object-within-site bootstrap (B = 1,000).</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§S1.2 and §S1.3).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w:t>
      </w:r>
      <w:r>
        <w:t xml:space="preserve"> </w:t>
      </w:r>
      <w:r>
        <w:t xml:space="preserve">“</w:t>
      </w:r>
      <w:r>
        <w:t xml:space="preserve">Sensitivity Analyses</w:t>
      </w:r>
      <w:r>
        <w:t xml:space="preserve">”</w:t>
      </w:r>
      <w:r>
        <w:t xml:space="preserve"> </w:t>
      </w:r>
      <w:r>
        <w:t xml:space="preserve">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evaluate the two-group hypothesis inferred from the seriation analysis, we used bootstrap resampling and stochastic block models, which we describe in detail in S1. Bootstrap resampling tests the stability of the two groups as an imposed partition. It shows that for Aur-P1, mean within-block co-clustering is 0.75 for the restricted-range block and 0.97 for the broader-range block, against 0.2 across the two blocks. The within-block values substantially exceed the across-block value, which is a signal that both groups are internally coherent and sharply separated. The strength of this signal is much lower for Aur-P2, where the pattern is 0.49 within the restricted block and 0.92 within the broader block, against 0.4 across the blocks. The stochastic block model analysis, which tests whether the proposed groups emerge as latent network communities without being supplied to the model in advance, shows that all three emission models select more than two blocks as optimal in Aur-P1: Bernoulli K = 3 (ICL = -110.1), Gaussian K = 4 (ICL = 73.5), Poisson K = 3 (ICL = -263.3). In each model the restricted/broad split is recovered as the two largest blocks; Bernoulli and Gaussian additionally isolate Labeko Koba, Les Cottés, and Trou al’Wesse as a small third block, while under Poisson the same two broad sites pair off and Grotte du Renne joins the large mixed block (S1 §S1.9.3). In Aur-P2 the Bernoulli and Poisson models select a single block and only the Gaussian model selects two blocks, by a marginal 0.9 ICL points. We therefore consider the restricted/broad division as a dominant axis of sign type composition variation (rich vs. poor sign repertoires) with a stable small-block refinement in Aur-P1, rather than an exact two-group partition.</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supporting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 randomization, none of the network statistics, edge density, modularity (Louvain), mean betweenness, or component count, differs significantly from its null distribution in either phase. All observed values fall within the null 95% confidence intervals and all Benjamini–Hochberg-adjusted p-values are ≥ 0.05. A separate null-benchmarked modularity test (S1) shows that Aur-P1’s observed modularity (0.336 at threshold 0.2) significantly exceeds the random expectation (p = 0.000), while Aur-P2’s observed modularity (0.161) does not (p = 0.078), consistent with Aur-P2’s small sample size. The Aur-P1–Aur-P2 contrast is therefore primarily one of network scale rather than a statistically distinguishable community structure. Object-within-site bootstrap stability bands likewise overlap between phases for both mean degree and modularity (S1), so the phase contrast could be produced by within-site object sampling alone.</w:t>
      </w:r>
    </w:p>
    <w:p>
      <w:pPr>
        <w:pStyle w:val="BodyText"/>
      </w:pPr>
      <w:r>
        <w:t xml:space="preserve">We assessed the sensitivity of our network analysis to site assignment criteria in three ways: (1) reverting to purely date-based assignment; (2) excluding Vogelherd entirely, as a site with an unusually large sign assemblage; (3) excluding figurines concentrated at Vogelherd (S1</w:t>
      </w:r>
      <w:r>
        <w:t xml:space="preserve"> </w:t>
      </w:r>
      <w:r>
        <w:t xml:space="preserve">“</w:t>
      </w:r>
      <w:r>
        <w:t xml:space="preserve">Sensitivity Analyses</w:t>
      </w:r>
      <w:r>
        <w:t xml:space="preserve">”</w:t>
      </w:r>
      <w:r>
        <w:t xml:space="preserve">).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Because the principal results are unchanged when Vogelherd is excluded entirely, our conclusions do not depend on its inclusion or on its precise archaeological attribution. That said, this connectivity ordering reflects Aur-P1’s larger site sample, not higher intrinsic connectivity (size-normalized MD ratios are ~1.0 for both phases, see S1).</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p>
          <w:bookmarkEnd w:id="49"/>
        </w:tc>
      </w:tr>
    </w:tbl>
    <w:p>
      <w:pPr>
        <w:pStyle w:val="BodyText"/>
      </w:pPr>
      <w:r>
        <w:t xml:space="preserve">Spatial clusters of sites are not evident in the sites with signs (</w:t>
      </w:r>
      <w:hyperlink w:anchor="fig-group-map">
        <w:r>
          <w:rPr>
            <w:rStyle w:val="Hyperlink"/>
          </w:rPr>
          <w:t xml:space="preserve">Figure 5</w:t>
        </w:r>
      </w:hyperlink>
      <w:r>
        <w:t xml:space="preserve">), perhaps due to the small numbers of sites in each phase .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 Partitions Around Medoids on geodesic distances between sites finds two groups as a parsimonious grouping for Aur-P1 only (S1</w:t>
      </w:r>
      <w:r>
        <w:t xml:space="preserve"> </w:t>
      </w:r>
      <w:r>
        <w:t xml:space="preserve">“</w:t>
      </w:r>
      <w:r>
        <w:t xml:space="preserve">Sensitivity Analyses</w:t>
      </w:r>
      <w:r>
        <w:t xml:space="preserve">”</w:t>
      </w:r>
      <w:r>
        <w:t xml:space="preserve">). These two groups are roughly West versus Central Europe, separating the Dordogne bloc tradition from the Swabian ivory tradition, and likely reflective research effort history rather than past cultural groups.</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pct" w:w="5000"/>
              <w:tblLook w:firstRow="1" w:lastRow="0" w:firstColumn="0" w:lastColumn="0" w:noHBand="0" w:noVBand="0" w:val="0020"/>
              <w:jc w:val="start"/>
              <w:tblLayout w:type="fixed"/>
            </w:tblPr>
            <w:tblGrid>
              <w:gridCol w:w="1900"/>
              <w:gridCol w:w="1372"/>
              <w:gridCol w:w="1267"/>
              <w:gridCol w:w="1267"/>
              <w:gridCol w:w="2112"/>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c>
                <w:tcPr/>
                <w:p>
                  <w:pPr>
                    <w:pStyle w:val="Compact"/>
                    <w:jc w:val="left"/>
                    <w:jc w:val="center"/>
                  </w:pPr>
                  <w:r>
                    <w:t xml:space="preserve">PerMANOVA R2 95% CI</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c>
                <w:tcPr/>
                <w:p>
                  <w:pPr>
                    <w:pStyle w:val="Compact"/>
                    <w:jc w:val="left"/>
                    <w:jc w:val="center"/>
                  </w:pPr>
                  <w:r>
                    <w:t xml:space="preserve">[0.145, 0.206]</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c>
                <w:tcPr/>
                <w:p>
                  <w:pPr>
                    <w:pStyle w:val="Compact"/>
                    <w:jc w:val="left"/>
                    <w:jc w:val="center"/>
                  </w:pPr>
                  <w:r>
                    <w:t xml:space="preserve">[0.132, 0.229]</w:t>
                  </w:r>
                </w:p>
              </w:tc>
            </w:tr>
          </w:tbl>
          <w:p>
            <w:pPr>
              <w:jc w:val="center"/>
            </w:pPr>
            <w:pPr>
              <w:jc w:val="start"/>
              <w:spacing w:before="200"/>
              <w:pStyle w:val="ImageCaption"/>
            </w:pPr>
            <w:r>
              <w:t xml:space="preserve">Table 3: Table of the results per phase for the perMANOVA. The R² 95% confidence interval comes from an object-within-site bootstrap (B = 1,000). The bootstrap interval measures R² stability under object resampling with fixed labels, they are not a null-hypothesis test</w:t>
            </w:r>
          </w:p>
          <w:bookmarkEnd w:id="51"/>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and a weaker difference in Aur-P2 (</w:t>
      </w:r>
      <w:hyperlink w:anchor="tbl-strength-table">
        <w:r>
          <w:rPr>
            <w:rStyle w:val="Hyperlink"/>
          </w:rPr>
          <w:t xml:space="preserve">Table 3</w:t>
        </w:r>
      </w:hyperlink>
      <w:r>
        <w:t xml:space="preserve">). However, this separation vanishes under Simpson turnover dissimilarity (which removes the nestedness/richness component), indicating the Jaccard signal comes from the nestedness component—rich versus poor repertoires—rather than by compositional turnover between the groups (S1). Beta dispersion analysis did not detect a significant difference in within-group dispersion in either phase; this does not establish equal dispersions, so the PerMANOVA results should be interpreted cautiously. Leave-one-out classification indicates that the labels vary smoothly across the Jaccard composition space rather than independently confirming a discrete partition, and the fixed-fixed Curveball test does not show that the optimised split exceeds richness-preserving expectations. Taken together, these results support the hypothesis of the restricted/broad pattern as a descriptive richness gradient that is strongest for well-sampled sites, and do not support the hypothesis of a discrete two-group structure.</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the two group contrast is recoverable only as gradual axis rather than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unusually high number of signs, does not change the gradient observation. Sensitivity checks strengthen this reading from two further angles. Algorithmic partitions of the same data explain at least as much compositional variance as the manual grouping, so the manual contrast understates rather than overstates the structure, while cross-algorithm agreement holds in Aur-P1 and breaks down in the small Aur-P2 sample (S1). Communities differ mainly in the frequency of the most widespread sign types, with no type exclusive to one community, which favours graded repertoires over discrete provinces (S1).</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indicating the Aur-P1–Aur-P2 contrast is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w:t>
      </w:r>
      <w:r>
        <w:t xml:space="preserve"> </w:t>
      </w:r>
      <w:r>
        <w:t xml:space="preserve">“</w:t>
      </w:r>
      <w:r>
        <w:t xml:space="preserve">Sensitivity Analyses</w:t>
      </w:r>
      <w:r>
        <w:t xml:space="preserve">”</w:t>
      </w:r>
      <w:r>
        <w:t xml:space="preserve">).</w:t>
      </w:r>
    </w:p>
    <w:p>
      <w:pPr>
        <w:pStyle w:val="BodyText"/>
      </w:pPr>
      <w:r>
        <w:t xml:space="preserve">This restricted/broader gradient may be influenced by variation in social structure. Variation in hunter-gatherer social structures is well-known from ethnographic and archaeological research</w:t>
      </w:r>
      <w:r>
        <w:t xml:space="preserve"> </w:t>
      </w:r>
      <w:r>
        <w:t xml:space="preserve">[44–51]</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[4,51–62]</w:t>
      </w:r>
      <w:r>
        <w:t xml:space="preserve">. Drawing on this work, we might speculate that the broader/restricted gradient in the geometric sign data may be consistent with variation in social structure. For example, the broader range groups, with a higher variety of signs and visually complex signs, may indicate communities with a greater variety of formalized social roles, whereas the sites with a restricted range of signs may indicate communities with fewer formalized social roles.</w:t>
      </w:r>
    </w:p>
    <w:p>
      <w:pPr>
        <w:pStyle w:val="BodyText"/>
      </w:pPr>
      <w:r>
        <w:t xml:space="preserve">Sampling effort is a major qualification on this social structure interpretation: object count and sign-type richness are strongly correlated, and the absence of a detectable association between node degree and richness does not establish that the restricted/broad assignments are independent of sampling effort. Object-level downsampling shows that assignments are retained mainly by the best-sampled sites, whereas small-site assignments often approach chance, demonstrating that the division is, at least in part, a sampling-intensity effect rather than a fully stable cultural partition (S1). Among the subset of sites that attain comparable coverage, broad-range sites remain richer, and a negative-binomial model with an estimated exponent finds the group contrast persists at equal object count (rate ratio = 2.31, p = 0.003; S1). However, this estimate is imprecise because the sample is small and group membership is strongly collinear with object count, and a negative-binomial model with a fixed exponent (offset) shows no effect (rate ratio = 0.72, p = 0.292). At the phase level, the Jaccard separation is not greater than expected under a fixed-margin null preserving site richness and sign-type frequencies, and no separation remains on Simpson turnover, which removes the nestedness component of Jaccard (S1).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be consistent with possible non-utilitarian mobility among these larger communities, among other processes. Previous studies have shown a range of variation in magnitudes and types of mobility among hunter-gatherer groups</w:t>
      </w:r>
      <w:r>
        <w:t xml:space="preserve"> </w:t>
      </w:r>
      <w:r>
        <w:t xml:space="preserve">[49,50,63–65]</w:t>
      </w:r>
      <w:r>
        <w:t xml:space="preserve">. Non-utilitarian mobility establishes regional social networks which facilitate the spread of information and the survival of hunter-gatherers in uncertain environments</w:t>
      </w:r>
      <w:r>
        <w:t xml:space="preserve"> </w:t>
      </w:r>
      <w:r>
        <w:t xml:space="preserve">[66–70]</w:t>
      </w:r>
      <w:r>
        <w:t xml:space="preserve">. The exchange and production of decorative items, such as objects with geometric signs, has been associated with non-utilitarian mobility and recognized as an indicator of social contact</w:t>
      </w:r>
      <w:r>
        <w:t xml:space="preserve"> </w:t>
      </w:r>
      <w:r>
        <w:t xml:space="preserve">[71–74]</w:t>
      </w:r>
      <w:r>
        <w:t xml:space="preserve">.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w:t>
      </w:r>
      <w:r>
        <w:t xml:space="preserve"> </w:t>
      </w:r>
      <w:r>
        <w:t xml:space="preserve">“</w:t>
      </w:r>
      <w:r>
        <w:t xml:space="preserve">Sensitivity Analyses</w:t>
      </w:r>
      <w:r>
        <w:t xml:space="preserve">”</w:t>
      </w:r>
      <w:r>
        <w:t xml:space="preserve">),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§S1.4.3).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Non-utilitarian mobility can be divided into shorter-term information exchange and longer-term residential movement. One form of longer-term residential movement that may be related to non-utilitarian mobility is aggregation/dispersion patterns, which are a type of hunter-gatherer settlement pattern in which groups both disperse and congregate in large groups, typically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(as a possible indicator of aggregation) showed a weak, non-significant trends with network degree after Benjamini‑Hochberg correction (ρ = -0.35, p = 0.095). However, because this trend is not significant, it is not evidence either way about whether these sites are more or less connected.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broad-restricted gradient.</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have detectable differences in size-adjusted network statistics.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Although population growth is one condition under which sign systems typically gain a communicative function, our results do not establish a causal link between demographic expansion and the emergence of geometric signs as a group-membership marker in the Aurignacian.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Neither the networks or sign diversity patterns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[85]</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w:t>
      </w:r>
      <w:r>
        <w:t xml:space="preserve">, our results did not identify geographically distinct groups differentiated by sign repertoire. Geographic distance had little influence on sign distribution in either phase (Aur-P1: R = 0.046; Aur-P2: R = -0.299). Further analysis of sign composition differences across sites grouped by geography alone (Partitioning Around Medoids on geodesic distances, k=2 to 5, with Jaccard dissimilarity and PerMANOVA) found no significant differences across geographic groups (S1).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w:t>
      </w:r>
      <w:r>
        <w:t xml:space="preserve"> </w:t>
      </w:r>
      <w:r>
        <w:t xml:space="preserve">[3]</w:t>
      </w:r>
      <w:r>
        <w:t xml:space="preserve">. Future work could explore the hypothesis that the distribution found in Aur-P2 (</w:t>
      </w:r>
      <w:hyperlink w:anchor="fig-group-map">
        <w:r>
          <w:rPr>
            <w:rStyle w:val="Hyperlink"/>
          </w:rPr>
          <w:t xml:space="preserve">Figure 5</w:t>
        </w:r>
      </w:hyperlink>
      <w:r>
        <w:t xml:space="preserve">) eventually evolved into the clusters proposed by</w:t>
      </w:r>
      <w:r>
        <w:t xml:space="preserve"> </w:t>
      </w:r>
      <w:r>
        <w:t xml:space="preserve">[3]</w:t>
      </w:r>
      <w:r>
        <w:t xml:space="preserve"> </w:t>
      </w:r>
      <w:r>
        <w:t xml:space="preserve">for the Gravettian period.</w:t>
      </w:r>
    </w:p>
    <w:p>
      <w:pPr>
        <w:pStyle w:val="BodyText"/>
      </w:pPr>
      <w:r>
        <w:t xml:space="preserve">The data used by</w:t>
      </w:r>
      <w:r>
        <w:t xml:space="preserve"> </w:t>
      </w:r>
      <w:r>
        <w:t xml:space="preserve">[6]</w:t>
      </w:r>
      <w:r>
        <w:t xml:space="preserve"> </w:t>
      </w:r>
      <w:r>
        <w:t xml:space="preserve">was also analyzed by</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[95]</w:t>
      </w:r>
      <w:r>
        <w:t xml:space="preserve"> </w:t>
      </w:r>
      <w:r>
        <w:t xml:space="preserve">complicate claims by</w:t>
      </w:r>
      <w:r>
        <w:t xml:space="preserve"> </w:t>
      </w:r>
      <w:r>
        <w:t xml:space="preserve">[6]</w:t>
      </w:r>
      <w:r>
        <w:t xml:space="preserve"> </w:t>
      </w:r>
      <w:r>
        <w:t xml:space="preserve">for geographically distinct cultural groups in the Aurignacian. Like our data, it does not establish the absence of geographically structured identity because our analyses are underpowered for that claim (S1).</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We can hypothesize this as the underlying process behind the larger the sign-type pool in the Aur-P1 phase (26 types) compared to the Aur-P2 phase (15 types). However, our equal-effort sensitivity analysis shows the sign-type pool sizes overlap once sample size is standardized (S1).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Our finding of no statistically significant differences in connectivity metrics across the two phases suggests that relative interaction levels remained consistent over time, even as populations consolidated into fewer sites. This maintenance of interaction level through demographic consolidation parallels the Iberian Mesolithic, where peninsular-scale ornament networks persisted without topological change from the Early to Late Mesolithic despite population growth and technocomplex replacement</w:t>
      </w:r>
      <w:r>
        <w:t xml:space="preserve"> </w:t>
      </w:r>
      <w:r>
        <w:t xml:space="preserve">[103]</w:t>
      </w:r>
      <w:r>
        <w:t xml:space="preserve">. The lack of significant geographic structure in either phase contradicts simple isolation-by-distance models</w:t>
      </w:r>
      <w:r>
        <w:t xml:space="preserve"> </w:t>
      </w:r>
      <w:r>
        <w:t xml:space="preserve">[99,104]</w:t>
      </w:r>
      <w:r>
        <w:t xml:space="preserv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w:t>
      </w:r>
      <w:r>
        <w:t xml:space="preserve"> </w:t>
      </w:r>
      <w:r>
        <w:t xml:space="preserve">[105]</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while geometric signs could serve functions such as notation, calendrical recording, or information storage. For example, following</w:t>
      </w:r>
      <w:r>
        <w:t xml:space="preserve"> </w:t>
      </w:r>
      <w:r>
        <w:t xml:space="preserve">[106]</w:t>
      </w:r>
      <w:r>
        <w:t xml:space="preserve">’s proposal that sign sequences have protocuneiform-like information density, suggesting notational function, or</w:t>
      </w:r>
      <w:r>
        <w:t xml:space="preserve"> </w:t>
      </w:r>
      <w:r>
        <w:t xml:space="preserve">[107]</w:t>
      </w:r>
      <w:r>
        <w:t xml:space="preserve">’s claim that some signs record seasonal prey information. However, these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 on their potential future contributions.</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[3,77,112–115]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[2,70,116–120]</w:t>
      </w:r>
      <w:r>
        <w:t xml:space="preserve">. Our results show that the current sample of geometric signs is not sufficient to detect change over the Aurignacian. What initially appears to be evidence for discrete cultural groups in the geometric-sign record is substantially explained by variation in repertoire richness, and this apparent structure does not survive tests designed to distinguish discrete grouping from richness-driven gradients.</w:t>
      </w:r>
    </w:p>
    <w:p>
      <w:pPr>
        <w:pStyle w:val="BodyText"/>
      </w:pPr>
      <w:r>
        <w:t xml:space="preserve">A restricted/broad repertoire axis is visually evident in seriation and supported by bootstrap co-clustering. A negative-binomial regression shows broad-range sites with higher richness at equal object count. With the exponent fixed at 1, the difference is not statistically significant, but 1 lies outside the estimated interval and the free-slope estimate remains imprecise because group tracks object count. Stochastic block models select three (Bernoulli and Poisson) or four blocks (Gaussian) as optimal in Aur-P1, recovering the restricted/broad split as their two largest blocks with a stable small-block refinement (Labeko Koba, Les Cottés, Trou al’Wesse under Bernoulli and Gaussian; S1), while in Aur-P2 the Bernoulli and Poisson models select a single block and only the Gaussian model selects two blocks by a marginal 0.9 ICL points. Cross-validation (leave-one-out, object-half holdout, gradient PerMANOVA) recovers the axis, yet the maximally-selected split test under a fixed-fixed (Curveball) null is not significant in either phase (Aur-P1 p = 0.106; Aur-P2 p = 0.984).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However, bootstrap confidence intervals (S1) show the tests are underpowered, so these are null results reflecting limited power, not evidence of geographic irrelevance. There is weak evidence for a broad geographic gradient in Aur-P1, but insufficient evidence for discrete geographic clustering analogous to those reported for personal ornaments</w:t>
      </w:r>
      <w:r>
        <w:t xml:space="preserve"> </w:t>
      </w:r>
      <w:r>
        <w:t xml:space="preserve">[3,6]</w:t>
      </w:r>
      <w:r>
        <w:t xml:space="preserve">. Whether the signs encode different identity dimensions or have other fucntions (notation, calendrical recording, information storage) remains speculative and untested</w:t>
      </w:r>
      <w:r>
        <w:t xml:space="preserve"> </w:t>
      </w:r>
      <w:r>
        <w:t xml:space="preserve">[106–111]</w:t>
      </w:r>
      <w:r>
        <w:t xml:space="preserve">.</w:t>
      </w:r>
    </w:p>
    <w:p>
      <w:pPr>
        <w:pStyle w:val="BodyText"/>
      </w:pPr>
      <w:r>
        <w:t xml:space="preserve">Our study has three limitations. First is the ambiguity of some of the sign types. While</w:t>
      </w:r>
      <w:r>
        <w:t xml:space="preserve"> </w:t>
      </w:r>
      <w:r>
        <w:t xml:space="preserve">[121]</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[122]</w:t>
      </w:r>
      <w:r>
        <w:t xml:space="preserve">, and additionally, greater quantities of included sign types serve to establish stronger connections</w:t>
      </w:r>
      <w:r>
        <w:t xml:space="preserve"> </w:t>
      </w:r>
      <w:r>
        <w:t xml:space="preserve">[123]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second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[125,126]</w:t>
      </w:r>
      <w:r>
        <w:t xml:space="preserve">, La Ferrassie’s Aurignacian begins with the Early Aurignacian directly above the Châtelperronian</w:t>
      </w:r>
      <w:r>
        <w:t xml:space="preserve"> </w:t>
      </w:r>
      <w:r>
        <w:t xml:space="preserve">[127]</w:t>
      </w:r>
      <w:r>
        <w:t xml:space="preserve">, and Mladeč’s massive-base bone points and ~31 ka ¹⁴C BP (~35–36 ka cal BP) dates indicate an Evolved (Aur-P2) attribution</w:t>
      </w:r>
      <w:r>
        <w:t xml:space="preserve"> </w:t>
      </w:r>
      <w:r>
        <w:t xml:space="preserve">[128]</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[129]</w:t>
      </w:r>
      <w:r>
        <w:t xml:space="preserve">. After exclusions, Aur-P2 rests on only 9 sites and 63 objects, so its two-group structure and network statistics have limited power. Date parsing itself removes assemblages whose reported dates lack uncertainties, including a large assemblage that would otherwise fall late, so the small Aur-P2 sample partly reflects dating-quality filtering rather than only archaeology (S1). Alternative calibrations move a few boundary sites between phases without changing the phase ordering (S1).</w:t>
      </w:r>
    </w:p>
    <w:bookmarkEnd w:id="61"/>
    <w:bookmarkStart w:id="307" w:name="references"/>
    <w:p>
      <w:pPr>
        <w:pStyle w:val="Heading1"/>
      </w:pPr>
      <w:r>
        <w:t xml:space="preserve">References</w:t>
      </w:r>
    </w:p>
    <w:bookmarkStart w:id="306"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8">
        <w:r>
          <w:rPr>
            <w:rStyle w:val="Hyperlink"/>
          </w:rPr>
          <w:t xml:space="preserve">https://doi.org/10.1016/j.quascirev.2009.11.015</w:t>
        </w:r>
      </w:hyperlink>
      <w:r>
        <w:t xml:space="preserve">.</w:t>
      </w:r>
    </w:p>
    <w:bookmarkEnd w:id="109"/>
    <w:bookmarkStart w:id="111"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10">
        <w:r>
          <w:rPr>
            <w:rStyle w:val="Hyperlink"/>
          </w:rPr>
          <w:t xml:space="preserve">https://doi.org/10.32614/rj-2018-009</w:t>
        </w:r>
      </w:hyperlink>
      <w:r>
        <w:t xml:space="preserve">.</w:t>
      </w:r>
    </w:p>
    <w:bookmarkEnd w:id="111"/>
    <w:bookmarkStart w:id="113" w:name="ref-rnaturalearth"/>
    <w:p>
      <w:pPr>
        <w:pStyle w:val="Bibliography"/>
      </w:pPr>
      <w:r>
        <w:t xml:space="preserve">[27]</w:t>
      </w:r>
      <w:r>
        <w:t xml:space="preserve"> </w:t>
      </w:r>
      <w:r>
        <w:t xml:space="preserve">	</w:t>
      </w:r>
      <w:r>
        <w:t xml:space="preserve">Massicotte P, South A.</w:t>
      </w:r>
      <w:r>
        <w:t xml:space="preserve"> </w:t>
      </w:r>
      <w:hyperlink r:id="rId112">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13"/>
    <w:bookmarkStart w:id="115"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4">
        <w:r>
          <w:rPr>
            <w:rStyle w:val="Hyperlink"/>
          </w:rPr>
          <w:t xml:space="preserve">https://doi.org/10.1017/RDC.2020.95</w:t>
        </w:r>
      </w:hyperlink>
      <w:r>
        <w:t xml:space="preserve">.</w:t>
      </w:r>
    </w:p>
    <w:bookmarkEnd w:id="115"/>
    <w:bookmarkStart w:id="117"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6">
        <w:r>
          <w:rPr>
            <w:rStyle w:val="Hyperlink"/>
          </w:rPr>
          <w:t xml:space="preserve">https://doi.org/10.1007/s12520-018-0742-3</w:t>
        </w:r>
      </w:hyperlink>
      <w:r>
        <w:t xml:space="preserve">.</w:t>
      </w:r>
    </w:p>
    <w:bookmarkEnd w:id="117"/>
    <w:bookmarkStart w:id="119"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8">
        <w:r>
          <w:rPr>
            <w:rStyle w:val="Hyperlink"/>
          </w:rPr>
          <w:t xml:space="preserve">https://doi.org/10.1002/ajpa.1330350608</w:t>
        </w:r>
      </w:hyperlink>
      <w:r>
        <w:t xml:space="preserve">.</w:t>
      </w:r>
    </w:p>
    <w:bookmarkEnd w:id="119"/>
    <w:bookmarkStart w:id="121" w:name="ref-Vegan2001"/>
    <w:p>
      <w:pPr>
        <w:pStyle w:val="Bibliography"/>
      </w:pPr>
      <w:r>
        <w:t xml:space="preserve">[31]</w:t>
      </w:r>
      <w:r>
        <w:t xml:space="preserve"> </w:t>
      </w:r>
      <w:r>
        <w:t xml:space="preserve">	</w:t>
      </w:r>
      <w:r>
        <w:t xml:space="preserve">Oksanen J, Simpson GL, Blanchet FG, Kindt R, Legendre P, Minchin PR, et al. Vegan: Community ecology package 2023.</w:t>
      </w:r>
      <w:r>
        <w:t xml:space="preserve"> </w:t>
      </w:r>
      <w:hyperlink r:id="rId120">
        <w:r>
          <w:rPr>
            <w:rStyle w:val="Hyperlink"/>
          </w:rPr>
          <w:t xml:space="preserve">https://doi.org/10.32614/CRAN.package.vegan</w:t>
        </w:r>
      </w:hyperlink>
      <w:r>
        <w:t xml:space="preserve">.</w:t>
      </w:r>
    </w:p>
    <w:bookmarkEnd w:id="121"/>
    <w:bookmarkStart w:id="123"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2">
        <w:r>
          <w:rPr>
            <w:rStyle w:val="Hyperlink"/>
          </w:rPr>
          <w:t xml:space="preserve">https://doi.org/10.1371/journal.pone.0121166</w:t>
        </w:r>
      </w:hyperlink>
      <w:r>
        <w:t xml:space="preserve">.</w:t>
      </w:r>
    </w:p>
    <w:bookmarkEnd w:id="123"/>
    <w:bookmarkStart w:id="125"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124">
        <w:r>
          <w:rPr>
            <w:rStyle w:val="Hyperlink"/>
          </w:rPr>
          <w:t xml:space="preserve">https://doi.org/10.1890/0012-9615(1999)069[0001:DBRDAO]2.0.CO;2</w:t>
        </w:r>
      </w:hyperlink>
      <w:r>
        <w:t xml:space="preserve">.</w:t>
      </w:r>
    </w:p>
    <w:bookmarkEnd w:id="125"/>
    <w:bookmarkStart w:id="127"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6">
        <w:r>
          <w:rPr>
            <w:rStyle w:val="Hyperlink"/>
          </w:rPr>
          <w:t xml:space="preserve">https://doi.org/10.18637/jss.v025.i03</w:t>
        </w:r>
      </w:hyperlink>
      <w:r>
        <w:t xml:space="preserve">.</w:t>
      </w:r>
    </w:p>
    <w:bookmarkEnd w:id="127"/>
    <w:bookmarkStart w:id="129" w:name="ref-Brower_Kile_1988"/>
    <w:p>
      <w:pPr>
        <w:pStyle w:val="Bibliography"/>
      </w:pPr>
      <w:r>
        <w:t xml:space="preserve">[35]</w:t>
      </w:r>
      <w:r>
        <w:t xml:space="preserve"> </w:t>
      </w:r>
      <w:r>
        <w:t xml:space="preserve">	</w:t>
      </w:r>
      <w:r>
        <w:t xml:space="preserve">Brower JC, Kile KM. Seriation of an original data matrix as applied to paleoecology. Lethaia 1988;21:79–93.</w:t>
      </w:r>
      <w:r>
        <w:t xml:space="preserve"> </w:t>
      </w:r>
      <w:hyperlink r:id="rId128">
        <w:r>
          <w:rPr>
            <w:rStyle w:val="Hyperlink"/>
          </w:rPr>
          <w:t xml:space="preserve">https://doi.org/10.1111/j.1502-3931.1988.tb01756.x</w:t>
        </w:r>
      </w:hyperlink>
      <w:r>
        <w:t xml:space="preserve">.</w:t>
      </w:r>
    </w:p>
    <w:bookmarkEnd w:id="129"/>
    <w:bookmarkStart w:id="131" w:name="ref-Mills_2017"/>
    <w:p>
      <w:pPr>
        <w:pStyle w:val="Bibliography"/>
      </w:pPr>
      <w:r>
        <w:t xml:space="preserve">[36]</w:t>
      </w:r>
      <w:r>
        <w:t xml:space="preserve"> </w:t>
      </w:r>
      <w:r>
        <w:t xml:space="preserve">	</w:t>
      </w:r>
      <w:r>
        <w:t xml:space="preserve">Mills BJ. Social network analysis in archaeology. Annual Review of Anthropology 2017;46:379–97.</w:t>
      </w:r>
      <w:r>
        <w:t xml:space="preserve"> </w:t>
      </w:r>
      <w:hyperlink r:id="rId130">
        <w:r>
          <w:rPr>
            <w:rStyle w:val="Hyperlink"/>
          </w:rPr>
          <w:t xml:space="preserve">https://doi.org/10.1146/annurev-anthro-102116-041423</w:t>
        </w:r>
      </w:hyperlink>
      <w:r>
        <w:t xml:space="preserve">.</w:t>
      </w:r>
    </w:p>
    <w:bookmarkEnd w:id="131"/>
    <w:bookmarkStart w:id="133" w:name="ref-Fruchterman_Reingold_1991"/>
    <w:p>
      <w:pPr>
        <w:pStyle w:val="Bibliography"/>
      </w:pPr>
      <w:r>
        <w:t xml:space="preserve">[37]</w:t>
      </w:r>
      <w:r>
        <w:t xml:space="preserve"> </w:t>
      </w:r>
      <w:r>
        <w:t xml:space="preserve">	</w:t>
      </w:r>
      <w:r>
        <w:t xml:space="preserve">Fruchterman TMJ, Reingold EM. Graph drawing by force-directed placement. Software: Practice and Experience 1991;21:1129–64.</w:t>
      </w:r>
      <w:r>
        <w:t xml:space="preserve"> </w:t>
      </w:r>
      <w:hyperlink r:id="rId132">
        <w:r>
          <w:rPr>
            <w:rStyle w:val="Hyperlink"/>
          </w:rPr>
          <w:t xml:space="preserve">https://doi.org/10.1002/spe.4380211102</w:t>
        </w:r>
      </w:hyperlink>
      <w:r>
        <w:t xml:space="preserve">.</w:t>
      </w:r>
    </w:p>
    <w:bookmarkEnd w:id="133"/>
    <w:bookmarkStart w:id="135" w:name="ref-statnet_package"/>
    <w:p>
      <w:pPr>
        <w:pStyle w:val="Bibliography"/>
      </w:pPr>
      <w:r>
        <w:t xml:space="preserve">[38]</w:t>
      </w:r>
      <w:r>
        <w:t xml:space="preserve"> </w:t>
      </w:r>
      <w:r>
        <w:t xml:space="preserve">	</w:t>
      </w:r>
      <w:r>
        <w:t xml:space="preserve">Handcock MS, Hunter DR, Butts CT, Goodreau SM, Krivitsky PN, Bender-deMoll S, et al.</w:t>
      </w:r>
      <w:r>
        <w:t xml:space="preserve"> </w:t>
      </w:r>
      <w:hyperlink r:id="rId134">
        <w:r>
          <w:rPr>
            <w:rStyle w:val="Hyperlink"/>
          </w:rPr>
          <w:t xml:space="preserve">Statnet: Software tools for the statistical analysis of network data</w:t>
        </w:r>
      </w:hyperlink>
      <w:r>
        <w:t xml:space="preserve"> </w:t>
      </w:r>
      <w:r>
        <w:t xml:space="preserve">2019.</w:t>
      </w:r>
    </w:p>
    <w:bookmarkEnd w:id="135"/>
    <w:bookmarkStart w:id="137" w:name="ref-igraph_package"/>
    <w:p>
      <w:pPr>
        <w:pStyle w:val="Bibliography"/>
      </w:pPr>
      <w:r>
        <w:t xml:space="preserve">[39]</w:t>
      </w:r>
      <w:r>
        <w:t xml:space="preserve"> </w:t>
      </w:r>
      <w:r>
        <w:t xml:space="preserve">	</w:t>
      </w:r>
      <w:r>
        <w:t xml:space="preserve">Csardi G, Nepusz T.</w:t>
      </w:r>
      <w:r>
        <w:t xml:space="preserve"> </w:t>
      </w:r>
      <w:hyperlink r:id="rId136">
        <w:r>
          <w:rPr>
            <w:rStyle w:val="Hyperlink"/>
          </w:rPr>
          <w:t xml:space="preserve">The igraph software package for complex network research</w:t>
        </w:r>
      </w:hyperlink>
      <w:r>
        <w:t xml:space="preserve">. InterJournal 2006;Complex Systems:1695.</w:t>
      </w:r>
    </w:p>
    <w:bookmarkEnd w:id="137"/>
    <w:bookmarkStart w:id="139"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8">
        <w:r>
          <w:rPr>
            <w:rStyle w:val="Hyperlink"/>
          </w:rPr>
          <w:t xml:space="preserve">https://doi.org/10.1002/9781118445112.stat07841</w:t>
        </w:r>
      </w:hyperlink>
      <w:r>
        <w:t xml:space="preserve">.</w:t>
      </w:r>
    </w:p>
    <w:bookmarkEnd w:id="139"/>
    <w:bookmarkStart w:id="141"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0">
        <w:r>
          <w:rPr>
            <w:rStyle w:val="Hyperlink"/>
          </w:rPr>
          <w:t xml:space="preserve">https://doi.org/10.1016/j.evolhumbehav.2014.09.006</w:t>
        </w:r>
      </w:hyperlink>
      <w:r>
        <w:t xml:space="preserve">.</w:t>
      </w:r>
    </w:p>
    <w:bookmarkEnd w:id="141"/>
    <w:bookmarkStart w:id="143"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2">
        <w:r>
          <w:rPr>
            <w:rStyle w:val="Hyperlink"/>
          </w:rPr>
          <w:t xml:space="preserve">https://doi.org/10.1007/s10816-015-9272-9</w:t>
        </w:r>
      </w:hyperlink>
      <w:r>
        <w:t xml:space="preserve">.</w:t>
      </w:r>
    </w:p>
    <w:bookmarkEnd w:id="143"/>
    <w:bookmarkStart w:id="145"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4">
        <w:r>
          <w:rPr>
            <w:rStyle w:val="Hyperlink"/>
          </w:rPr>
          <w:t xml:space="preserve">https://doi.org/10.1016/j.jas.2025.106281</w:t>
        </w:r>
      </w:hyperlink>
      <w:r>
        <w:t xml:space="preserve">.</w:t>
      </w:r>
    </w:p>
    <w:bookmarkEnd w:id="145"/>
    <w:bookmarkStart w:id="147" w:name="ref-Finlayson_Warren_2017"/>
    <w:p>
      <w:pPr>
        <w:pStyle w:val="Bibliography"/>
      </w:pPr>
      <w:r>
        <w:t xml:space="preserve">[44]</w:t>
      </w:r>
      <w:r>
        <w:t xml:space="preserve"> </w:t>
      </w:r>
      <w:r>
        <w:t xml:space="preserve">	</w:t>
      </w:r>
      <w:r>
        <w:t xml:space="preserve">Finlayson B, Warren G.</w:t>
      </w:r>
      <w:r>
        <w:t xml:space="preserve"> </w:t>
      </w:r>
      <w:hyperlink r:id="rId146">
        <w:r>
          <w:rPr>
            <w:rStyle w:val="Hyperlink"/>
          </w:rPr>
          <w:t xml:space="preserve">The diversity of hunter-gatherer pasts: An introduction</w:t>
        </w:r>
      </w:hyperlink>
      <w:r>
        <w:t xml:space="preserve">. In: Finlayson B, Warren G, editors. The diversity of hunter gatherer pasts. 1st ed., Oxbow Books; 2017, p. 1–14.</w:t>
      </w:r>
    </w:p>
    <w:bookmarkEnd w:id="147"/>
    <w:bookmarkStart w:id="149" w:name="ref-Riches_1995"/>
    <w:p>
      <w:pPr>
        <w:pStyle w:val="Bibliography"/>
      </w:pPr>
      <w:r>
        <w:t xml:space="preserve">[45]</w:t>
      </w:r>
      <w:r>
        <w:t xml:space="preserve"> </w:t>
      </w:r>
      <w:r>
        <w:t xml:space="preserve">	</w:t>
      </w:r>
      <w:r>
        <w:t xml:space="preserve">Riches D. Hunter-gatherer structural transformations. The Journal of the Royal Anthropological Institute 1995;1:679–701.</w:t>
      </w:r>
      <w:r>
        <w:t xml:space="preserve"> </w:t>
      </w:r>
      <w:hyperlink r:id="rId148">
        <w:r>
          <w:rPr>
            <w:rStyle w:val="Hyperlink"/>
          </w:rPr>
          <w:t xml:space="preserve">https://doi.org/10.2307/3034956</w:t>
        </w:r>
      </w:hyperlink>
      <w:r>
        <w:t xml:space="preserve">.</w:t>
      </w:r>
    </w:p>
    <w:bookmarkEnd w:id="149"/>
    <w:bookmarkStart w:id="151"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Academic Press; 1985, p. 3–20.</w:t>
      </w:r>
      <w:r>
        <w:t xml:space="preserve"> </w:t>
      </w:r>
      <w:hyperlink r:id="rId150">
        <w:r>
          <w:rPr>
            <w:rStyle w:val="Hyperlink"/>
          </w:rPr>
          <w:t xml:space="preserve">https://doi.org/10.1016/B978-0-12-564750-2.50006-8</w:t>
        </w:r>
      </w:hyperlink>
      <w:r>
        <w:t xml:space="preserve">.</w:t>
      </w:r>
    </w:p>
    <w:bookmarkEnd w:id="151"/>
    <w:bookmarkStart w:id="153" w:name="ref-Lane_2017"/>
    <w:p>
      <w:pPr>
        <w:pStyle w:val="Bibliography"/>
      </w:pPr>
      <w:r>
        <w:t xml:space="preserve">[47]</w:t>
      </w:r>
      <w:r>
        <w:t xml:space="preserve"> </w:t>
      </w:r>
      <w:r>
        <w:t xml:space="preserve">	</w:t>
      </w:r>
      <w:r>
        <w:t xml:space="preserve">Lane PJ.</w:t>
      </w:r>
      <w:r>
        <w:t xml:space="preserve"> </w:t>
      </w:r>
      <w:hyperlink r:id="rId152">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3"/>
    <w:bookmarkStart w:id="154"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54"/>
    <w:bookmarkStart w:id="156"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55">
        <w:r>
          <w:rPr>
            <w:rStyle w:val="Hyperlink"/>
          </w:rPr>
          <w:t xml:space="preserve">https://doi.org/10.1007/s10814-013-9068-y</w:t>
        </w:r>
      </w:hyperlink>
      <w:r>
        <w:t xml:space="preserve">.</w:t>
      </w:r>
    </w:p>
    <w:bookmarkEnd w:id="156"/>
    <w:bookmarkStart w:id="158"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57">
        <w:r>
          <w:rPr>
            <w:rStyle w:val="Hyperlink"/>
          </w:rPr>
          <w:t xml:space="preserve">https://doi.org/10.1016/j.evolhumbehav.2022.07.003</w:t>
        </w:r>
      </w:hyperlink>
      <w:r>
        <w:t xml:space="preserve">.</w:t>
      </w:r>
    </w:p>
    <w:bookmarkEnd w:id="158"/>
    <w:bookmarkStart w:id="160"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59">
        <w:r>
          <w:rPr>
            <w:rStyle w:val="Hyperlink"/>
          </w:rPr>
          <w:t xml:space="preserve">https://doi.org/10.1016/j.quaint.2012.03.054</w:t>
        </w:r>
      </w:hyperlink>
      <w:r>
        <w:t xml:space="preserve">.</w:t>
      </w:r>
    </w:p>
    <w:bookmarkEnd w:id="160"/>
    <w:bookmarkStart w:id="162"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61">
        <w:r>
          <w:rPr>
            <w:rStyle w:val="Hyperlink"/>
          </w:rPr>
          <w:t xml:space="preserve">https://doi.org/10.1017/S0079497X00006265</w:t>
        </w:r>
      </w:hyperlink>
      <w:r>
        <w:t xml:space="preserve">.</w:t>
      </w:r>
    </w:p>
    <w:bookmarkEnd w:id="162"/>
    <w:bookmarkStart w:id="164"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3">
        <w:r>
          <w:rPr>
            <w:rStyle w:val="Hyperlink"/>
          </w:rPr>
          <w:t xml:space="preserve">https://doi.org/10.2307/j.ctv24q4z2g.5</w:t>
        </w:r>
      </w:hyperlink>
      <w:r>
        <w:t xml:space="preserve">.</w:t>
      </w:r>
    </w:p>
    <w:bookmarkEnd w:id="164"/>
    <w:bookmarkStart w:id="165"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65"/>
    <w:bookmarkStart w:id="167"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66">
        <w:r>
          <w:rPr>
            <w:rStyle w:val="Hyperlink"/>
          </w:rPr>
          <w:t xml:space="preserve">https://doi.org/10.1179/sea.2010.29.1.013</w:t>
        </w:r>
      </w:hyperlink>
      <w:r>
        <w:t xml:space="preserve">.</w:t>
      </w:r>
    </w:p>
    <w:bookmarkEnd w:id="167"/>
    <w:bookmarkStart w:id="169"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68">
        <w:r>
          <w:rPr>
            <w:rStyle w:val="Hyperlink"/>
          </w:rPr>
          <w:t xml:space="preserve">https://doi.org/10.1002/ajpa.22832</w:t>
        </w:r>
      </w:hyperlink>
      <w:r>
        <w:t xml:space="preserve">.</w:t>
      </w:r>
    </w:p>
    <w:bookmarkEnd w:id="169"/>
    <w:bookmarkStart w:id="170"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0"/>
    <w:bookmarkStart w:id="172"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71">
        <w:r>
          <w:rPr>
            <w:rStyle w:val="Hyperlink"/>
          </w:rPr>
          <w:t xml:space="preserve">https://doi.org/10.1016/B978-0-12-564750-2.50016-0</w:t>
        </w:r>
      </w:hyperlink>
      <w:r>
        <w:t xml:space="preserve">.</w:t>
      </w:r>
    </w:p>
    <w:bookmarkEnd w:id="172"/>
    <w:bookmarkStart w:id="173"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73"/>
    <w:bookmarkStart w:id="175"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4">
        <w:r>
          <w:rPr>
            <w:rStyle w:val="Hyperlink"/>
          </w:rPr>
          <w:t xml:space="preserve">https://doi.org/10.1017/CBO9780511558252.004</w:t>
        </w:r>
      </w:hyperlink>
      <w:r>
        <w:t xml:space="preserve">.</w:t>
      </w:r>
    </w:p>
    <w:bookmarkEnd w:id="175"/>
    <w:bookmarkStart w:id="177" w:name="ref-Hodder1979"/>
    <w:p>
      <w:pPr>
        <w:pStyle w:val="Bibliography"/>
      </w:pPr>
      <w:r>
        <w:t xml:space="preserve">[61]</w:t>
      </w:r>
      <w:r>
        <w:t xml:space="preserve"> </w:t>
      </w:r>
      <w:r>
        <w:t xml:space="preserve">	</w:t>
      </w:r>
      <w:r>
        <w:t xml:space="preserve">Hodder I. Economic and social stress and material culture patterning. American Antiquity 1979;44:446–54.</w:t>
      </w:r>
      <w:r>
        <w:t xml:space="preserve"> </w:t>
      </w:r>
      <w:hyperlink r:id="rId176">
        <w:r>
          <w:rPr>
            <w:rStyle w:val="Hyperlink"/>
          </w:rPr>
          <w:t xml:space="preserve">https://doi.org/10.2307/279544</w:t>
        </w:r>
      </w:hyperlink>
      <w:r>
        <w:t xml:space="preserve">.</w:t>
      </w:r>
    </w:p>
    <w:bookmarkEnd w:id="177"/>
    <w:bookmarkStart w:id="179"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78">
        <w:r>
          <w:rPr>
            <w:rStyle w:val="Hyperlink"/>
          </w:rPr>
          <w:t xml:space="preserve">https://doi.org/10.2307/2800797</w:t>
        </w:r>
      </w:hyperlink>
      <w:r>
        <w:t xml:space="preserve">.</w:t>
      </w:r>
    </w:p>
    <w:bookmarkEnd w:id="179"/>
    <w:bookmarkStart w:id="181" w:name="ref-Binford_1990"/>
    <w:p>
      <w:pPr>
        <w:pStyle w:val="Bibliography"/>
      </w:pPr>
      <w:r>
        <w:t xml:space="preserve">[63]</w:t>
      </w:r>
      <w:r>
        <w:t xml:space="preserve"> </w:t>
      </w:r>
      <w:r>
        <w:t xml:space="preserve">	</w:t>
      </w:r>
      <w:r>
        <w:t xml:space="preserve">Binford LR. Mobility, housing, and environment: A comparative study. Journal of Anthropological Research 1990;46:119–52.</w:t>
      </w:r>
      <w:r>
        <w:t xml:space="preserve"> </w:t>
      </w:r>
      <w:hyperlink r:id="rId180">
        <w:r>
          <w:rPr>
            <w:rStyle w:val="Hyperlink"/>
          </w:rPr>
          <w:t xml:space="preserve">https://doi.org/10.1086/jar.46.2.3630069</w:t>
        </w:r>
      </w:hyperlink>
      <w:r>
        <w:t xml:space="preserve">.</w:t>
      </w:r>
    </w:p>
    <w:bookmarkEnd w:id="181"/>
    <w:bookmarkStart w:id="183" w:name="ref-Kelly_1983"/>
    <w:p>
      <w:pPr>
        <w:pStyle w:val="Bibliography"/>
      </w:pPr>
      <w:r>
        <w:t xml:space="preserve">[64]</w:t>
      </w:r>
      <w:r>
        <w:t xml:space="preserve"> </w:t>
      </w:r>
      <w:r>
        <w:t xml:space="preserve">	</w:t>
      </w:r>
      <w:r>
        <w:t xml:space="preserve">Kelly RL. Hunter-gatherer mobility strategies. Journal of Anthropological Research 1983;39:277–306.</w:t>
      </w:r>
      <w:r>
        <w:t xml:space="preserve"> </w:t>
      </w:r>
      <w:hyperlink r:id="rId182">
        <w:r>
          <w:rPr>
            <w:rStyle w:val="Hyperlink"/>
          </w:rPr>
          <w:t xml:space="preserve">https://doi.org/10.1086/jar.39.3.3629672</w:t>
        </w:r>
      </w:hyperlink>
      <w:r>
        <w:t xml:space="preserve">.</w:t>
      </w:r>
    </w:p>
    <w:bookmarkEnd w:id="183"/>
    <w:bookmarkStart w:id="185"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84">
        <w:r>
          <w:rPr>
            <w:rStyle w:val="Hyperlink"/>
          </w:rPr>
          <w:t xml:space="preserve">https://doi.org/10.1016/j.jasrep.2024.104798</w:t>
        </w:r>
      </w:hyperlink>
      <w:r>
        <w:t xml:space="preserve">.</w:t>
      </w:r>
    </w:p>
    <w:bookmarkEnd w:id="185"/>
    <w:bookmarkStart w:id="187"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6">
        <w:r>
          <w:rPr>
            <w:rStyle w:val="Hyperlink"/>
          </w:rPr>
          <w:t xml:space="preserve">https://doi.org/10.1016/j.jaa.2005.11.004</w:t>
        </w:r>
      </w:hyperlink>
      <w:r>
        <w:t xml:space="preserve">.</w:t>
      </w:r>
    </w:p>
    <w:bookmarkEnd w:id="187"/>
    <w:bookmarkStart w:id="188"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88"/>
    <w:bookmarkStart w:id="190"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89">
        <w:r>
          <w:rPr>
            <w:rStyle w:val="Hyperlink"/>
          </w:rPr>
          <w:t xml:space="preserve">https://doi.org/10.2307/j.ctvdmwwz4.7</w:t>
        </w:r>
      </w:hyperlink>
      <w:r>
        <w:t xml:space="preserve">.</w:t>
      </w:r>
    </w:p>
    <w:bookmarkEnd w:id="190"/>
    <w:bookmarkStart w:id="192"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1">
        <w:r>
          <w:rPr>
            <w:rStyle w:val="Hyperlink"/>
          </w:rPr>
          <w:t xml:space="preserve">https://doi.org/10.2307/j.ctvdmwwz4.10</w:t>
        </w:r>
      </w:hyperlink>
      <w:r>
        <w:t xml:space="preserve">.</w:t>
      </w:r>
    </w:p>
    <w:bookmarkEnd w:id="192"/>
    <w:bookmarkStart w:id="194"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3">
        <w:r>
          <w:rPr>
            <w:rStyle w:val="Hyperlink"/>
          </w:rPr>
          <w:t xml:space="preserve">https://doi.org/10.1098/rstb.2020.0318</w:t>
        </w:r>
      </w:hyperlink>
      <w:r>
        <w:t xml:space="preserve">.</w:t>
      </w:r>
    </w:p>
    <w:bookmarkEnd w:id="194"/>
    <w:bookmarkStart w:id="196"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195">
        <w:r>
          <w:rPr>
            <w:rStyle w:val="Hyperlink"/>
          </w:rPr>
          <w:t xml:space="preserve">https://doi.org/10.1111/tops.12762</w:t>
        </w:r>
      </w:hyperlink>
      <w:r>
        <w:t xml:space="preserve">.</w:t>
      </w:r>
    </w:p>
    <w:bookmarkEnd w:id="196"/>
    <w:bookmarkStart w:id="198"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197">
        <w:r>
          <w:rPr>
            <w:rStyle w:val="Hyperlink"/>
          </w:rPr>
          <w:t xml:space="preserve">https://doi.org/10.3213/2191-5784-10243</w:t>
        </w:r>
      </w:hyperlink>
      <w:r>
        <w:t xml:space="preserve">.</w:t>
      </w:r>
    </w:p>
    <w:bookmarkEnd w:id="198"/>
    <w:bookmarkStart w:id="200" w:name="ref-Newlander_2012"/>
    <w:p>
      <w:pPr>
        <w:pStyle w:val="Bibliography"/>
      </w:pPr>
      <w:r>
        <w:t xml:space="preserve">[73]</w:t>
      </w:r>
      <w:r>
        <w:t xml:space="preserve"> </w:t>
      </w:r>
      <w:r>
        <w:t xml:space="preserve">	</w:t>
      </w:r>
      <w:r>
        <w:t xml:space="preserve">Newlander KS.</w:t>
      </w:r>
      <w:r>
        <w:t xml:space="preserve"> </w:t>
      </w:r>
      <w:hyperlink r:id="rId199">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0"/>
    <w:bookmarkStart w:id="202"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1">
        <w:r>
          <w:rPr>
            <w:rStyle w:val="Hyperlink"/>
          </w:rPr>
          <w:t xml:space="preserve">https://doi.org/10.1371/journal.pone.0265329</w:t>
        </w:r>
      </w:hyperlink>
      <w:r>
        <w:t xml:space="preserve">.</w:t>
      </w:r>
    </w:p>
    <w:bookmarkEnd w:id="202"/>
    <w:bookmarkStart w:id="204"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03">
        <w:r>
          <w:rPr>
            <w:rStyle w:val="Hyperlink"/>
          </w:rPr>
          <w:t xml:space="preserve">https://doi.org/10.1086/202540</w:t>
        </w:r>
      </w:hyperlink>
      <w:r>
        <w:t xml:space="preserve">.</w:t>
      </w:r>
    </w:p>
    <w:bookmarkEnd w:id="204"/>
    <w:bookmarkStart w:id="206"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5">
        <w:r>
          <w:rPr>
            <w:rStyle w:val="Hyperlink"/>
          </w:rPr>
          <w:t xml:space="preserve">https://doi.org/10.1086/701523</w:t>
        </w:r>
      </w:hyperlink>
      <w:r>
        <w:t xml:space="preserve">.</w:t>
      </w:r>
    </w:p>
    <w:bookmarkEnd w:id="206"/>
    <w:bookmarkStart w:id="208"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07">
        <w:r>
          <w:rPr>
            <w:rStyle w:val="Hyperlink"/>
          </w:rPr>
          <w:t xml:space="preserve">https://doi.org/10.1111/j.1468-0092.1982.tb00313.x</w:t>
        </w:r>
      </w:hyperlink>
      <w:r>
        <w:t xml:space="preserve">.</w:t>
      </w:r>
    </w:p>
    <w:bookmarkEnd w:id="208"/>
    <w:bookmarkStart w:id="210"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9">
        <w:r>
          <w:rPr>
            <w:rStyle w:val="Hyperlink"/>
          </w:rPr>
          <w:t xml:space="preserve">https://doi.org/10.1016/j.jaa.2013.05.005</w:t>
        </w:r>
      </w:hyperlink>
      <w:r>
        <w:t xml:space="preserve">.</w:t>
      </w:r>
    </w:p>
    <w:bookmarkEnd w:id="210"/>
    <w:bookmarkStart w:id="212"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1">
        <w:r>
          <w:rPr>
            <w:rStyle w:val="Hyperlink"/>
          </w:rPr>
          <w:t xml:space="preserve">https://doi.org/10.4000/palethnologie.4945</w:t>
        </w:r>
      </w:hyperlink>
      <w:r>
        <w:t xml:space="preserve">.</w:t>
      </w:r>
    </w:p>
    <w:bookmarkEnd w:id="212"/>
    <w:bookmarkStart w:id="214"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13">
        <w:r>
          <w:rPr>
            <w:rStyle w:val="Hyperlink"/>
          </w:rPr>
          <w:t xml:space="preserve">https://doi.org/10.1086/202802</w:t>
        </w:r>
      </w:hyperlink>
      <w:r>
        <w:t xml:space="preserve">.</w:t>
      </w:r>
    </w:p>
    <w:bookmarkEnd w:id="214"/>
    <w:bookmarkStart w:id="215"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15"/>
    <w:bookmarkStart w:id="217"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16">
        <w:r>
          <w:rPr>
            <w:rStyle w:val="Hyperlink"/>
          </w:rPr>
          <w:t xml:space="preserve">https://doi.org/10.1146/annurev.an.23.100194.002411</w:t>
        </w:r>
      </w:hyperlink>
      <w:r>
        <w:t xml:space="preserve">.</w:t>
      </w:r>
    </w:p>
    <w:bookmarkEnd w:id="217"/>
    <w:bookmarkStart w:id="219" w:name="ref-Frerebeau_2025"/>
    <w:p>
      <w:pPr>
        <w:pStyle w:val="Bibliography"/>
      </w:pPr>
      <w:r>
        <w:t xml:space="preserve">[83]</w:t>
      </w:r>
      <w:r>
        <w:t xml:space="preserve"> </w:t>
      </w:r>
      <w:r>
        <w:t xml:space="preserve">	</w:t>
      </w:r>
      <w:r>
        <w:t xml:space="preserve">Frerebeau N. Tabula: Analysis and visualization of archaeological count data 2025.</w:t>
      </w:r>
      <w:r>
        <w:t xml:space="preserve"> </w:t>
      </w:r>
      <w:hyperlink r:id="rId218">
        <w:r>
          <w:rPr>
            <w:rStyle w:val="Hyperlink"/>
          </w:rPr>
          <w:t xml:space="preserve">https://doi.org/10.5281/zenodo.15397990</w:t>
        </w:r>
      </w:hyperlink>
      <w:r>
        <w:t xml:space="preserve">.</w:t>
      </w:r>
    </w:p>
    <w:bookmarkEnd w:id="219"/>
    <w:bookmarkStart w:id="221" w:name="ref-Kintigh_1984"/>
    <w:p>
      <w:pPr>
        <w:pStyle w:val="Bibliography"/>
      </w:pPr>
      <w:r>
        <w:t xml:space="preserve">[84]</w:t>
      </w:r>
      <w:r>
        <w:t xml:space="preserve"> </w:t>
      </w:r>
      <w:r>
        <w:t xml:space="preserve">	</w:t>
      </w:r>
      <w:r>
        <w:t xml:space="preserve">Kintigh KW. Measuring archaeological diversity by comparison with simulated assemblages. American Antiquity 1984;49:44–54.</w:t>
      </w:r>
      <w:r>
        <w:t xml:space="preserve"> </w:t>
      </w:r>
      <w:hyperlink r:id="rId220">
        <w:r>
          <w:rPr>
            <w:rStyle w:val="Hyperlink"/>
          </w:rPr>
          <w:t xml:space="preserve">https://doi.org/10.2307/280511</w:t>
        </w:r>
      </w:hyperlink>
      <w:r>
        <w:t xml:space="preserve">.</w:t>
      </w:r>
    </w:p>
    <w:bookmarkEnd w:id="221"/>
    <w:bookmarkStart w:id="223"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2">
        <w:r>
          <w:rPr>
            <w:rStyle w:val="Hyperlink"/>
          </w:rPr>
          <w:t xml:space="preserve">https://doi.org/10.1038/s41467-024-51349-y</w:t>
        </w:r>
      </w:hyperlink>
      <w:r>
        <w:t xml:space="preserve">.</w:t>
      </w:r>
    </w:p>
    <w:bookmarkEnd w:id="223"/>
    <w:bookmarkStart w:id="225"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24">
        <w:r>
          <w:rPr>
            <w:rStyle w:val="Hyperlink"/>
          </w:rPr>
          <w:t xml:space="preserve">https://doi.org/10.1080/03122417.1992.11681454</w:t>
        </w:r>
      </w:hyperlink>
      <w:r>
        <w:t xml:space="preserve">.</w:t>
      </w:r>
    </w:p>
    <w:bookmarkEnd w:id="225"/>
    <w:bookmarkStart w:id="226"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26"/>
    <w:bookmarkStart w:id="228"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27">
        <w:r>
          <w:rPr>
            <w:rStyle w:val="Hyperlink"/>
          </w:rPr>
          <w:t xml:space="preserve">https://doi.org/10.1002/9780470773475.ch5</w:t>
        </w:r>
      </w:hyperlink>
      <w:r>
        <w:t xml:space="preserve">.</w:t>
      </w:r>
    </w:p>
    <w:bookmarkEnd w:id="228"/>
    <w:bookmarkStart w:id="230"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29">
        <w:r>
          <w:rPr>
            <w:rStyle w:val="Hyperlink"/>
          </w:rPr>
          <w:t xml:space="preserve">https://doi.org/10.1016/B978-0-12-564750-2.50020-2</w:t>
        </w:r>
      </w:hyperlink>
      <w:r>
        <w:t xml:space="preserve">.</w:t>
      </w:r>
    </w:p>
    <w:bookmarkEnd w:id="230"/>
    <w:bookmarkStart w:id="232"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1">
        <w:r>
          <w:rPr>
            <w:rStyle w:val="Hyperlink"/>
          </w:rPr>
          <w:t xml:space="preserve">https://doi.org/10.1080/00438243.1994.9980272</w:t>
        </w:r>
      </w:hyperlink>
      <w:r>
        <w:t xml:space="preserve">.</w:t>
      </w:r>
    </w:p>
    <w:bookmarkEnd w:id="232"/>
    <w:bookmarkStart w:id="234"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33">
        <w:r>
          <w:rPr>
            <w:rStyle w:val="Hyperlink"/>
          </w:rPr>
          <w:t xml:space="preserve">https://doi.org/10.1002/9781118253892.ch6</w:t>
        </w:r>
      </w:hyperlink>
      <w:r>
        <w:t xml:space="preserve">.</w:t>
      </w:r>
    </w:p>
    <w:bookmarkEnd w:id="234"/>
    <w:bookmarkStart w:id="236"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35">
        <w:r>
          <w:rPr>
            <w:rStyle w:val="Hyperlink"/>
          </w:rPr>
          <w:t xml:space="preserve">https://doi.org/10.2307/40035267</w:t>
        </w:r>
      </w:hyperlink>
      <w:r>
        <w:t xml:space="preserve">.</w:t>
      </w:r>
    </w:p>
    <w:bookmarkEnd w:id="236"/>
    <w:bookmarkStart w:id="238"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37">
        <w:r>
          <w:rPr>
            <w:rStyle w:val="Hyperlink"/>
          </w:rPr>
          <w:t xml:space="preserve">https://doi.org/10.1016/0278-4165(84)90002-3</w:t>
        </w:r>
      </w:hyperlink>
      <w:r>
        <w:t xml:space="preserve">.</w:t>
      </w:r>
    </w:p>
    <w:bookmarkEnd w:id="238"/>
    <w:bookmarkStart w:id="240"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39">
        <w:r>
          <w:rPr>
            <w:rStyle w:val="Hyperlink"/>
          </w:rPr>
          <w:t xml:space="preserve">https://doi.org/10.1080/03122417.1992.11681450</w:t>
        </w:r>
      </w:hyperlink>
      <w:r>
        <w:t xml:space="preserve">.</w:t>
      </w:r>
    </w:p>
    <w:bookmarkEnd w:id="240"/>
    <w:bookmarkStart w:id="242"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1">
        <w:r>
          <w:rPr>
            <w:rStyle w:val="Hyperlink"/>
          </w:rPr>
          <w:t xml:space="preserve">https://doi.org/10.1007/978-4-431-55363-2_8</w:t>
        </w:r>
      </w:hyperlink>
      <w:r>
        <w:t xml:space="preserve">.</w:t>
      </w:r>
    </w:p>
    <w:bookmarkEnd w:id="242"/>
    <w:bookmarkStart w:id="243"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University Press; 1981.</w:t>
      </w:r>
    </w:p>
    <w:bookmarkEnd w:id="243"/>
    <w:bookmarkStart w:id="244" w:name="ref-Boyd_Richerson_1985"/>
    <w:p>
      <w:pPr>
        <w:pStyle w:val="Bibliography"/>
      </w:pPr>
      <w:r>
        <w:t xml:space="preserve">[97]</w:t>
      </w:r>
      <w:r>
        <w:t xml:space="preserve"> </w:t>
      </w:r>
      <w:r>
        <w:t xml:space="preserve">	</w:t>
      </w:r>
      <w:r>
        <w:t xml:space="preserve">Boyd R, Richerson PJ. Culture and the evolutionary process. University of Chicago Press; 1985.</w:t>
      </w:r>
    </w:p>
    <w:bookmarkEnd w:id="244"/>
    <w:bookmarkStart w:id="245" w:name="ref-Richerson_Boyd_2005"/>
    <w:p>
      <w:pPr>
        <w:pStyle w:val="Bibliography"/>
      </w:pPr>
      <w:r>
        <w:t xml:space="preserve">[98]</w:t>
      </w:r>
      <w:r>
        <w:t xml:space="preserve"> </w:t>
      </w:r>
      <w:r>
        <w:t xml:space="preserve">	</w:t>
      </w:r>
      <w:r>
        <w:t xml:space="preserve">Richerson PJ, Boyd R. Not by genes alone: How culture transformed human evolution. University of Chicago Press; 2005.</w:t>
      </w:r>
    </w:p>
    <w:bookmarkEnd w:id="245"/>
    <w:bookmarkStart w:id="247"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46">
        <w:r>
          <w:rPr>
            <w:rStyle w:val="Hyperlink"/>
          </w:rPr>
          <w:t xml:space="preserve">https://doi.org/10.2307/4128416</w:t>
        </w:r>
      </w:hyperlink>
      <w:r>
        <w:t xml:space="preserve">.</w:t>
      </w:r>
    </w:p>
    <w:bookmarkEnd w:id="247"/>
    <w:bookmarkStart w:id="249"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48">
        <w:r>
          <w:rPr>
            <w:rStyle w:val="Hyperlink"/>
          </w:rPr>
          <w:t xml:space="preserve">https://doi.org/10.1126/sciadv.aax5913</w:t>
        </w:r>
      </w:hyperlink>
      <w:r>
        <w:t xml:space="preserve">.</w:t>
      </w:r>
    </w:p>
    <w:bookmarkEnd w:id="249"/>
    <w:bookmarkStart w:id="251"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0">
        <w:r>
          <w:rPr>
            <w:rStyle w:val="Hyperlink"/>
          </w:rPr>
          <w:t xml:space="preserve">https://doi.org/10.1111/brv.12599</w:t>
        </w:r>
      </w:hyperlink>
      <w:r>
        <w:t xml:space="preserve">.</w:t>
      </w:r>
    </w:p>
    <w:bookmarkEnd w:id="251"/>
    <w:bookmarkStart w:id="253"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2">
        <w:r>
          <w:rPr>
            <w:rStyle w:val="Hyperlink"/>
          </w:rPr>
          <w:t xml:space="preserve">https://doi.org/10.1093/oxfordhb/9780198854265.013.34</w:t>
        </w:r>
      </w:hyperlink>
      <w:r>
        <w:t xml:space="preserve">.</w:t>
      </w:r>
    </w:p>
    <w:bookmarkEnd w:id="253"/>
    <w:bookmarkStart w:id="255" w:name="ref-CucartMora_2022"/>
    <w:p>
      <w:pPr>
        <w:pStyle w:val="Bibliography"/>
      </w:pPr>
      <w:r>
        <w:t xml:space="preserve">[103]</w:t>
      </w:r>
      <w:r>
        <w:t xml:space="preserve"> </w:t>
      </w:r>
      <w:r>
        <w:t xml:space="preserve">	</w:t>
      </w:r>
      <w:r>
        <w:t xml:space="preserve">Cucart-Mora C, Gómez-Puche M, Romano V, Fernández-López de Pablo J, Lozano S. Reconstructing</w:t>
      </w:r>
      <w:r>
        <w:t xml:space="preserve"> </w:t>
      </w:r>
      <w:r>
        <w:t xml:space="preserve">Mesolithic</w:t>
      </w:r>
      <w:r>
        <w:t xml:space="preserve"> </w:t>
      </w:r>
      <w:r>
        <w:t xml:space="preserve">social networks on the</w:t>
      </w:r>
      <w:r>
        <w:t xml:space="preserve"> </w:t>
      </w:r>
      <w:r>
        <w:t xml:space="preserve">Iberian</w:t>
      </w:r>
      <w:r>
        <w:t xml:space="preserve"> </w:t>
      </w:r>
      <w:r>
        <w:t xml:space="preserve">Peninsula</w:t>
      </w:r>
      <w:r>
        <w:t xml:space="preserve"> </w:t>
      </w:r>
      <w:r>
        <w:t xml:space="preserve">using ornaments. Archaeological and Anthropological Sciences 2022;14.</w:t>
      </w:r>
      <w:r>
        <w:t xml:space="preserve"> </w:t>
      </w:r>
      <w:hyperlink r:id="rId254">
        <w:r>
          <w:rPr>
            <w:rStyle w:val="Hyperlink"/>
          </w:rPr>
          <w:t xml:space="preserve">https://doi.org/10.1007/s12520-022-01641-z</w:t>
        </w:r>
      </w:hyperlink>
      <w:r>
        <w:t xml:space="preserve">.</w:t>
      </w:r>
    </w:p>
    <w:bookmarkEnd w:id="255"/>
    <w:bookmarkStart w:id="257" w:name="ref-Eerkens_Lipo_2005"/>
    <w:p>
      <w:pPr>
        <w:pStyle w:val="Bibliography"/>
      </w:pPr>
      <w:r>
        <w:t xml:space="preserve">[104]</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6">
        <w:r>
          <w:rPr>
            <w:rStyle w:val="Hyperlink"/>
          </w:rPr>
          <w:t xml:space="preserve">https://doi.org/10.1016/j.jaa.2005.08.001</w:t>
        </w:r>
      </w:hyperlink>
      <w:r>
        <w:t xml:space="preserve">.</w:t>
      </w:r>
    </w:p>
    <w:bookmarkEnd w:id="257"/>
    <w:bookmarkStart w:id="259" w:name="ref-Intxaurbe_2026"/>
    <w:p>
      <w:pPr>
        <w:pStyle w:val="Bibliography"/>
      </w:pPr>
      <w:r>
        <w:t xml:space="preserve">[105]</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58">
        <w:r>
          <w:rPr>
            <w:rStyle w:val="Hyperlink"/>
          </w:rPr>
          <w:t xml:space="preserve">https://doi.org/10.1007/s10816-026-09796-y</w:t>
        </w:r>
      </w:hyperlink>
      <w:r>
        <w:t xml:space="preserve">.</w:t>
      </w:r>
    </w:p>
    <w:bookmarkEnd w:id="259"/>
    <w:bookmarkStart w:id="261" w:name="ref-Bentz_Dutkiewicz_2026"/>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0">
        <w:r>
          <w:rPr>
            <w:rStyle w:val="Hyperlink"/>
          </w:rPr>
          <w:t xml:space="preserve">https://doi.org/10.1073/pnas.2520385123</w:t>
        </w:r>
      </w:hyperlink>
      <w:r>
        <w:t xml:space="preserve">.</w:t>
      </w:r>
    </w:p>
    <w:bookmarkEnd w:id="261"/>
    <w:bookmarkStart w:id="263"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2">
        <w:r>
          <w:rPr>
            <w:rStyle w:val="Hyperlink"/>
          </w:rPr>
          <w:t xml:space="preserve">https://doi.org/10.1017/S0959774322000415</w:t>
        </w:r>
      </w:hyperlink>
      <w:r>
        <w:t xml:space="preserve">.</w:t>
      </w:r>
    </w:p>
    <w:bookmarkEnd w:id="263"/>
    <w:bookmarkStart w:id="265" w:name="Xa4990169aeb885a690070ab4fd90972c31994f8"/>
    <w:p>
      <w:pPr>
        <w:pStyle w:val="Bibliography"/>
      </w:pPr>
      <w:r>
        <w:t xml:space="preserve">[108]</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4">
        <w:r>
          <w:rPr>
            <w:rStyle w:val="Hyperlink"/>
          </w:rPr>
          <w:t xml:space="preserve">https://doi.org/10.2139/ssrn.7053279</w:t>
        </w:r>
      </w:hyperlink>
      <w:r>
        <w:t xml:space="preserve">.</w:t>
      </w:r>
    </w:p>
    <w:bookmarkEnd w:id="265"/>
    <w:bookmarkStart w:id="267" w:name="X8ea620419c64d551554c48b7075c9934881930b"/>
    <w:p>
      <w:pPr>
        <w:pStyle w:val="Bibliography"/>
      </w:pPr>
      <w:r>
        <w:t xml:space="preserve">[109]</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6">
        <w:r>
          <w:rPr>
            <w:rStyle w:val="Hyperlink"/>
          </w:rPr>
          <w:t xml:space="preserve">https://doi.org/10.1007/s41982-023-00158-8</w:t>
        </w:r>
      </w:hyperlink>
      <w:r>
        <w:t xml:space="preserve">.</w:t>
      </w:r>
    </w:p>
    <w:bookmarkEnd w:id="267"/>
    <w:bookmarkStart w:id="269"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68">
        <w:r>
          <w:rPr>
            <w:rStyle w:val="Hyperlink"/>
          </w:rPr>
          <w:t xml:space="preserve">https://doi.org/10.1080/1751696X.2024.2441115</w:t>
        </w:r>
      </w:hyperlink>
      <w:r>
        <w:t xml:space="preserve">.</w:t>
      </w:r>
    </w:p>
    <w:bookmarkEnd w:id="269"/>
    <w:bookmarkStart w:id="271" w:name="ref-Nowell_2024_evidence"/>
    <w:p>
      <w:pPr>
        <w:pStyle w:val="Bibliography"/>
      </w:pPr>
      <w:r>
        <w:t xml:space="preserve">[111]</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0">
        <w:r>
          <w:rPr>
            <w:rStyle w:val="Hyperlink"/>
          </w:rPr>
          <w:t xml:space="preserve">https://doi.org/10.1017/S0959774324000155</w:t>
        </w:r>
      </w:hyperlink>
      <w:r>
        <w:t xml:space="preserve">.</w:t>
      </w:r>
    </w:p>
    <w:bookmarkEnd w:id="271"/>
    <w:bookmarkStart w:id="273"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2">
        <w:r>
          <w:rPr>
            <w:rStyle w:val="Hyperlink"/>
          </w:rPr>
          <w:t xml:space="preserve">https://doi.org/10.1007/978-981-13-8980-1_12</w:t>
        </w:r>
      </w:hyperlink>
      <w:r>
        <w:t xml:space="preserve">.</w:t>
      </w:r>
    </w:p>
    <w:bookmarkEnd w:id="273"/>
    <w:bookmarkStart w:id="274" w:name="ref-Rogers_2018"/>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4"/>
    <w:bookmarkStart w:id="276"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5">
        <w:r>
          <w:rPr>
            <w:rStyle w:val="Hyperlink"/>
          </w:rPr>
          <w:t xml:space="preserve">https://doi.org/10.1016/j.jasrep.2021.103118</w:t>
        </w:r>
      </w:hyperlink>
      <w:r>
        <w:t xml:space="preserve">.</w:t>
      </w:r>
    </w:p>
    <w:bookmarkEnd w:id="276"/>
    <w:bookmarkStart w:id="278"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7">
        <w:r>
          <w:rPr>
            <w:rStyle w:val="Hyperlink"/>
          </w:rPr>
          <w:t xml:space="preserve">https://doi.org/10.2307/2802103</w:t>
        </w:r>
      </w:hyperlink>
      <w:r>
        <w:t xml:space="preserve">.</w:t>
      </w:r>
    </w:p>
    <w:bookmarkEnd w:id="278"/>
    <w:bookmarkStart w:id="280"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79">
        <w:r>
          <w:rPr>
            <w:rStyle w:val="Hyperlink"/>
          </w:rPr>
          <w:t xml:space="preserve">https://doi.org/10.1016/j.quascirev.2018.12.011</w:t>
        </w:r>
      </w:hyperlink>
      <w:r>
        <w:t xml:space="preserve">.</w:t>
      </w:r>
    </w:p>
    <w:bookmarkEnd w:id="280"/>
    <w:bookmarkStart w:id="282"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1">
        <w:r>
          <w:rPr>
            <w:rStyle w:val="Hyperlink"/>
          </w:rPr>
          <w:t xml:space="preserve">https://doi.org/10.1098/rsif.2017.0171</w:t>
        </w:r>
      </w:hyperlink>
      <w:r>
        <w:t xml:space="preserve">.</w:t>
      </w:r>
    </w:p>
    <w:bookmarkEnd w:id="282"/>
    <w:bookmarkStart w:id="284"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3">
        <w:r>
          <w:rPr>
            <w:rStyle w:val="Hyperlink"/>
          </w:rPr>
          <w:t xml:space="preserve">https://doi.org/10.1007/978-1-4757-9945-3_4</w:t>
        </w:r>
      </w:hyperlink>
      <w:r>
        <w:t xml:space="preserve">.</w:t>
      </w:r>
    </w:p>
    <w:bookmarkEnd w:id="284"/>
    <w:bookmarkStart w:id="286"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5">
        <w:r>
          <w:rPr>
            <w:rStyle w:val="Hyperlink"/>
          </w:rPr>
          <w:t xml:space="preserve">https://doi.org/10.1371/journal.pone.0102806</w:t>
        </w:r>
      </w:hyperlink>
      <w:r>
        <w:t xml:space="preserve">.</w:t>
      </w:r>
    </w:p>
    <w:bookmarkEnd w:id="286"/>
    <w:bookmarkStart w:id="288"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7">
        <w:r>
          <w:rPr>
            <w:rStyle w:val="Hyperlink"/>
          </w:rPr>
          <w:t xml:space="preserve">https://doi.org/10.1073/pnas.1518798113</w:t>
        </w:r>
      </w:hyperlink>
      <w:r>
        <w:t xml:space="preserve">.</w:t>
      </w:r>
    </w:p>
    <w:bookmarkEnd w:id="288"/>
    <w:bookmarkStart w:id="289" w:name="ref-Von_Petzinger_2009"/>
    <w:p>
      <w:pPr>
        <w:pStyle w:val="Bibliography"/>
      </w:pPr>
      <w:r>
        <w:t xml:space="preserve">[121]</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89"/>
    <w:bookmarkStart w:id="291" w:name="ref-Herskind2023"/>
    <w:p>
      <w:pPr>
        <w:pStyle w:val="Bibliography"/>
      </w:pPr>
      <w:r>
        <w:t xml:space="preserve">[122]</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0">
        <w:r>
          <w:rPr>
            <w:rStyle w:val="Hyperlink"/>
          </w:rPr>
          <w:t xml:space="preserve">https://doi.org/10.3828/hgr.2023.12</w:t>
        </w:r>
      </w:hyperlink>
      <w:r>
        <w:t xml:space="preserve">.</w:t>
      </w:r>
    </w:p>
    <w:bookmarkEnd w:id="291"/>
    <w:bookmarkStart w:id="293" w:name="ref-Gravel-Miguel_Coward_2023"/>
    <w:p>
      <w:pPr>
        <w:pStyle w:val="Bibliography"/>
      </w:pPr>
      <w:r>
        <w:t xml:space="preserve">[123]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2">
        <w:r>
          <w:rPr>
            <w:rStyle w:val="Hyperlink"/>
          </w:rPr>
          <w:t xml:space="preserve">https://doi.org/10.1093/oxfordhb/9780198854265.013.31</w:t>
        </w:r>
      </w:hyperlink>
      <w:r>
        <w:t xml:space="preserve">.</w:t>
      </w:r>
    </w:p>
    <w:bookmarkEnd w:id="293"/>
    <w:bookmarkStart w:id="295"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4">
        <w:r>
          <w:rPr>
            <w:rStyle w:val="Hyperlink"/>
          </w:rPr>
          <w:t xml:space="preserve">https://doi.org/10.1007/s10816-023-09608-7</w:t>
        </w:r>
      </w:hyperlink>
      <w:r>
        <w:t xml:space="preserve">.</w:t>
      </w:r>
    </w:p>
    <w:bookmarkEnd w:id="295"/>
    <w:bookmarkStart w:id="297" w:name="ref-Chiotti_2005"/>
    <w:p>
      <w:pPr>
        <w:pStyle w:val="Bibliography"/>
      </w:pPr>
      <w:r>
        <w:t xml:space="preserve">[125]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6">
        <w:r>
          <w:rPr>
            <w:rStyle w:val="Hyperlink"/>
          </w:rPr>
          <w:t xml:space="preserve">https://doi.org/10.30861/9781841718309</w:t>
        </w:r>
      </w:hyperlink>
      <w:r>
        <w:t xml:space="preserve">.</w:t>
      </w:r>
    </w:p>
    <w:bookmarkEnd w:id="297"/>
    <w:bookmarkStart w:id="299" w:name="ref-Higham_Abri_Pataud_2011"/>
    <w:p>
      <w:pPr>
        <w:pStyle w:val="Bibliography"/>
      </w:pPr>
      <w:r>
        <w:t xml:space="preserve">[126]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98">
        <w:r>
          <w:rPr>
            <w:rStyle w:val="Hyperlink"/>
          </w:rPr>
          <w:t xml:space="preserve">https://doi.org/10.1016/j.jhevol.2011.06.005</w:t>
        </w:r>
      </w:hyperlink>
      <w:r>
        <w:t xml:space="preserve">.</w:t>
      </w:r>
    </w:p>
    <w:bookmarkEnd w:id="299"/>
    <w:bookmarkStart w:id="301" w:name="ref-Talamo_La_Ferrassie_2020"/>
    <w:p>
      <w:pPr>
        <w:pStyle w:val="Bibliography"/>
      </w:pPr>
      <w:r>
        <w:t xml:space="preserve">[127]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0">
        <w:r>
          <w:rPr>
            <w:rStyle w:val="Hyperlink"/>
          </w:rPr>
          <w:t xml:space="preserve">https://doi.org/10.1002/jqs.3236</w:t>
        </w:r>
      </w:hyperlink>
      <w:r>
        <w:t xml:space="preserve">.</w:t>
      </w:r>
    </w:p>
    <w:bookmarkEnd w:id="301"/>
    <w:bookmarkStart w:id="303" w:name="ref-Wild_et_al_2005"/>
    <w:p>
      <w:pPr>
        <w:pStyle w:val="Bibliography"/>
      </w:pPr>
      <w:r>
        <w:t xml:space="preserve">[128]</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02">
        <w:r>
          <w:rPr>
            <w:rStyle w:val="Hyperlink"/>
          </w:rPr>
          <w:t xml:space="preserve">https://doi.org/10.1038/nature03585</w:t>
        </w:r>
      </w:hyperlink>
      <w:r>
        <w:t xml:space="preserve">.</w:t>
      </w:r>
    </w:p>
    <w:bookmarkEnd w:id="303"/>
    <w:bookmarkStart w:id="305" w:name="ref-Schurch_Conard_2026_reassess"/>
    <w:p>
      <w:pPr>
        <w:pStyle w:val="Bibliography"/>
      </w:pPr>
      <w:r>
        <w:t xml:space="preserve">[129]</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4">
        <w:r>
          <w:rPr>
            <w:rStyle w:val="Hyperlink"/>
          </w:rPr>
          <w:t xml:space="preserve">https://doi.org/10.1007/s41982-025-00246-x</w:t>
        </w:r>
      </w:hyperlink>
      <w:r>
        <w:t xml:space="preserve">.</w:t>
      </w:r>
    </w:p>
    <w:bookmarkEnd w:id="305"/>
    <w:bookmarkEnd w:id="306"/>
    <w:bookmarkEnd w:id="307"/>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reveal a continuum rather than discrete cultural groups in the Aurignacian</dc:title>
  <dc:creator>Sophie Cooper1, Aleah Rosner1, Eva Oryn1, Kenneth B. Vernon2, and Ben Marwick1,✉</dc:creator>
  <cp:keywords/>
  <dcterms:created xsi:type="dcterms:W3CDTF">2026-09-07T07:50:25Z</dcterms:created>
  <dcterms:modified xsi:type="dcterms:W3CDTF">2026-09-07T07:50:25Z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7,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