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15.png" ContentType="image/png"/>
  <Override PartName="/word/media/rId224.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38.png" ContentType="image/png"/>
  <Override PartName="/word/media/rId267.png" ContentType="image/png"/>
  <Override PartName="/word/media/rId288.png" ContentType="image/png"/>
  <Override PartName="/word/media/rId255.png" ContentType="image/png"/>
  <Override PartName="/word/media/rId247.png" ContentType="image/png"/>
  <Override PartName="/word/media/rId176.png" ContentType="image/png"/>
  <Override PartName="/word/media/rId185.png" ContentType="image/png"/>
  <Override PartName="/word/media/rId19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one of the largest dropped assemblages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Broader-range sites keep denser mutual connections, while restricted-range sites stay peripheral or isolated. Aur-P1 has more edges and a higher mean degree at every threshold, while Aur-P2 has higher edge density because it has far fewer nodes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(density 0.658 in Aur-P1) and the two Aur-P1 sites isolated at 0.2 become connected. At 0.3 the graph is sparser and both phases gain isolates (Aur-P1 2, Aur-P2 2), with Aur-P1’s count unchanged from 0.2.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Sørensen yields more edges and one fewer community per phase; a hub-level comparison is not reported</w:t>
      </w:r>
    </w:p>
    <w:p>
      <w:pPr>
        <w:pStyle w:val="BodyText"/>
      </w:pPr>
      <w:r>
        <w:rPr>
          <w:bCs/>
          <w:b/>
        </w:rPr>
        <w:t xml:space="preserve">Question: does the Aur-P1 connectivity advantage survive under Simpson similarity, which controls for richness asymmetry?</w:t>
      </w:r>
      <w:r>
        <w:t xml:space="preserve"> </w:t>
      </w:r>
      <w:r>
        <w:t xml:space="preserve">Yes, the phase ordering survives Simpson similarity, but the mechanism changes: under J/min(A,B) a poor assemblage nested inside a rich one scores high by construction, so the surviving contrast is a repertoire-size (nestedness) contrast rather than compositional turnover (</w:t>
      </w:r>
      <w:r>
        <w:t xml:space="preserve">Section S1.10.3</w:t>
      </w:r>
      <w:r>
        <w:t xml:space="preserve">).</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is the only lag whose bootstrap interval excludes zero. The Aur-P1 intervals all include zero while the Aur-P2 third-lag interval does not. The Aur-P1 correlogram is flat at every scale; in Aur-P2 a single long-range lag shows a weak positive association, which is consistent with the near-zero and negative global Mantel R rather than contradicting it.</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value is near zero, so the trend surface adds little beyond node count.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This section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hyperlink w:anchor="tbl-two-phase-ref">
        <w:r>
          <w:rPr>
            <w:rStyle w:val="Hyperlink"/>
          </w:rPr>
          <w:t xml:space="preserve">Table S 8</w:t>
        </w:r>
      </w:hyperlink>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which under the date rule alone assigns 19 sites to Aur-P1 and 9 to Aur-P2; the twentieth Aur-P1 unit in the baseline is Hohle Fels’s second assemblage, which the layer-level override places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16"/>
              <w:gridCol w:w="954"/>
              <w:gridCol w:w="842"/>
              <w:gridCol w:w="1123"/>
              <w:gridCol w:w="954"/>
              <w:gridCol w:w="1123"/>
              <w:gridCol w:w="898"/>
              <w:gridCol w:w="505"/>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r>
              <w:tc>
                <w:tcPr/>
                <w:p>
                  <w:pPr>
                    <w:pStyle w:val="Compact"/>
                    <w:jc w:val="left"/>
                    <w:jc w:val="center"/>
                  </w:pPr>
                  <w:r>
                    <w:t xml:space="preserve">Abri Pataud</w:t>
                  </w:r>
                </w:p>
              </w:tc>
              <w:tc>
                <w:tcPr/>
                <w:p>
                  <w:pPr>
                    <w:pStyle w:val="Compact"/>
                    <w:jc w:val="right"/>
                    <w:jc w:val="center"/>
                  </w:pPr>
                  <w:r>
                    <w:t xml:space="preserve">40127</w:t>
                  </w:r>
                </w:p>
              </w:tc>
              <w:tc>
                <w:tcPr/>
                <w:p>
                  <w:pPr>
                    <w:pStyle w:val="Compact"/>
                    <w:jc w:val="center"/>
                    <w:jc w:val="center"/>
                  </w:pPr>
                  <w:r>
                    <w:t xml:space="preserve">Aur-P1</w:t>
                  </w:r>
                </w:p>
              </w:tc>
              <w:tc>
                <w:tcPr/>
                <w:p>
                  <w:pPr>
                    <w:pStyle w:val="Compact"/>
                    <w:jc w:val="left"/>
                    <w:jc w:val="center"/>
                  </w:pPr>
                  <w:r>
                    <w:t xml:space="preserve">37854</w:t>
                  </w:r>
                </w:p>
              </w:tc>
              <w:tc>
                <w:tcPr/>
                <w:p>
                  <w:pPr>
                    <w:pStyle w:val="Compact"/>
                    <w:jc w:val="right"/>
                    <w:jc w:val="center"/>
                  </w:pPr>
                  <w:r>
                    <w:t xml:space="preserve">Aur-P1</w:t>
                  </w:r>
                </w:p>
              </w:tc>
              <w:tc>
                <w:tcPr/>
                <w:p>
                  <w:pPr>
                    <w:pStyle w:val="Compact"/>
                    <w:jc w:val="center"/>
                    <w:jc w:val="center"/>
                  </w:pPr>
                  <w:r>
                    <w:t xml:space="preserve">35580</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Bockstein-Törle</w:t>
                  </w:r>
                </w:p>
              </w:tc>
              <w:tc>
                <w:tcPr/>
                <w:p>
                  <w:pPr>
                    <w:pStyle w:val="Compact"/>
                    <w:jc w:val="right"/>
                    <w:jc w:val="center"/>
                  </w:pPr>
                  <w:r>
                    <w:t xml:space="preserve">35872</w:t>
                  </w:r>
                </w:p>
              </w:tc>
              <w:tc>
                <w:tcPr/>
                <w:p>
                  <w:pPr>
                    <w:pStyle w:val="Compact"/>
                    <w:jc w:val="center"/>
                    <w:jc w:val="center"/>
                  </w:pPr>
                  <w:r>
                    <w:t xml:space="preserve">Aur-P2</w:t>
                  </w:r>
                </w:p>
              </w:tc>
              <w:tc>
                <w:tcPr/>
                <w:p>
                  <w:pPr>
                    <w:pStyle w:val="Compact"/>
                    <w:jc w:val="left"/>
                    <w:jc w:val="center"/>
                  </w:pPr>
                  <w:r>
                    <w:t xml:space="preserve">NA</w:t>
                  </w:r>
                </w:p>
              </w:tc>
              <w:tc>
                <w:tcPr/>
                <w:p>
                  <w:pPr>
                    <w:pStyle w:val="Compact"/>
                    <w:jc w:val="right"/>
                    <w:jc w:val="center"/>
                  </w:pPr>
                  <w:r>
                    <w:t xml:space="preserve">NA</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Castanet</w:t>
                  </w:r>
                </w:p>
              </w:tc>
              <w:tc>
                <w:tcPr/>
                <w:p>
                  <w:pPr>
                    <w:pStyle w:val="Compact"/>
                    <w:jc w:val="right"/>
                    <w:jc w:val="center"/>
                  </w:pPr>
                  <w:r>
                    <w:t xml:space="preserve">39413</w:t>
                  </w:r>
                </w:p>
              </w:tc>
              <w:tc>
                <w:tcPr/>
                <w:p>
                  <w:pPr>
                    <w:pStyle w:val="Compact"/>
                    <w:jc w:val="center"/>
                    <w:jc w:val="center"/>
                  </w:pPr>
                  <w:r>
                    <w:t xml:space="preserve">Aur-P1</w:t>
                  </w:r>
                </w:p>
              </w:tc>
              <w:tc>
                <w:tcPr/>
                <w:p>
                  <w:pPr>
                    <w:pStyle w:val="Compact"/>
                    <w:jc w:val="left"/>
                    <w:jc w:val="center"/>
                  </w:pPr>
                  <w:r>
                    <w:t xml:space="preserve">37829</w:t>
                  </w:r>
                </w:p>
              </w:tc>
              <w:tc>
                <w:tcPr/>
                <w:p>
                  <w:pPr>
                    <w:pStyle w:val="Compact"/>
                    <w:jc w:val="right"/>
                    <w:jc w:val="center"/>
                  </w:pPr>
                  <w:r>
                    <w:t xml:space="preserve">Aur-P1</w:t>
                  </w:r>
                </w:p>
              </w:tc>
              <w:tc>
                <w:tcPr/>
                <w:p>
                  <w:pPr>
                    <w:pStyle w:val="Compact"/>
                    <w:jc w:val="center"/>
                    <w:jc w:val="center"/>
                  </w:pPr>
                  <w:r>
                    <w:t xml:space="preserve">36245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Cellier</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37624</w:t>
                  </w:r>
                </w:p>
              </w:tc>
              <w:tc>
                <w:tcPr/>
                <w:p>
                  <w:pPr>
                    <w:pStyle w:val="Compact"/>
                    <w:jc w:val="right"/>
                    <w:jc w:val="center"/>
                  </w:pPr>
                  <w:r>
                    <w:t xml:space="preserve">Aur-P2</w:t>
                  </w:r>
                </w:p>
              </w:tc>
              <w:tc>
                <w:tcPr/>
                <w:p>
                  <w:pPr>
                    <w:pStyle w:val="Compact"/>
                    <w:jc w:val="center"/>
                    <w:jc w:val="center"/>
                  </w:pPr>
                  <w:r>
                    <w:t xml:space="preserve">36855</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Fumane</w:t>
                  </w:r>
                </w:p>
              </w:tc>
              <w:tc>
                <w:tcPr/>
                <w:p>
                  <w:pPr>
                    <w:pStyle w:val="Compact"/>
                    <w:jc w:val="right"/>
                    <w:jc w:val="center"/>
                  </w:pPr>
                  <w:r>
                    <w:t xml:space="preserve">42561</w:t>
                  </w:r>
                </w:p>
              </w:tc>
              <w:tc>
                <w:tcPr/>
                <w:p>
                  <w:pPr>
                    <w:pStyle w:val="Compact"/>
                    <w:jc w:val="center"/>
                    <w:jc w:val="center"/>
                  </w:pPr>
                  <w:r>
                    <w:t xml:space="preserve">Aur-P1</w:t>
                  </w:r>
                </w:p>
              </w:tc>
              <w:tc>
                <w:tcPr/>
                <w:p>
                  <w:pPr>
                    <w:pStyle w:val="Compact"/>
                    <w:jc w:val="left"/>
                    <w:jc w:val="center"/>
                  </w:pPr>
                  <w:r>
                    <w:t xml:space="preserve">39406</w:t>
                  </w:r>
                </w:p>
              </w:tc>
              <w:tc>
                <w:tcPr/>
                <w:p>
                  <w:pPr>
                    <w:pStyle w:val="Compact"/>
                    <w:jc w:val="right"/>
                    <w:jc w:val="center"/>
                  </w:pPr>
                  <w:r>
                    <w:t xml:space="preserve">Aur-P1</w:t>
                  </w:r>
                </w:p>
              </w:tc>
              <w:tc>
                <w:tcPr/>
                <w:p>
                  <w:pPr>
                    <w:pStyle w:val="Compact"/>
                    <w:jc w:val="center"/>
                    <w:jc w:val="center"/>
                  </w:pPr>
                  <w:r>
                    <w:t xml:space="preserve">36252</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Geissenklösterle</w:t>
                  </w:r>
                </w:p>
              </w:tc>
              <w:tc>
                <w:tcPr/>
                <w:p>
                  <w:pPr>
                    <w:pStyle w:val="Compact"/>
                    <w:jc w:val="right"/>
                    <w:jc w:val="center"/>
                  </w:pPr>
                  <w:r>
                    <w:t xml:space="preserve">40747</w:t>
                  </w:r>
                </w:p>
              </w:tc>
              <w:tc>
                <w:tcPr/>
                <w:p>
                  <w:pPr>
                    <w:pStyle w:val="Compact"/>
                    <w:jc w:val="center"/>
                    <w:jc w:val="center"/>
                  </w:pPr>
                  <w:r>
                    <w:t xml:space="preserve">Aur-P1</w:t>
                  </w:r>
                </w:p>
              </w:tc>
              <w:tc>
                <w:tcPr/>
                <w:p>
                  <w:pPr>
                    <w:pStyle w:val="Compact"/>
                    <w:jc w:val="left"/>
                    <w:jc w:val="center"/>
                  </w:pPr>
                  <w:r>
                    <w:t xml:space="preserve">37898</w:t>
                  </w:r>
                </w:p>
              </w:tc>
              <w:tc>
                <w:tcPr/>
                <w:p>
                  <w:pPr>
                    <w:pStyle w:val="Compact"/>
                    <w:jc w:val="right"/>
                    <w:jc w:val="center"/>
                  </w:pPr>
                  <w:r>
                    <w:t xml:space="preserve">Aur-P1</w:t>
                  </w:r>
                </w:p>
              </w:tc>
              <w:tc>
                <w:tcPr/>
                <w:p>
                  <w:pPr>
                    <w:pStyle w:val="Compact"/>
                    <w:jc w:val="center"/>
                    <w:jc w:val="center"/>
                  </w:pPr>
                  <w:r>
                    <w:t xml:space="preserve">35049</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 de la Verpillière I</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Grottes de Fonds-de-Forêt</w:t>
                  </w:r>
                </w:p>
              </w:tc>
              <w:tc>
                <w:tcPr/>
                <w:p>
                  <w:pPr>
                    <w:pStyle w:val="Compact"/>
                    <w:jc w:val="right"/>
                    <w:jc w:val="center"/>
                  </w:pPr>
                  <w:r>
                    <w:t xml:space="preserve">38509</w:t>
                  </w:r>
                </w:p>
              </w:tc>
              <w:tc>
                <w:tcPr/>
                <w:p>
                  <w:pPr>
                    <w:pStyle w:val="Compact"/>
                    <w:jc w:val="center"/>
                    <w:jc w:val="center"/>
                  </w:pPr>
                  <w:r>
                    <w:t xml:space="preserve">Aur-P1</w:t>
                  </w:r>
                </w:p>
              </w:tc>
              <w:tc>
                <w:tcPr/>
                <w:p>
                  <w:pPr>
                    <w:pStyle w:val="Compact"/>
                    <w:jc w:val="left"/>
                    <w:jc w:val="center"/>
                  </w:pPr>
                  <w:r>
                    <w:t xml:space="preserve">36168</w:t>
                  </w:r>
                </w:p>
              </w:tc>
              <w:tc>
                <w:tcPr/>
                <w:p>
                  <w:pPr>
                    <w:pStyle w:val="Compact"/>
                    <w:jc w:val="right"/>
                    <w:jc w:val="center"/>
                  </w:pPr>
                  <w:r>
                    <w:t xml:space="preserve">Aur-P2</w:t>
                  </w:r>
                </w:p>
              </w:tc>
              <w:tc>
                <w:tcPr/>
                <w:p>
                  <w:pPr>
                    <w:pStyle w:val="Compact"/>
                    <w:jc w:val="center"/>
                    <w:jc w:val="center"/>
                  </w:pPr>
                  <w:r>
                    <w:t xml:space="preserve">33827</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Les Cottés</w:t>
                  </w:r>
                </w:p>
              </w:tc>
              <w:tc>
                <w:tcPr/>
                <w:p>
                  <w:pPr>
                    <w:pStyle w:val="Compact"/>
                    <w:jc w:val="right"/>
                    <w:jc w:val="center"/>
                  </w:pPr>
                  <w:r>
                    <w:t xml:space="preserve">40037</w:t>
                  </w:r>
                </w:p>
              </w:tc>
              <w:tc>
                <w:tcPr/>
                <w:p>
                  <w:pPr>
                    <w:pStyle w:val="Compact"/>
                    <w:jc w:val="center"/>
                    <w:jc w:val="center"/>
                  </w:pPr>
                  <w:r>
                    <w:t xml:space="preserve">Aur-P1</w:t>
                  </w:r>
                </w:p>
              </w:tc>
              <w:tc>
                <w:tcPr/>
                <w:p>
                  <w:pPr>
                    <w:pStyle w:val="Compact"/>
                    <w:jc w:val="left"/>
                    <w:jc w:val="center"/>
                  </w:pPr>
                  <w:r>
                    <w:t xml:space="preserve">38002</w:t>
                  </w:r>
                </w:p>
              </w:tc>
              <w:tc>
                <w:tcPr/>
                <w:p>
                  <w:pPr>
                    <w:pStyle w:val="Compact"/>
                    <w:jc w:val="right"/>
                    <w:jc w:val="center"/>
                  </w:pPr>
                  <w:r>
                    <w:t xml:space="preserve">Aur-P1</w:t>
                  </w:r>
                </w:p>
              </w:tc>
              <w:tc>
                <w:tcPr/>
                <w:p>
                  <w:pPr>
                    <w:pStyle w:val="Compact"/>
                    <w:jc w:val="center"/>
                    <w:jc w:val="center"/>
                  </w:pPr>
                  <w:r>
                    <w:t xml:space="preserve">35968</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Mladeč</w:t>
                  </w:r>
                </w:p>
              </w:tc>
              <w:tc>
                <w:tcPr/>
                <w:p>
                  <w:pPr>
                    <w:pStyle w:val="Compact"/>
                    <w:jc w:val="right"/>
                    <w:jc w:val="center"/>
                  </w:pPr>
                  <w:r>
                    <w:t xml:space="preserve">40091</w:t>
                  </w:r>
                </w:p>
              </w:tc>
              <w:tc>
                <w:tcPr/>
                <w:p>
                  <w:pPr>
                    <w:pStyle w:val="Compact"/>
                    <w:jc w:val="center"/>
                    <w:jc w:val="center"/>
                  </w:pPr>
                  <w:r>
                    <w:t xml:space="preserve">Aur-P1</w:t>
                  </w:r>
                </w:p>
              </w:tc>
              <w:tc>
                <w:tcPr/>
                <w:p>
                  <w:pPr>
                    <w:pStyle w:val="Compact"/>
                    <w:jc w:val="left"/>
                    <w:jc w:val="center"/>
                  </w:pPr>
                  <w:r>
                    <w:t xml:space="preserve">37831</w:t>
                  </w:r>
                </w:p>
              </w:tc>
              <w:tc>
                <w:tcPr/>
                <w:p>
                  <w:pPr>
                    <w:pStyle w:val="Compact"/>
                    <w:jc w:val="right"/>
                    <w:jc w:val="center"/>
                  </w:pPr>
                  <w:r>
                    <w:t xml:space="preserve">Aur-P1</w:t>
                  </w:r>
                </w:p>
              </w:tc>
              <w:tc>
                <w:tcPr/>
                <w:p>
                  <w:pPr>
                    <w:pStyle w:val="Compact"/>
                    <w:jc w:val="center"/>
                    <w:jc w:val="center"/>
                  </w:pPr>
                  <w:r>
                    <w:t xml:space="preserve">35571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Pod Hradem</w:t>
                  </w:r>
                </w:p>
              </w:tc>
              <w:tc>
                <w:tcPr/>
                <w:p>
                  <w:pPr>
                    <w:pStyle w:val="Compact"/>
                    <w:jc w:val="right"/>
                    <w:jc w:val="center"/>
                  </w:pPr>
                  <w:r>
                    <w:t xml:space="preserve">44778</w:t>
                  </w:r>
                </w:p>
              </w:tc>
              <w:tc>
                <w:tcPr/>
                <w:p>
                  <w:pPr>
                    <w:pStyle w:val="Compact"/>
                    <w:jc w:val="center"/>
                    <w:jc w:val="center"/>
                  </w:pPr>
                  <w:r>
                    <w:t xml:space="preserve">Aur-P1</w:t>
                  </w:r>
                </w:p>
              </w:tc>
              <w:tc>
                <w:tcPr/>
                <w:p>
                  <w:pPr>
                    <w:pStyle w:val="Compact"/>
                    <w:jc w:val="left"/>
                    <w:jc w:val="center"/>
                  </w:pPr>
                  <w:r>
                    <w:t xml:space="preserve">38556</w:t>
                  </w:r>
                </w:p>
              </w:tc>
              <w:tc>
                <w:tcPr/>
                <w:p>
                  <w:pPr>
                    <w:pStyle w:val="Compact"/>
                    <w:jc w:val="right"/>
                    <w:jc w:val="center"/>
                  </w:pPr>
                  <w:r>
                    <w:t xml:space="preserve">Aur-P1</w:t>
                  </w:r>
                </w:p>
              </w:tc>
              <w:tc>
                <w:tcPr/>
                <w:p>
                  <w:pPr>
                    <w:pStyle w:val="Compact"/>
                    <w:jc w:val="center"/>
                    <w:jc w:val="center"/>
                  </w:pPr>
                  <w:r>
                    <w:t xml:space="preserve">32334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Sirgenstein Cave</w:t>
                  </w:r>
                </w:p>
              </w:tc>
              <w:tc>
                <w:tcPr/>
                <w:p>
                  <w:pPr>
                    <w:pStyle w:val="Compact"/>
                    <w:jc w:val="right"/>
                    <w:jc w:val="center"/>
                  </w:pPr>
                  <w:r>
                    <w:t xml:space="preserve">34773</w:t>
                  </w:r>
                </w:p>
              </w:tc>
              <w:tc>
                <w:tcPr/>
                <w:p>
                  <w:pPr>
                    <w:pStyle w:val="Compact"/>
                    <w:jc w:val="center"/>
                    <w:jc w:val="center"/>
                  </w:pPr>
                  <w:r>
                    <w:t xml:space="preserve">Aur-P2</w:t>
                  </w:r>
                </w:p>
              </w:tc>
              <w:tc>
                <w:tcPr/>
                <w:p>
                  <w:pPr>
                    <w:pStyle w:val="Compact"/>
                    <w:jc w:val="left"/>
                    <w:jc w:val="center"/>
                  </w:pPr>
                  <w:r>
                    <w:t xml:space="preserve">32874</w:t>
                  </w:r>
                </w:p>
              </w:tc>
              <w:tc>
                <w:tcPr/>
                <w:p>
                  <w:pPr>
                    <w:pStyle w:val="Compact"/>
                    <w:jc w:val="right"/>
                    <w:jc w:val="center"/>
                  </w:pPr>
                  <w:r>
                    <w:t xml:space="preserve">Aur-P2</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Solutré</w:t>
                  </w:r>
                </w:p>
              </w:tc>
              <w:tc>
                <w:tcPr/>
                <w:p>
                  <w:pPr>
                    <w:pStyle w:val="Compact"/>
                    <w:jc w:val="right"/>
                    <w:jc w:val="center"/>
                  </w:pPr>
                  <w:r>
                    <w:t xml:space="preserve">38896</w:t>
                  </w:r>
                </w:p>
              </w:tc>
              <w:tc>
                <w:tcPr/>
                <w:p>
                  <w:pPr>
                    <w:pStyle w:val="Compact"/>
                    <w:jc w:val="center"/>
                    <w:jc w:val="center"/>
                  </w:pPr>
                  <w:r>
                    <w:t xml:space="preserve">Aur-P1</w:t>
                  </w:r>
                </w:p>
              </w:tc>
              <w:tc>
                <w:tcPr/>
                <w:p>
                  <w:pPr>
                    <w:pStyle w:val="Compact"/>
                    <w:jc w:val="left"/>
                    <w:jc w:val="center"/>
                  </w:pPr>
                  <w:r>
                    <w:t xml:space="preserve">36218</w:t>
                  </w:r>
                </w:p>
              </w:tc>
              <w:tc>
                <w:tcPr/>
                <w:p>
                  <w:pPr>
                    <w:pStyle w:val="Compact"/>
                    <w:jc w:val="right"/>
                    <w:jc w:val="center"/>
                  </w:pPr>
                  <w:r>
                    <w:t xml:space="preserve">Aur-P2</w:t>
                  </w:r>
                </w:p>
              </w:tc>
              <w:tc>
                <w:tcPr/>
                <w:p>
                  <w:pPr>
                    <w:pStyle w:val="Compact"/>
                    <w:jc w:val="center"/>
                    <w:jc w:val="center"/>
                  </w:pPr>
                  <w:r>
                    <w:t xml:space="preserve">33541</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Trou Magrite</w:t>
                  </w:r>
                </w:p>
              </w:tc>
              <w:tc>
                <w:tcPr/>
                <w:p>
                  <w:pPr>
                    <w:pStyle w:val="Compact"/>
                    <w:jc w:val="right"/>
                    <w:jc w:val="center"/>
                  </w:pPr>
                  <w:r>
                    <w:t xml:space="preserve">32893</w:t>
                  </w:r>
                </w:p>
              </w:tc>
              <w:tc>
                <w:tcPr/>
                <w:p>
                  <w:pPr>
                    <w:pStyle w:val="Compact"/>
                    <w:jc w:val="center"/>
                    <w:jc w:val="center"/>
                  </w:pPr>
                  <w:r>
                    <w:t xml:space="preserve">Aur-P2</w:t>
                  </w:r>
                </w:p>
              </w:tc>
              <w:tc>
                <w:tcPr/>
                <w:p>
                  <w:pPr>
                    <w:pStyle w:val="Compact"/>
                    <w:jc w:val="left"/>
                    <w:jc w:val="center"/>
                  </w:pPr>
                  <w:r>
                    <w:t xml:space="preserve">NA</w:t>
                  </w:r>
                </w:p>
              </w:tc>
              <w:tc>
                <w:tcPr/>
                <w:p>
                  <w:pPr>
                    <w:pStyle w:val="Compact"/>
                    <w:jc w:val="right"/>
                    <w:jc w:val="center"/>
                  </w:pPr>
                  <w:r>
                    <w:t xml:space="preserve">NA</w:t>
                  </w:r>
                </w:p>
              </w:tc>
              <w:tc>
                <w:tcPr/>
                <w:p>
                  <w:pPr>
                    <w:pStyle w:val="Compact"/>
                    <w:jc w:val="center"/>
                    <w:jc w:val="center"/>
                  </w:pPr>
                  <w:r>
                    <w:t xml:space="preserve">NA</w:t>
                  </w:r>
                </w:p>
              </w:tc>
              <w:tc>
                <w:tcPr/>
                <w:p>
                  <w:pPr>
                    <w:pStyle w:val="Compact"/>
                    <w:jc w:val="left"/>
                    <w:jc w:val="center"/>
                  </w:pPr>
                  <w:r>
                    <w:t xml:space="preserve">NA</w:t>
                  </w:r>
                </w:p>
              </w:tc>
              <w:tc>
                <w:tcPr/>
                <w:p>
                  <w:pPr>
                    <w:pStyle w:val="Compact"/>
                    <w:jc w:val="center"/>
                    <w:jc w:val="center"/>
                  </w:pPr>
                  <w:r>
                    <w:t xml:space="preserve">dropped</w:t>
                  </w:r>
                </w:p>
              </w:tc>
            </w:tr>
            <w:tr>
              <w:tc>
                <w:tcPr/>
                <w:p>
                  <w:pPr>
                    <w:pStyle w:val="Compact"/>
                    <w:jc w:val="left"/>
                    <w:jc w:val="center"/>
                  </w:pPr>
                  <w:r>
                    <w:t xml:space="preserve">Trou al’Wesse</w:t>
                  </w:r>
                </w:p>
              </w:tc>
              <w:tc>
                <w:tcPr/>
                <w:p>
                  <w:pPr>
                    <w:pStyle w:val="Compact"/>
                    <w:jc w:val="right"/>
                    <w:jc w:val="center"/>
                  </w:pPr>
                  <w:r>
                    <w:t xml:space="preserve">38392</w:t>
                  </w:r>
                </w:p>
              </w:tc>
              <w:tc>
                <w:tcPr/>
                <w:p>
                  <w:pPr>
                    <w:pStyle w:val="Compact"/>
                    <w:jc w:val="center"/>
                    <w:jc w:val="center"/>
                  </w:pPr>
                  <w:r>
                    <w:t xml:space="preserve">Aur-P1</w:t>
                  </w:r>
                </w:p>
              </w:tc>
              <w:tc>
                <w:tcPr/>
                <w:p>
                  <w:pPr>
                    <w:pStyle w:val="Compact"/>
                    <w:jc w:val="left"/>
                    <w:jc w:val="center"/>
                  </w:pPr>
                  <w:r>
                    <w:t xml:space="preserve">36778</w:t>
                  </w:r>
                </w:p>
              </w:tc>
              <w:tc>
                <w:tcPr/>
                <w:p>
                  <w:pPr>
                    <w:pStyle w:val="Compact"/>
                    <w:jc w:val="right"/>
                    <w:jc w:val="center"/>
                  </w:pPr>
                  <w:r>
                    <w:t xml:space="preserve">Aur-P2</w:t>
                  </w:r>
                </w:p>
              </w:tc>
              <w:tc>
                <w:tcPr/>
                <w:p>
                  <w:pPr>
                    <w:pStyle w:val="Compact"/>
                    <w:jc w:val="center"/>
                    <w:jc w:val="center"/>
                  </w:pPr>
                  <w:r>
                    <w:t xml:space="preserve">35164</w:t>
                  </w:r>
                </w:p>
              </w:tc>
              <w:tc>
                <w:tcPr/>
                <w:p>
                  <w:pPr>
                    <w:pStyle w:val="Compact"/>
                    <w:jc w:val="left"/>
                    <w:jc w:val="center"/>
                  </w:pPr>
                  <w:r>
                    <w:t xml:space="preserve">Aur-P2</w:t>
                  </w:r>
                </w:p>
              </w:tc>
              <w:tc>
                <w:tcPr/>
                <w:p>
                  <w:pPr>
                    <w:pStyle w:val="Compact"/>
                    <w:jc w:val="center"/>
                    <w:jc w:val="center"/>
                  </w:pPr>
                  <w:r>
                    <w:t xml:space="preserve">Yes</w:t>
                  </w:r>
                </w:p>
              </w:tc>
            </w:tr>
            <w:tr>
              <w:tc>
                <w:tcPr/>
                <w:p>
                  <w:pPr>
                    <w:pStyle w:val="Compact"/>
                    <w:jc w:val="left"/>
                    <w:jc w:val="center"/>
                  </w:pPr>
                  <w:r>
                    <w:t xml:space="preserve">Vogelherd</w:t>
                  </w:r>
                </w:p>
              </w:tc>
              <w:tc>
                <w:tcPr/>
                <w:p>
                  <w:pPr>
                    <w:pStyle w:val="Compact"/>
                    <w:jc w:val="right"/>
                    <w:jc w:val="center"/>
                  </w:pPr>
                  <w:r>
                    <w:t xml:space="preserve">40840</w:t>
                  </w:r>
                </w:p>
              </w:tc>
              <w:tc>
                <w:tcPr/>
                <w:p>
                  <w:pPr>
                    <w:pStyle w:val="Compact"/>
                    <w:jc w:val="center"/>
                    <w:jc w:val="center"/>
                  </w:pPr>
                  <w:r>
                    <w:t xml:space="preserve">Aur-P1</w:t>
                  </w:r>
                </w:p>
              </w:tc>
              <w:tc>
                <w:tcPr/>
                <w:p>
                  <w:pPr>
                    <w:pStyle w:val="Compact"/>
                    <w:jc w:val="left"/>
                    <w:jc w:val="center"/>
                  </w:pPr>
                  <w:r>
                    <w:t xml:space="preserve">35516</w:t>
                  </w:r>
                </w:p>
              </w:tc>
              <w:tc>
                <w:tcPr/>
                <w:p>
                  <w:pPr>
                    <w:pStyle w:val="Compact"/>
                    <w:jc w:val="right"/>
                    <w:jc w:val="center"/>
                  </w:pPr>
                  <w:r>
                    <w:t xml:space="preserve">Aur-P2</w:t>
                  </w:r>
                </w:p>
              </w:tc>
              <w:tc>
                <w:tcPr/>
                <w:p>
                  <w:pPr>
                    <w:pStyle w:val="Compact"/>
                    <w:jc w:val="center"/>
                    <w:jc w:val="center"/>
                  </w:pPr>
                  <w:r>
                    <w:t xml:space="preserve">30193</w:t>
                  </w:r>
                </w:p>
              </w:tc>
              <w:tc>
                <w:tcPr/>
                <w:p>
                  <w:pPr>
                    <w:pStyle w:val="Compact"/>
                    <w:jc w:val="left"/>
                    <w:jc w:val="center"/>
                  </w:pPr>
                  <w:r>
                    <w:t xml:space="preserve">Aur-P2</w:t>
                  </w:r>
                </w:p>
              </w:tc>
              <w:tc>
                <w:tcPr/>
                <w:p>
                  <w:pPr>
                    <w:pStyle w:val="Compact"/>
                    <w:jc w:val="center"/>
                    <w:jc w:val="center"/>
                  </w:pPr>
                  <w:r>
                    <w:t xml:space="preserve">Yes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three more fail date parsing altogether under the alternative ends (</w:t>
      </w:r>
      <w:hyperlink w:anchor="tbl-date-variant-comparison">
        <w:r>
          <w:rPr>
            <w:rStyle w:val="Hyperlink"/>
          </w:rPr>
          <w:t xml:space="preserve">Table S 11</w:t>
        </w:r>
      </w:hyperlink>
      <w:r>
        <w:t xml:space="preserve">). Six sites switch between older and midpoint — Cellier, Grotte de la Verpillière I, Grottes de Fonds-de-Forêt, Solutré, Trou al’Wesse and Vogelherd all move from Aur-P1 to Aur-P2 — and seven more,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This section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Aur-P1 retains 20 sites and gains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network. The date-based alternative is a useful worst case: it fragments long-occupied sites across phases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S 14</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though those figures come from the technology-based baseline, since the SBM was not refitted under the date-based assignment,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at threshold 0.2 in both phases and also at 0.3 in Aur-P2, but differs at 0.1 in Aur-P1 and at 0.3 in Aur-P1.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shows how much variance each partition explains, but because Louvain is fitted to the same matrix it cannot test circularity; the withheld-data tests in</w:t>
      </w:r>
      <w:r>
        <w:t xml:space="preserve"> </w:t>
      </w:r>
      <w:r>
        <w:t xml:space="preserve">Section S1.10</w:t>
      </w:r>
      <w:r>
        <w:t xml:space="preserve"> </w:t>
      </w:r>
      <w:r>
        <w:t xml:space="preserve">do.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is lower than at 0.2 and 0.3 but still far about the null.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which test a different hypothesis (whether restricted-range and broader-range sites differ in sign composition),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but the Aur-P1 correlation is slightly negative (ρ = -0.254, p = 0.280) and the Aur-P2 correlation, while positive, is far from significant given the small sample. The absence of a richness–degree correlation rules out one explanation for the Aur-P1 mean-degree gap (richness-driven degree) but does not license a cultural reading of it. Network size accounts for it (</w:t>
      </w:r>
      <w:r>
        <w:t xml:space="preserve">Section S1.7.6</w:t>
      </w:r>
      <w:r>
        <w:t xml:space="preserv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is consistent with the main-text interpretation: geographic distance does not account for sign distribution in either phase, and the largest correlations are weakly positive for Aur-P1 and weakly negative for Aur-P2. Neither phase shows a geographic signal, which is consistent with other findings that the restricted/broad divide is a richness axis rather than a spatial one.</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NA for Aur-P1 and NA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leaves a larger modularity excess in Aur-P1 (1.90× against 1.27×), although the ordering is not stable across assignment schemes and the two phases’ bands overlap</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0.03 of the variance in sign dissimilarity; none of the three drivers is significant (geographic: β = 0.000, p = 0.568; temporal: β = -0.000, p = 0.420; object count: β = 0.027, p = 0.408). Aur-P2 shows the same pattern (R² = 0.12;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site-phase units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0.062, p = 0.005) only because it pairs 409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site-phase unites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(0.574), but k = 2 is retained as the interpretive partition because k = 5 splits the Swabian block into singletons. The k = 2 partition — West versus Central —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144 of the 346 Aur-P1 objects are German ivory, against 38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04"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so the divide is well resolved only in the better-sampled phase.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models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holds nine of the eleven broad-range sites plus Abri Pataud, the second holds seven of the nine restricted-range sites, and a third block isolates Labeko Koba, Les Cottés, and Trou al’Wesse. Under Gaussian the largest block holds ten of the eleven broad-range sites, the second seven of the nine restricted-range sites, and Les Cottés and Trou al’Wesse form their own block, with Pod Hradem a singleton. The Poisson model puts seven of the nine restricted-range sites together with Grotte du Renne, and its broad block holds six broad-range sites plus Abri Pataud.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 generative model reproduces the two-block partition—and answers that it reproduces it as its dominant structure in Aur-P1, with a small-block refinement, while recovering no stable partition in Aur-P2.</w:t>
      </w:r>
    </w:p>
    <w:bookmarkEnd w:id="182"/>
    <w:bookmarkEnd w:id="183"/>
    <w:bookmarkStart w:id="191" w:name="sec-s9-4"/>
    <w:p>
      <w:pPr>
        <w:pStyle w:val="Heading2"/>
      </w:pPr>
      <w:r>
        <w:t xml:space="preserve">S1.9.4 SBM Block Recovery Null Test</w:t>
      </w:r>
    </w:p>
    <w:bookmarkStart w:id="189"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Across the six phase-by-model cells, B_finite ranges from</w:t>
            </w:r>
            <w:r>
              <w:t xml:space="preserve"> </w:t>
            </w:r>
            <w:r>
              <w:rPr>
                <w:rStyle w:val="VerbatimChar"/>
              </w:rPr>
              <w:t xml:space="preserve">r min(sbm_null_results$B_finite)</w:t>
            </w:r>
            <w:r>
              <w:t xml:space="preserve"> </w:t>
            </w:r>
            <w:r>
              <w:t xml:space="preserve">to</w:t>
            </w:r>
            <w:r>
              <w:t xml:space="preserve"> </w:t>
            </w:r>
            <w:r>
              <w:rPr>
                <w:rStyle w:val="VerbatimChar"/>
              </w:rPr>
              <w:t xml:space="preserve">r max(sbm_null_results$B_finite)</w:t>
            </w:r>
            <w:r>
              <w:t xml:space="preserve"> </w:t>
            </w:r>
            <w:r>
              <w:t xml:space="preserve">and total failures are</w:t>
            </w:r>
            <w:r>
              <w:t xml:space="preserve"> </w:t>
            </w:r>
            <w:r>
              <w:rPr>
                <w:rStyle w:val="VerbatimChar"/>
              </w:rPr>
              <w:t xml:space="preserve">r sum(sbm_null_results$failures)</w:t>
            </w:r>
            <w:r>
              <w:t xml:space="preserve">.</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bookmarkEnd w:id="189"/>
    <w:bookmarkStart w:id="190"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0"/>
    <w:bookmarkEnd w:id="191"/>
    <w:bookmarkStart w:id="200" w:name="sec-s9-5"/>
    <w:p>
      <w:pPr>
        <w:pStyle w:val="Heading2"/>
      </w:pPr>
      <w:r>
        <w:t xml:space="preserve">S1.9.5 Seriation-Order Null Test</w:t>
      </w:r>
    </w:p>
    <w:bookmarkStart w:id="197"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2"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2"/>
        </w:tc>
      </w:tr>
    </w:tbl>
    <w:tbl>
      <w:tblPr>
        <w:tblStyle w:val="Table"/>
        <w:tblW w:type="pct" w:w="5000"/>
        <w:tblLook w:firstRow="0" w:lastRow="0" w:firstColumn="0" w:lastColumn="0" w:noHBand="0" w:noVBand="0" w:val="0000"/>
        <w:jc w:val="start"/>
        <w:tblLayout w:type="fixed"/>
      </w:tblPr>
      <w:tblGrid>
        <w:gridCol w:w="7920"/>
      </w:tblGrid>
      <w:tr>
        <w:tc>
          <w:tcPr/>
          <w:bookmarkStart w:id="196" w:name="fig-seriation-null"/>
          <w:p>
            <w:pPr>
              <w:pStyle w:val="Compact"/>
              <w:jc w:val="center"/>
            </w:pPr>
            <w:r>
              <w:drawing>
                <wp:inline>
                  <wp:extent cx="5943600" cy="2971800"/>
                  <wp:effectExtent b="0" l="0" r="0" t="0"/>
                  <wp:docPr descr="" title="" id="194" name="Picture"/>
                  <a:graphic>
                    <a:graphicData uri="http://schemas.openxmlformats.org/drawingml/2006/picture">
                      <pic:pic>
                        <pic:nvPicPr>
                          <pic:cNvPr descr="S1-supplement-sensitivity_files/figure-docx/fig-seriation-null-1.png" id="195" name="Picture"/>
                          <pic:cNvPicPr>
                            <a:picLocks noChangeArrowheads="1" noChangeAspect="1"/>
                          </pic:cNvPicPr>
                        </pic:nvPicPr>
                        <pic:blipFill>
                          <a:blip r:embed="rId19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6"/>
        </w:tc>
      </w:tr>
    </w:tbl>
    <w:bookmarkEnd w:id="197"/>
    <w:bookmarkStart w:id="199"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98"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198"/>
        </w:tc>
      </w:tr>
    </w:tbl>
    <w:bookmarkEnd w:id="199"/>
    <w:bookmarkEnd w:id="200"/>
    <w:bookmarkStart w:id="203" w:name="sec-s9-6"/>
    <w:p>
      <w:pPr>
        <w:pStyle w:val="Heading2"/>
      </w:pPr>
      <w:r>
        <w:t xml:space="preserve">S1.9.6 Cross-Validation of Group Assignments (ARI)</w:t>
      </w:r>
    </w:p>
    <w:bookmarkStart w:id="201"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1"/>
    <w:bookmarkStart w:id="202"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closely: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returns a consistent multi-block solution for Aur-P1 under every encoding, though that preference does not exceed the Curveball null.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02"/>
    <w:bookmarkEnd w:id="203"/>
    <w:bookmarkEnd w:id="204"/>
    <w:bookmarkStart w:id="212" w:name="sec-s10"/>
    <w:p>
      <w:pPr>
        <w:pStyle w:val="Heading1"/>
      </w:pPr>
      <w:r>
        <w:t xml:space="preserve">S1.10 Withheld-Data Validation</w:t>
      </w:r>
    </w:p>
    <w:bookmarkStart w:id="206"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5" w:name="tbl-validation-summary"/>
          <w:tbl>
            <w:tblPr>
              <w:tblStyle w:val="Table"/>
              <w:tblW w:type="pct" w:w="5000"/>
              <w:tblLook w:firstRow="1" w:lastRow="0" w:firstColumn="0" w:lastColumn="0" w:noHBand="0" w:noVBand="0" w:val="0020"/>
              <w:jc w:val="start"/>
              <w:tblLayout w:type="fixed"/>
            </w:tblPr>
            <w:tblGrid>
              <w:gridCol w:w="3357"/>
              <w:gridCol w:w="1721"/>
              <w:gridCol w:w="28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100 %</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89 %</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not combined (dependent splits)</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not combined (dependent splits)</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not combined (dependent splits)</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5"/>
        </w:tc>
      </w:tr>
    </w:tbl>
    <w:bookmarkEnd w:id="206"/>
    <w:bookmarkStart w:id="207"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7"/>
    <w:bookmarkStart w:id="211" w:name="sec-s10-1"/>
    <w:p>
      <w:pPr>
        <w:pStyle w:val="Heading2"/>
      </w:pPr>
      <w:r>
        <w:t xml:space="preserve">S1.10.3 Richness-preserving nulls and Simpson turnover</w:t>
      </w:r>
    </w:p>
    <w:bookmarkStart w:id="209"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08"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08"/>
        </w:tc>
      </w:tr>
    </w:tbl>
    <w:bookmarkEnd w:id="209"/>
    <w:bookmarkStart w:id="210"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at the 0.3rd percentile of the object-count null, meaning even less turnover separation than random object draws produce.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0"/>
    <w:bookmarkEnd w:id="211"/>
    <w:bookmarkEnd w:id="212"/>
    <w:bookmarkStart w:id="234" w:name="sec-s11"/>
    <w:p>
      <w:pPr>
        <w:pStyle w:val="Heading1"/>
      </w:pPr>
      <w:r>
        <w:t xml:space="preserve">S1.11 Community Description</w:t>
      </w:r>
    </w:p>
    <w:bookmarkStart w:id="213"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3"/>
    <w:bookmarkStart w:id="220" w:name="sec-s11-1"/>
    <w:p>
      <w:pPr>
        <w:pStyle w:val="Heading2"/>
      </w:pPr>
      <w:r>
        <w:t xml:space="preserve">S1.11.2 Community membership</w:t>
      </w:r>
    </w:p>
    <w:bookmarkStart w:id="219"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4"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4"/>
        </w:tc>
      </w:tr>
    </w:tbl>
    <w:tbl>
      <w:tblPr>
        <w:tblStyle w:val="Table"/>
        <w:tblW w:type="pct" w:w="5000"/>
        <w:tblLook w:firstRow="0" w:lastRow="0" w:firstColumn="0" w:lastColumn="0" w:noHBand="0" w:noVBand="0" w:val="0000"/>
        <w:jc w:val="start"/>
        <w:tblLayout w:type="fixed"/>
      </w:tblPr>
      <w:tblGrid>
        <w:gridCol w:w="7920"/>
      </w:tblGrid>
      <w:tr>
        <w:tc>
          <w:tcPr/>
          <w:bookmarkStart w:id="218" w:name="fig-comembership-heatmap"/>
          <w:p>
            <w:pPr>
              <w:pStyle w:val="Compact"/>
              <w:jc w:val="center"/>
            </w:pPr>
            <w:r>
              <w:drawing>
                <wp:inline>
                  <wp:extent cx="5943600" cy="5943600"/>
                  <wp:effectExtent b="0" l="0" r="0" t="0"/>
                  <wp:docPr descr="" title="" id="216" name="Picture"/>
                  <a:graphic>
                    <a:graphicData uri="http://schemas.openxmlformats.org/drawingml/2006/picture">
                      <pic:pic>
                        <pic:nvPicPr>
                          <pic:cNvPr descr="../figures/comembership-heatmap.png" id="217" name="Picture"/>
                          <pic:cNvPicPr>
                            <a:picLocks noChangeArrowheads="1" noChangeAspect="1"/>
                          </pic:cNvPicPr>
                        </pic:nvPicPr>
                        <pic:blipFill>
                          <a:blip r:embed="rId21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18"/>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19"/>
    <w:bookmarkEnd w:id="220"/>
    <w:bookmarkStart w:id="223" w:name="sec-s11-2"/>
    <w:p>
      <w:pPr>
        <w:pStyle w:val="Heading2"/>
      </w:pPr>
      <w:r>
        <w:t xml:space="preserve">S1.11.3 Sign-type profiles</w:t>
      </w:r>
    </w:p>
    <w:bookmarkStart w:id="222"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1"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21"/>
        </w:tc>
      </w:tr>
    </w:tbl>
    <w:bookmarkEnd w:id="222"/>
    <w:bookmarkEnd w:id="223"/>
    <w:bookmarkStart w:id="229" w:name="sec-s11-3"/>
    <w:p>
      <w:pPr>
        <w:pStyle w:val="Heading2"/>
      </w:pPr>
      <w:r>
        <w:t xml:space="preserve">S1.11.4 Geographic distribution</w:t>
      </w:r>
    </w:p>
    <w:bookmarkStart w:id="228"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7" w:name="fig-community-maps"/>
          <w:p>
            <w:pPr>
              <w:pStyle w:val="Compact"/>
              <w:jc w:val="center"/>
            </w:pPr>
            <w:r>
              <w:drawing>
                <wp:inline>
                  <wp:extent cx="5943600" cy="4622800"/>
                  <wp:effectExtent b="0" l="0" r="0" t="0"/>
                  <wp:docPr descr="" title="" id="225" name="Picture"/>
                  <a:graphic>
                    <a:graphicData uri="http://schemas.openxmlformats.org/drawingml/2006/picture">
                      <pic:pic>
                        <pic:nvPicPr>
                          <pic:cNvPr descr="../figures/community-maps.png" id="226" name="Picture"/>
                          <pic:cNvPicPr>
                            <a:picLocks noChangeArrowheads="1" noChangeAspect="1"/>
                          </pic:cNvPicPr>
                        </pic:nvPicPr>
                        <pic:blipFill>
                          <a:blip r:embed="rId22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27"/>
        </w:tc>
      </w:tr>
    </w:tbl>
    <w:bookmarkEnd w:id="228"/>
    <w:bookmarkEnd w:id="229"/>
    <w:bookmarkStart w:id="232" w:name="sec-s11-4"/>
    <w:p>
      <w:pPr>
        <w:pStyle w:val="Heading2"/>
      </w:pPr>
      <w:r>
        <w:t xml:space="preserve">S1.11.5 Cross-algorithm comparison</w:t>
      </w:r>
    </w:p>
    <w:bookmarkStart w:id="231"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0"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0.67</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0.33</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is reported. Community IDs are assigned consistently across algorithms within a phase, so raw IDs are comparable. Values close to 1.0 indicate strong cross-algorithm agreement.</w:t>
            </w:r>
          </w:p>
          <w:bookmarkEnd w:id="230"/>
        </w:tc>
      </w:tr>
    </w:tbl>
    <w:bookmarkEnd w:id="231"/>
    <w:bookmarkEnd w:id="232"/>
    <w:bookmarkStart w:id="233"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shows that line separates the two large Aur-P1 communities most sharply (1.00 in the broad block against 0.44 in the restricted block), with cross, dot, hatching, obline and obnotch also concentrated in the broad block; circumspiral occurs only in the Les Cottés singleton. dashline and zigzag are near-absent in every multi-site community. The communities therefore reflect graded differences in repertoire composition rather than diagnostic sign packages.</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13</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13</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33"/>
    <w:bookmarkEnd w:id="234"/>
    <w:bookmarkStart w:id="285" w:name="sec-s12"/>
    <w:p>
      <w:pPr>
        <w:pStyle w:val="Heading1"/>
      </w:pPr>
      <w:r>
        <w:t xml:space="preserve">S1.12 Object Types and Sampling Intensity</w:t>
      </w:r>
    </w:p>
    <w:bookmarkStart w:id="235"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5"/>
    <w:bookmarkStart w:id="244" w:name="sec-s12-1"/>
    <w:p>
      <w:pPr>
        <w:pStyle w:val="Heading2"/>
      </w:pPr>
      <w:r>
        <w:t xml:space="preserve">S1.12.2 Object-count distribution and feasible common counts</w:t>
      </w:r>
    </w:p>
    <w:bookmarkStart w:id="242"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6"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3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7" w:name="tbl-divsite"/>
          <w:tbl>
            <w:tblPr>
              <w:tblStyle w:val="Table"/>
              <w:tblW w:type="pct" w:w="5000"/>
              <w:tblLook w:firstRow="1" w:lastRow="0" w:firstColumn="0" w:lastColumn="0" w:noHBand="0" w:noVBand="0" w:val="0020"/>
              <w:jc w:val="start"/>
              <w:tblLayout w:type="fixed"/>
            </w:tblPr>
            <w:tblGrid>
              <w:gridCol w:w="1909"/>
              <w:gridCol w:w="494"/>
              <w:gridCol w:w="1909"/>
              <w:gridCol w:w="848"/>
              <w:gridCol w:w="424"/>
              <w:gridCol w:w="424"/>
              <w:gridCol w:w="636"/>
              <w:gridCol w:w="1272"/>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Sample size</w:t>
                  </w:r>
                </w:p>
              </w:tc>
              <w:tc>
                <w:tcPr/>
                <w:p>
                  <w:pPr>
                    <w:pStyle w:val="Compact"/>
                    <w:jc w:val="right"/>
                    <w:jc w:val="center"/>
                  </w:pPr>
                  <w:r>
                    <w:t xml:space="preserve">H obs</w:t>
                  </w:r>
                </w:p>
              </w:tc>
              <w:tc>
                <w:tcPr/>
                <w:p>
                  <w:pPr>
                    <w:pStyle w:val="Compact"/>
                    <w:jc w:val="right"/>
                    <w:jc w:val="center"/>
                  </w:pPr>
                  <w:r>
                    <w:t xml:space="preserve">H exp</w:t>
                  </w:r>
                </w:p>
              </w:tc>
              <w:tc>
                <w:tcPr/>
                <w:p>
                  <w:pPr>
                    <w:pStyle w:val="Compact"/>
                    <w:jc w:val="right"/>
                    <w:jc w:val="center"/>
                  </w:pPr>
                  <w:r>
                    <w:t xml:space="preserve">H excess</w:t>
                  </w:r>
                </w:p>
              </w:tc>
              <w:tc>
                <w:tcPr/>
                <w:p>
                  <w:pPr>
                    <w:pStyle w:val="Compact"/>
                    <w:jc w:val="left"/>
                    <w:jc w:val="center"/>
                  </w:pPr>
                  <w:r>
                    <w:t xml:space="preserve">Named in Figure 6</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0.559</w:t>
                  </w:r>
                </w:p>
              </w:tc>
              <w:tc>
                <w:tcPr/>
                <w:p>
                  <w:pPr>
                    <w:pStyle w:val="Compact"/>
                    <w:jc w:val="right"/>
                    <w:jc w:val="center"/>
                  </w:pPr>
                  <w:r>
                    <w:t xml:space="preserve">0.134</w:t>
                  </w:r>
                </w:p>
              </w:tc>
              <w:tc>
                <w:tcPr/>
                <w:p>
                  <w:pPr>
                    <w:pStyle w:val="Compact"/>
                    <w:jc w:val="left"/>
                    <w:jc w:val="center"/>
                  </w:pPr>
                  <w:r>
                    <w:t xml:space="preserve">no</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2</w:t>
                  </w:r>
                </w:p>
              </w:tc>
              <w:tc>
                <w:tcPr/>
                <w:p>
                  <w:pPr>
                    <w:pStyle w:val="Compact"/>
                    <w:jc w:val="right"/>
                    <w:jc w:val="center"/>
                  </w:pPr>
                  <w:r>
                    <w:t xml:space="preserve">0.000</w:t>
                  </w:r>
                </w:p>
              </w:tc>
              <w:tc>
                <w:tcPr/>
                <w:p>
                  <w:pPr>
                    <w:pStyle w:val="Compact"/>
                    <w:jc w:val="right"/>
                    <w:jc w:val="center"/>
                  </w:pPr>
                  <w:r>
                    <w:t xml:space="preserve">0.559</w:t>
                  </w:r>
                </w:p>
              </w:tc>
              <w:tc>
                <w:tcPr/>
                <w:p>
                  <w:pPr>
                    <w:pStyle w:val="Compact"/>
                    <w:jc w:val="right"/>
                    <w:jc w:val="center"/>
                  </w:pPr>
                  <w:r>
                    <w:t xml:space="preserve">-0.559</w:t>
                  </w:r>
                </w:p>
              </w:tc>
              <w:tc>
                <w:tcPr/>
                <w:p>
                  <w:pPr>
                    <w:pStyle w:val="Compact"/>
                    <w:jc w:val="left"/>
                    <w:jc w:val="center"/>
                  </w:pPr>
                  <w:r>
                    <w:t xml:space="preserve">no</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0.559</w:t>
                  </w:r>
                </w:p>
              </w:tc>
              <w:tc>
                <w:tcPr/>
                <w:p>
                  <w:pPr>
                    <w:pStyle w:val="Compact"/>
                    <w:jc w:val="right"/>
                    <w:jc w:val="center"/>
                  </w:pPr>
                  <w:r>
                    <w:t xml:space="preserve">0.134</w:t>
                  </w:r>
                </w:p>
              </w:tc>
              <w:tc>
                <w:tcPr/>
                <w:p>
                  <w:pPr>
                    <w:pStyle w:val="Compact"/>
                    <w:jc w:val="left"/>
                    <w:jc w:val="center"/>
                  </w:pPr>
                  <w:r>
                    <w:t xml:space="preserve">no</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3</w:t>
                  </w:r>
                </w:p>
              </w:tc>
              <w:tc>
                <w:tcPr/>
                <w:p>
                  <w:pPr>
                    <w:pStyle w:val="Compact"/>
                    <w:jc w:val="right"/>
                    <w:jc w:val="center"/>
                  </w:pPr>
                  <w:r>
                    <w:t xml:space="preserve">0.000</w:t>
                  </w:r>
                </w:p>
              </w:tc>
              <w:tc>
                <w:tcPr/>
                <w:p>
                  <w:pPr>
                    <w:pStyle w:val="Compact"/>
                    <w:jc w:val="right"/>
                    <w:jc w:val="center"/>
                  </w:pPr>
                  <w:r>
                    <w:t xml:space="preserve">0.840</w:t>
                  </w:r>
                </w:p>
              </w:tc>
              <w:tc>
                <w:tcPr/>
                <w:p>
                  <w:pPr>
                    <w:pStyle w:val="Compact"/>
                    <w:jc w:val="right"/>
                    <w:jc w:val="center"/>
                  </w:pPr>
                  <w:r>
                    <w:t xml:space="preserve">-0.840</w:t>
                  </w:r>
                </w:p>
              </w:tc>
              <w:tc>
                <w:tcPr/>
                <w:p>
                  <w:pPr>
                    <w:pStyle w:val="Compact"/>
                    <w:jc w:val="left"/>
                    <w:jc w:val="center"/>
                  </w:pPr>
                  <w:r>
                    <w:t xml:space="preserve">no</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0.637</w:t>
                  </w:r>
                </w:p>
              </w:tc>
              <w:tc>
                <w:tcPr/>
                <w:p>
                  <w:pPr>
                    <w:pStyle w:val="Compact"/>
                    <w:jc w:val="right"/>
                    <w:jc w:val="center"/>
                  </w:pPr>
                  <w:r>
                    <w:t xml:space="preserve">0.840</w:t>
                  </w:r>
                </w:p>
              </w:tc>
              <w:tc>
                <w:tcPr/>
                <w:p>
                  <w:pPr>
                    <w:pStyle w:val="Compact"/>
                    <w:jc w:val="right"/>
                    <w:jc w:val="center"/>
                  </w:pPr>
                  <w:r>
                    <w:t xml:space="preserve">-0.203</w:t>
                  </w:r>
                </w:p>
              </w:tc>
              <w:tc>
                <w:tcPr/>
                <w:p>
                  <w:pPr>
                    <w:pStyle w:val="Compact"/>
                    <w:jc w:val="left"/>
                    <w:jc w:val="center"/>
                  </w:pPr>
                  <w:r>
                    <w:t xml:space="preserve">no</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3</w:t>
                  </w:r>
                </w:p>
              </w:tc>
              <w:tc>
                <w:tcPr/>
                <w:p>
                  <w:pPr>
                    <w:pStyle w:val="Compact"/>
                    <w:jc w:val="right"/>
                    <w:jc w:val="center"/>
                  </w:pPr>
                  <w:r>
                    <w:t xml:space="preserve">0.000</w:t>
                  </w:r>
                </w:p>
              </w:tc>
              <w:tc>
                <w:tcPr/>
                <w:p>
                  <w:pPr>
                    <w:pStyle w:val="Compact"/>
                    <w:jc w:val="right"/>
                    <w:jc w:val="center"/>
                  </w:pPr>
                  <w:r>
                    <w:t xml:space="preserve">0.840</w:t>
                  </w:r>
                </w:p>
              </w:tc>
              <w:tc>
                <w:tcPr/>
                <w:p>
                  <w:pPr>
                    <w:pStyle w:val="Compact"/>
                    <w:jc w:val="right"/>
                    <w:jc w:val="center"/>
                  </w:pPr>
                  <w:r>
                    <w:t xml:space="preserve">-0.840</w:t>
                  </w:r>
                </w:p>
              </w:tc>
              <w:tc>
                <w:tcPr/>
                <w:p>
                  <w:pPr>
                    <w:pStyle w:val="Compact"/>
                    <w:jc w:val="left"/>
                    <w:jc w:val="center"/>
                  </w:pPr>
                  <w:r>
                    <w:t xml:space="preserve">no</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right"/>
                    <w:jc w:val="center"/>
                  </w:pPr>
                  <w:r>
                    <w:t xml:space="preserve">0.562</w:t>
                  </w:r>
                </w:p>
              </w:tc>
              <w:tc>
                <w:tcPr/>
                <w:p>
                  <w:pPr>
                    <w:pStyle w:val="Compact"/>
                    <w:jc w:val="right"/>
                    <w:jc w:val="center"/>
                  </w:pPr>
                  <w:r>
                    <w:t xml:space="preserve">1.051</w:t>
                  </w:r>
                </w:p>
              </w:tc>
              <w:tc>
                <w:tcPr/>
                <w:p>
                  <w:pPr>
                    <w:pStyle w:val="Compact"/>
                    <w:jc w:val="right"/>
                    <w:jc w:val="center"/>
                  </w:pPr>
                  <w:r>
                    <w:t xml:space="preserve">-0.488</w:t>
                  </w:r>
                </w:p>
              </w:tc>
              <w:tc>
                <w:tcPr/>
                <w:p>
                  <w:pPr>
                    <w:pStyle w:val="Compact"/>
                    <w:jc w:val="left"/>
                    <w:jc w:val="center"/>
                  </w:pPr>
                  <w:r>
                    <w:t xml:space="preserve">no</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7</w:t>
                  </w:r>
                </w:p>
              </w:tc>
              <w:tc>
                <w:tcPr/>
                <w:p>
                  <w:pPr>
                    <w:pStyle w:val="Compact"/>
                    <w:jc w:val="right"/>
                    <w:jc w:val="center"/>
                  </w:pPr>
                  <w:r>
                    <w:t xml:space="preserve">1.004</w:t>
                  </w:r>
                </w:p>
              </w:tc>
              <w:tc>
                <w:tcPr/>
                <w:p>
                  <w:pPr>
                    <w:pStyle w:val="Compact"/>
                    <w:jc w:val="right"/>
                    <w:jc w:val="center"/>
                  </w:pPr>
                  <w:r>
                    <w:t xml:space="preserve">1.350</w:t>
                  </w:r>
                </w:p>
              </w:tc>
              <w:tc>
                <w:tcPr/>
                <w:p>
                  <w:pPr>
                    <w:pStyle w:val="Compact"/>
                    <w:jc w:val="right"/>
                    <w:jc w:val="center"/>
                  </w:pPr>
                  <w:r>
                    <w:t xml:space="preserve">-0.345</w:t>
                  </w:r>
                </w:p>
              </w:tc>
              <w:tc>
                <w:tcPr/>
                <w:p>
                  <w:pPr>
                    <w:pStyle w:val="Compact"/>
                    <w:jc w:val="left"/>
                    <w:jc w:val="center"/>
                  </w:pPr>
                  <w:r>
                    <w:t xml:space="preserve">yes</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7</w:t>
                  </w:r>
                </w:p>
              </w:tc>
              <w:tc>
                <w:tcPr/>
                <w:p>
                  <w:pPr>
                    <w:pStyle w:val="Compact"/>
                    <w:jc w:val="right"/>
                    <w:jc w:val="center"/>
                  </w:pPr>
                  <w:r>
                    <w:t xml:space="preserve">1.154</w:t>
                  </w:r>
                </w:p>
              </w:tc>
              <w:tc>
                <w:tcPr/>
                <w:p>
                  <w:pPr>
                    <w:pStyle w:val="Compact"/>
                    <w:jc w:val="right"/>
                    <w:jc w:val="center"/>
                  </w:pPr>
                  <w:r>
                    <w:t xml:space="preserve">1.350</w:t>
                  </w:r>
                </w:p>
              </w:tc>
              <w:tc>
                <w:tcPr/>
                <w:p>
                  <w:pPr>
                    <w:pStyle w:val="Compact"/>
                    <w:jc w:val="right"/>
                    <w:jc w:val="center"/>
                  </w:pPr>
                  <w:r>
                    <w:t xml:space="preserve">-0.196</w:t>
                  </w:r>
                </w:p>
              </w:tc>
              <w:tc>
                <w:tcPr/>
                <w:p>
                  <w:pPr>
                    <w:pStyle w:val="Compact"/>
                    <w:jc w:val="left"/>
                    <w:jc w:val="center"/>
                  </w:pPr>
                  <w:r>
                    <w:t xml:space="preserve">yes</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7</w:t>
                  </w:r>
                </w:p>
              </w:tc>
              <w:tc>
                <w:tcPr/>
                <w:p>
                  <w:pPr>
                    <w:pStyle w:val="Compact"/>
                    <w:jc w:val="right"/>
                    <w:jc w:val="center"/>
                  </w:pPr>
                  <w:r>
                    <w:t xml:space="preserve">1.748</w:t>
                  </w:r>
                </w:p>
              </w:tc>
              <w:tc>
                <w:tcPr/>
                <w:p>
                  <w:pPr>
                    <w:pStyle w:val="Compact"/>
                    <w:jc w:val="right"/>
                    <w:jc w:val="center"/>
                  </w:pPr>
                  <w:r>
                    <w:t xml:space="preserve">1.350</w:t>
                  </w:r>
                </w:p>
              </w:tc>
              <w:tc>
                <w:tcPr/>
                <w:p>
                  <w:pPr>
                    <w:pStyle w:val="Compact"/>
                    <w:jc w:val="right"/>
                    <w:jc w:val="center"/>
                  </w:pPr>
                  <w:r>
                    <w:t xml:space="preserve">0.398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28</w:t>
                  </w:r>
                </w:p>
              </w:tc>
              <w:tc>
                <w:tcPr/>
                <w:p>
                  <w:pPr>
                    <w:pStyle w:val="Compact"/>
                    <w:jc w:val="right"/>
                    <w:jc w:val="center"/>
                  </w:pPr>
                  <w:r>
                    <w:t xml:space="preserve">1.336</w:t>
                  </w:r>
                </w:p>
              </w:tc>
              <w:tc>
                <w:tcPr/>
                <w:p>
                  <w:pPr>
                    <w:pStyle w:val="Compact"/>
                    <w:jc w:val="right"/>
                    <w:jc w:val="center"/>
                  </w:pPr>
                  <w:r>
                    <w:t xml:space="preserve">1.876</w:t>
                  </w:r>
                </w:p>
              </w:tc>
              <w:tc>
                <w:tcPr/>
                <w:p>
                  <w:pPr>
                    <w:pStyle w:val="Compact"/>
                    <w:jc w:val="right"/>
                    <w:jc w:val="center"/>
                  </w:pPr>
                  <w:r>
                    <w:t xml:space="preserve">-0.540</w:t>
                  </w:r>
                </w:p>
              </w:tc>
              <w:tc>
                <w:tcPr/>
                <w:p>
                  <w:pPr>
                    <w:pStyle w:val="Compact"/>
                    <w:jc w:val="left"/>
                    <w:jc w:val="center"/>
                  </w:pPr>
                  <w:r>
                    <w:t xml:space="preserve">yes</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30</w:t>
                  </w:r>
                </w:p>
              </w:tc>
              <w:tc>
                <w:tcPr/>
                <w:p>
                  <w:pPr>
                    <w:pStyle w:val="Compact"/>
                    <w:jc w:val="right"/>
                    <w:jc w:val="center"/>
                  </w:pPr>
                  <w:r>
                    <w:t xml:space="preserve">1.948</w:t>
                  </w:r>
                </w:p>
              </w:tc>
              <w:tc>
                <w:tcPr/>
                <w:p>
                  <w:pPr>
                    <w:pStyle w:val="Compact"/>
                    <w:jc w:val="right"/>
                    <w:jc w:val="center"/>
                  </w:pPr>
                  <w:r>
                    <w:t xml:space="preserve">1.896</w:t>
                  </w:r>
                </w:p>
              </w:tc>
              <w:tc>
                <w:tcPr/>
                <w:p>
                  <w:pPr>
                    <w:pStyle w:val="Compact"/>
                    <w:jc w:val="right"/>
                    <w:jc w:val="center"/>
                  </w:pPr>
                  <w:r>
                    <w:t xml:space="preserve">0.052</w:t>
                  </w:r>
                </w:p>
              </w:tc>
              <w:tc>
                <w:tcPr/>
                <w:p>
                  <w:pPr>
                    <w:pStyle w:val="Compact"/>
                    <w:jc w:val="left"/>
                    <w:jc w:val="center"/>
                  </w:pPr>
                  <w:r>
                    <w:t xml:space="preserve">yes</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30</w:t>
                  </w:r>
                </w:p>
              </w:tc>
              <w:tc>
                <w:tcPr/>
                <w:p>
                  <w:pPr>
                    <w:pStyle w:val="Compact"/>
                    <w:jc w:val="right"/>
                    <w:jc w:val="center"/>
                  </w:pPr>
                  <w:r>
                    <w:t xml:space="preserve">1.868</w:t>
                  </w:r>
                </w:p>
              </w:tc>
              <w:tc>
                <w:tcPr/>
                <w:p>
                  <w:pPr>
                    <w:pStyle w:val="Compact"/>
                    <w:jc w:val="right"/>
                    <w:jc w:val="center"/>
                  </w:pPr>
                  <w:r>
                    <w:t xml:space="preserve">1.896</w:t>
                  </w:r>
                </w:p>
              </w:tc>
              <w:tc>
                <w:tcPr/>
                <w:p>
                  <w:pPr>
                    <w:pStyle w:val="Compact"/>
                    <w:jc w:val="right"/>
                    <w:jc w:val="center"/>
                  </w:pPr>
                  <w:r>
                    <w:t xml:space="preserve">-0.028</w:t>
                  </w:r>
                </w:p>
              </w:tc>
              <w:tc>
                <w:tcPr/>
                <w:p>
                  <w:pPr>
                    <w:pStyle w:val="Compact"/>
                    <w:jc w:val="left"/>
                    <w:jc w:val="center"/>
                  </w:pPr>
                  <w:r>
                    <w:t xml:space="preserve">yes</w:t>
                  </w:r>
                </w:p>
              </w:tc>
            </w:tr>
            <w:tr>
              <w:tc>
                <w:tcPr/>
                <w:p>
                  <w:pPr>
                    <w:pStyle w:val="Compact"/>
                    <w:jc w:val="left"/>
                    <w:jc w:val="center"/>
                  </w:pPr>
                  <w:r>
                    <w:t xml:space="preserve">Hohle Fels…17</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41</w:t>
                  </w:r>
                </w:p>
              </w:tc>
              <w:tc>
                <w:tcPr/>
                <w:p>
                  <w:pPr>
                    <w:pStyle w:val="Compact"/>
                    <w:jc w:val="right"/>
                    <w:jc w:val="center"/>
                  </w:pPr>
                  <w:r>
                    <w:t xml:space="preserve">2.153</w:t>
                  </w:r>
                </w:p>
              </w:tc>
              <w:tc>
                <w:tcPr/>
                <w:p>
                  <w:pPr>
                    <w:pStyle w:val="Compact"/>
                    <w:jc w:val="right"/>
                    <w:jc w:val="center"/>
                  </w:pPr>
                  <w:r>
                    <w:t xml:space="preserve">1.973</w:t>
                  </w:r>
                </w:p>
              </w:tc>
              <w:tc>
                <w:tcPr/>
                <w:p>
                  <w:pPr>
                    <w:pStyle w:val="Compact"/>
                    <w:jc w:val="right"/>
                    <w:jc w:val="center"/>
                  </w:pPr>
                  <w:r>
                    <w:t xml:space="preserve">0.181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43</w:t>
                  </w:r>
                </w:p>
              </w:tc>
              <w:tc>
                <w:tcPr/>
                <w:p>
                  <w:pPr>
                    <w:pStyle w:val="Compact"/>
                    <w:jc w:val="right"/>
                    <w:jc w:val="center"/>
                  </w:pPr>
                  <w:r>
                    <w:t xml:space="preserve">1.578</w:t>
                  </w:r>
                </w:p>
              </w:tc>
              <w:tc>
                <w:tcPr/>
                <w:p>
                  <w:pPr>
                    <w:pStyle w:val="Compact"/>
                    <w:jc w:val="right"/>
                    <w:jc w:val="center"/>
                  </w:pPr>
                  <w:r>
                    <w:t xml:space="preserve">1.973</w:t>
                  </w:r>
                </w:p>
              </w:tc>
              <w:tc>
                <w:tcPr/>
                <w:p>
                  <w:pPr>
                    <w:pStyle w:val="Compact"/>
                    <w:jc w:val="right"/>
                    <w:jc w:val="center"/>
                  </w:pPr>
                  <w:r>
                    <w:t xml:space="preserve">-0.395</w:t>
                  </w:r>
                </w:p>
              </w:tc>
              <w:tc>
                <w:tcPr/>
                <w:p>
                  <w:pPr>
                    <w:pStyle w:val="Compact"/>
                    <w:jc w:val="left"/>
                    <w:jc w:val="center"/>
                  </w:pPr>
                  <w:r>
                    <w:t xml:space="preserve">yes</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43</w:t>
                  </w:r>
                </w:p>
              </w:tc>
              <w:tc>
                <w:tcPr/>
                <w:p>
                  <w:pPr>
                    <w:pStyle w:val="Compact"/>
                    <w:jc w:val="right"/>
                    <w:jc w:val="center"/>
                  </w:pPr>
                  <w:r>
                    <w:t xml:space="preserve">1.677</w:t>
                  </w:r>
                </w:p>
              </w:tc>
              <w:tc>
                <w:tcPr/>
                <w:p>
                  <w:pPr>
                    <w:pStyle w:val="Compact"/>
                    <w:jc w:val="right"/>
                    <w:jc w:val="center"/>
                  </w:pPr>
                  <w:r>
                    <w:t xml:space="preserve">1.973</w:t>
                  </w:r>
                </w:p>
              </w:tc>
              <w:tc>
                <w:tcPr/>
                <w:p>
                  <w:pPr>
                    <w:pStyle w:val="Compact"/>
                    <w:jc w:val="right"/>
                    <w:jc w:val="center"/>
                  </w:pPr>
                  <w:r>
                    <w:t xml:space="preserve">-0.296</w:t>
                  </w:r>
                </w:p>
              </w:tc>
              <w:tc>
                <w:tcPr/>
                <w:p>
                  <w:pPr>
                    <w:pStyle w:val="Compact"/>
                    <w:jc w:val="left"/>
                    <w:jc w:val="center"/>
                  </w:pPr>
                  <w:r>
                    <w:t xml:space="preserve">yes</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235</w:t>
                  </w:r>
                </w:p>
              </w:tc>
              <w:tc>
                <w:tcPr/>
                <w:p>
                  <w:pPr>
                    <w:pStyle w:val="Compact"/>
                    <w:jc w:val="right"/>
                    <w:jc w:val="center"/>
                  </w:pPr>
                  <w:r>
                    <w:t xml:space="preserve">1.940</w:t>
                  </w:r>
                </w:p>
              </w:tc>
              <w:tc>
                <w:tcPr/>
                <w:p>
                  <w:pPr>
                    <w:pStyle w:val="Compact"/>
                    <w:jc w:val="right"/>
                    <w:jc w:val="center"/>
                  </w:pPr>
                  <w:r>
                    <w:t xml:space="preserve">2.183</w:t>
                  </w:r>
                </w:p>
              </w:tc>
              <w:tc>
                <w:tcPr/>
                <w:p>
                  <w:pPr>
                    <w:pStyle w:val="Compact"/>
                    <w:jc w:val="right"/>
                    <w:jc w:val="center"/>
                  </w:pPr>
                  <w:r>
                    <w:t xml:space="preserve">-0.242</w:t>
                  </w:r>
                </w:p>
              </w:tc>
              <w:tc>
                <w:tcPr/>
                <w:p>
                  <w:pPr>
                    <w:pStyle w:val="Compact"/>
                    <w:jc w:val="left"/>
                    <w:jc w:val="center"/>
                  </w:pPr>
                  <w:r>
                    <w:t xml:space="preserve">yes</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1</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left"/>
                    <w:jc w:val="center"/>
                  </w:pPr>
                  <w:r>
                    <w:t xml:space="preserve">no</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0.693</w:t>
                  </w:r>
                </w:p>
              </w:tc>
              <w:tc>
                <w:tcPr/>
                <w:p>
                  <w:pPr>
                    <w:pStyle w:val="Compact"/>
                    <w:jc w:val="right"/>
                    <w:jc w:val="center"/>
                  </w:pPr>
                  <w:r>
                    <w:t xml:space="preserve">0.547</w:t>
                  </w:r>
                </w:p>
              </w:tc>
              <w:tc>
                <w:tcPr/>
                <w:p>
                  <w:pPr>
                    <w:pStyle w:val="Compact"/>
                    <w:jc w:val="right"/>
                    <w:jc w:val="center"/>
                  </w:pPr>
                  <w:r>
                    <w:t xml:space="preserve">0.146</w:t>
                  </w:r>
                </w:p>
              </w:tc>
              <w:tc>
                <w:tcPr/>
                <w:p>
                  <w:pPr>
                    <w:pStyle w:val="Compact"/>
                    <w:jc w:val="left"/>
                    <w:jc w:val="center"/>
                  </w:pPr>
                  <w:r>
                    <w:t xml:space="preserve">no</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5</w:t>
                  </w:r>
                </w:p>
              </w:tc>
              <w:tc>
                <w:tcPr/>
                <w:p>
                  <w:pPr>
                    <w:pStyle w:val="Compact"/>
                    <w:jc w:val="right"/>
                    <w:jc w:val="center"/>
                  </w:pPr>
                  <w:r>
                    <w:t xml:space="preserve">1.609</w:t>
                  </w:r>
                </w:p>
              </w:tc>
              <w:tc>
                <w:tcPr/>
                <w:p>
                  <w:pPr>
                    <w:pStyle w:val="Compact"/>
                    <w:jc w:val="right"/>
                    <w:jc w:val="center"/>
                  </w:pPr>
                  <w:r>
                    <w:t xml:space="preserve">1.118</w:t>
                  </w:r>
                </w:p>
              </w:tc>
              <w:tc>
                <w:tcPr/>
                <w:p>
                  <w:pPr>
                    <w:pStyle w:val="Compact"/>
                    <w:jc w:val="right"/>
                    <w:jc w:val="center"/>
                  </w:pPr>
                  <w:r>
                    <w:t xml:space="preserve">0.492</w:t>
                  </w:r>
                </w:p>
              </w:tc>
              <w:tc>
                <w:tcPr/>
                <w:p>
                  <w:pPr>
                    <w:pStyle w:val="Compact"/>
                    <w:jc w:val="left"/>
                    <w:jc w:val="center"/>
                  </w:pPr>
                  <w:r>
                    <w:t xml:space="preserve">yes</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6</w:t>
                  </w:r>
                </w:p>
              </w:tc>
              <w:tc>
                <w:tcPr/>
                <w:p>
                  <w:pPr>
                    <w:pStyle w:val="Compact"/>
                    <w:jc w:val="right"/>
                    <w:jc w:val="center"/>
                  </w:pPr>
                  <w:r>
                    <w:t xml:space="preserve">0.637</w:t>
                  </w:r>
                </w:p>
              </w:tc>
              <w:tc>
                <w:tcPr/>
                <w:p>
                  <w:pPr>
                    <w:pStyle w:val="Compact"/>
                    <w:jc w:val="right"/>
                    <w:jc w:val="center"/>
                  </w:pPr>
                  <w:r>
                    <w:t xml:space="preserve">1.222</w:t>
                  </w:r>
                </w:p>
              </w:tc>
              <w:tc>
                <w:tcPr/>
                <w:p>
                  <w:pPr>
                    <w:pStyle w:val="Compact"/>
                    <w:jc w:val="right"/>
                    <w:jc w:val="center"/>
                  </w:pPr>
                  <w:r>
                    <w:t xml:space="preserve">-0.586</w:t>
                  </w:r>
                </w:p>
              </w:tc>
              <w:tc>
                <w:tcPr/>
                <w:p>
                  <w:pPr>
                    <w:pStyle w:val="Compact"/>
                    <w:jc w:val="left"/>
                    <w:jc w:val="center"/>
                  </w:pPr>
                  <w:r>
                    <w:t xml:space="preserve">yes</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13</w:t>
                  </w:r>
                </w:p>
              </w:tc>
              <w:tc>
                <w:tcPr/>
                <w:p>
                  <w:pPr>
                    <w:pStyle w:val="Compact"/>
                    <w:jc w:val="right"/>
                    <w:jc w:val="center"/>
                  </w:pPr>
                  <w:r>
                    <w:t xml:space="preserve">0.617</w:t>
                  </w:r>
                </w:p>
              </w:tc>
              <w:tc>
                <w:tcPr/>
                <w:p>
                  <w:pPr>
                    <w:pStyle w:val="Compact"/>
                    <w:jc w:val="right"/>
                    <w:jc w:val="center"/>
                  </w:pPr>
                  <w:r>
                    <w:t xml:space="preserve">1.517</w:t>
                  </w:r>
                </w:p>
              </w:tc>
              <w:tc>
                <w:tcPr/>
                <w:p>
                  <w:pPr>
                    <w:pStyle w:val="Compact"/>
                    <w:jc w:val="right"/>
                    <w:jc w:val="center"/>
                  </w:pPr>
                  <w:r>
                    <w:t xml:space="preserve">-0.899</w:t>
                  </w:r>
                </w:p>
              </w:tc>
              <w:tc>
                <w:tcPr/>
                <w:p>
                  <w:pPr>
                    <w:pStyle w:val="Compact"/>
                    <w:jc w:val="left"/>
                    <w:jc w:val="center"/>
                  </w:pPr>
                  <w:r>
                    <w:t xml:space="preserve">yes</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21</w:t>
                  </w:r>
                </w:p>
              </w:tc>
              <w:tc>
                <w:tcPr/>
                <w:p>
                  <w:pPr>
                    <w:pStyle w:val="Compact"/>
                    <w:jc w:val="right"/>
                    <w:jc w:val="center"/>
                  </w:pPr>
                  <w:r>
                    <w:t xml:space="preserve">1.737</w:t>
                  </w:r>
                </w:p>
              </w:tc>
              <w:tc>
                <w:tcPr/>
                <w:p>
                  <w:pPr>
                    <w:pStyle w:val="Compact"/>
                    <w:jc w:val="right"/>
                    <w:jc w:val="center"/>
                  </w:pPr>
                  <w:r>
                    <w:t xml:space="preserve">1.641</w:t>
                  </w:r>
                </w:p>
              </w:tc>
              <w:tc>
                <w:tcPr/>
                <w:p>
                  <w:pPr>
                    <w:pStyle w:val="Compact"/>
                    <w:jc w:val="right"/>
                    <w:jc w:val="center"/>
                  </w:pPr>
                  <w:r>
                    <w:t xml:space="preserve">0.096</w:t>
                  </w:r>
                </w:p>
              </w:tc>
              <w:tc>
                <w:tcPr/>
                <w:p>
                  <w:pPr>
                    <w:pStyle w:val="Compact"/>
                    <w:jc w:val="left"/>
                    <w:jc w:val="center"/>
                  </w:pPr>
                  <w:r>
                    <w:t xml:space="preserve">yes</w:t>
                  </w:r>
                </w:p>
              </w:tc>
            </w:tr>
            <w:tr>
              <w:tc>
                <w:tcPr/>
                <w:p>
                  <w:pPr>
                    <w:pStyle w:val="Compact"/>
                    <w:jc w:val="left"/>
                    <w:jc w:val="center"/>
                  </w:pPr>
                  <w:r>
                    <w:t xml:space="preserve">Hohle Fels…29</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43</w:t>
                  </w:r>
                </w:p>
              </w:tc>
              <w:tc>
                <w:tcPr/>
                <w:p>
                  <w:pPr>
                    <w:pStyle w:val="Compact"/>
                    <w:jc w:val="right"/>
                    <w:jc w:val="center"/>
                  </w:pPr>
                  <w:r>
                    <w:t xml:space="preserve">1.945</w:t>
                  </w:r>
                </w:p>
              </w:tc>
              <w:tc>
                <w:tcPr/>
                <w:p>
                  <w:pPr>
                    <w:pStyle w:val="Compact"/>
                    <w:jc w:val="right"/>
                    <w:jc w:val="center"/>
                  </w:pPr>
                  <w:r>
                    <w:t xml:space="preserve">1.781</w:t>
                  </w:r>
                </w:p>
              </w:tc>
              <w:tc>
                <w:tcPr/>
                <w:p>
                  <w:pPr>
                    <w:pStyle w:val="Compact"/>
                    <w:jc w:val="right"/>
                    <w:jc w:val="center"/>
                  </w:pPr>
                  <w:r>
                    <w:t xml:space="preserve">0.165</w:t>
                  </w:r>
                </w:p>
              </w:tc>
              <w:tc>
                <w:tcPr/>
                <w:p>
                  <w:pPr>
                    <w:pStyle w:val="Compact"/>
                    <w:jc w:val="left"/>
                    <w:jc w:val="center"/>
                  </w:pPr>
                  <w:r>
                    <w:t xml:space="preserve">yes</w:t>
                  </w:r>
                </w:p>
              </w:tc>
            </w:tr>
          </w:tbl>
          <w:p>
            <w:pPr>
              <w:jc w:val="center"/>
            </w:pPr>
            <w:pPr>
              <w:jc w:val="start"/>
              <w:spacing w:before="200"/>
              <w:pStyle w:val="ImageCaption"/>
            </w:pPr>
            <w:r>
              <w:t xml:space="preserve">Table S 43: Per-site values behind main-text Figure 6,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S 42</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7"/>
        </w:tc>
      </w:tr>
    </w:tbl>
    <w:tbl>
      <w:tblPr>
        <w:tblStyle w:val="Table"/>
        <w:tblW w:type="pct" w:w="5000"/>
        <w:tblLook w:firstRow="0" w:lastRow="0" w:firstColumn="0" w:lastColumn="0" w:noHBand="0" w:noVBand="0" w:val="0000"/>
        <w:jc w:val="start"/>
        <w:tblLayout w:type="fixed"/>
      </w:tblPr>
      <w:tblGrid>
        <w:gridCol w:w="7920"/>
      </w:tblGrid>
      <w:tr>
        <w:tc>
          <w:tcPr/>
          <w:bookmarkStart w:id="241" w:name="fig-objhist"/>
          <w:p>
            <w:pPr>
              <w:pStyle w:val="Compact"/>
              <w:jc w:val="center"/>
            </w:pPr>
            <w:r>
              <w:drawing>
                <wp:inline>
                  <wp:extent cx="5943600" cy="2971800"/>
                  <wp:effectExtent b="0" l="0" r="0" t="0"/>
                  <wp:docPr descr="" title="" id="239" name="Picture"/>
                  <a:graphic>
                    <a:graphicData uri="http://schemas.openxmlformats.org/drawingml/2006/picture">
                      <pic:pic>
                        <pic:nvPicPr>
                          <pic:cNvPr descr="S1-supplement-sensitivity_files/figure-docx/fig-objhist-1.png" id="240" name="Picture"/>
                          <pic:cNvPicPr>
                            <a:picLocks noChangeArrowheads="1" noChangeAspect="1"/>
                          </pic:cNvPicPr>
                        </pic:nvPicPr>
                        <pic:blipFill>
                          <a:blip r:embed="rId238"/>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Distribution of object counts per site by phase. Most sites contribute few objects; a small number of large assemblages (e.g. Vogelherd) dominate the upper tail.</w:t>
            </w:r>
          </w:p>
          <w:bookmarkEnd w:id="241"/>
        </w:tc>
      </w:tr>
    </w:tbl>
    <w:bookmarkEnd w:id="242"/>
    <w:bookmarkStart w:id="243"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3"/>
    <w:bookmarkEnd w:id="244"/>
    <w:bookmarkStart w:id="253" w:name="sec-s12-2"/>
    <w:p>
      <w:pPr>
        <w:pStyle w:val="Heading2"/>
      </w:pPr>
      <w:r>
        <w:t xml:space="preserve">S1.12.3 Object-level downsampling sensitivity</w:t>
      </w:r>
    </w:p>
    <w:bookmarkStart w:id="251"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5"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44: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6"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45: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6"/>
        </w:tc>
      </w:tr>
    </w:tbl>
    <w:tbl>
      <w:tblPr>
        <w:tblStyle w:val="Table"/>
        <w:tblW w:type="pct" w:w="5000"/>
        <w:tblLook w:firstRow="0" w:lastRow="0" w:firstColumn="0" w:lastColumn="0" w:noHBand="0" w:noVBand="0" w:val="0000"/>
        <w:jc w:val="start"/>
        <w:tblLayout w:type="fixed"/>
      </w:tblPr>
      <w:tblGrid>
        <w:gridCol w:w="7920"/>
      </w:tblGrid>
      <w:tr>
        <w:tc>
          <w:tcPr/>
          <w:bookmarkStart w:id="250" w:name="fig-retention"/>
          <w:p>
            <w:pPr>
              <w:pStyle w:val="Compact"/>
              <w:jc w:val="center"/>
            </w:pPr>
            <w:r>
              <w:drawing>
                <wp:inline>
                  <wp:extent cx="5943600" cy="5943600"/>
                  <wp:effectExtent b="0" l="0" r="0" t="0"/>
                  <wp:docPr descr="" title="" id="248" name="Picture"/>
                  <a:graphic>
                    <a:graphicData uri="http://schemas.openxmlformats.org/drawingml/2006/picture">
                      <pic:pic>
                        <pic:nvPicPr>
                          <pic:cNvPr descr="S1-supplement-sensitivity_files/figure-docx/fig-retention-1.png" id="249" name="Picture"/>
                          <pic:cNvPicPr>
                            <a:picLocks noChangeArrowheads="1" noChangeAspect="1"/>
                          </pic:cNvPicPr>
                        </pic:nvPicPr>
                        <pic:blipFill>
                          <a:blip r:embed="rId24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0"/>
        </w:tc>
      </w:tr>
    </w:tbl>
    <w:bookmarkEnd w:id="251"/>
    <w:bookmarkStart w:id="252"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2"/>
    <w:bookmarkEnd w:id="253"/>
    <w:bookmarkStart w:id="261" w:name="sec-s12-3"/>
    <w:p>
      <w:pPr>
        <w:pStyle w:val="Heading2"/>
      </w:pPr>
      <w:r>
        <w:t xml:space="preserve">S1.12.4 Coverage-based rarefaction</w:t>
      </w:r>
    </w:p>
    <w:bookmarkStart w:id="259"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4"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46: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4"/>
        </w:tc>
      </w:tr>
    </w:tbl>
    <w:tbl>
      <w:tblPr>
        <w:tblStyle w:val="Table"/>
        <w:tblW w:type="pct" w:w="5000"/>
        <w:tblLook w:firstRow="0" w:lastRow="0" w:firstColumn="0" w:lastColumn="0" w:noHBand="0" w:noVBand="0" w:val="0000"/>
        <w:jc w:val="start"/>
        <w:tblLayout w:type="fixed"/>
      </w:tblPr>
      <w:tblGrid>
        <w:gridCol w:w="7920"/>
      </w:tblGrid>
      <w:tr>
        <w:tc>
          <w:tcPr/>
          <w:bookmarkStart w:id="258" w:name="fig-rarefaction"/>
          <w:p>
            <w:pPr>
              <w:pStyle w:val="Compact"/>
              <w:jc w:val="center"/>
            </w:pPr>
            <w:r>
              <w:drawing>
                <wp:inline>
                  <wp:extent cx="5943600" cy="3396342"/>
                  <wp:effectExtent b="0" l="0" r="0" t="0"/>
                  <wp:docPr descr="" title="" id="256" name="Picture"/>
                  <a:graphic>
                    <a:graphicData uri="http://schemas.openxmlformats.org/drawingml/2006/picture">
                      <pic:pic>
                        <pic:nvPicPr>
                          <pic:cNvPr descr="S1-supplement-sensitivity_files/figure-docx/fig-rarefaction-1.png" id="257" name="Picture"/>
                          <pic:cNvPicPr>
                            <a:picLocks noChangeArrowheads="1" noChangeAspect="1"/>
                          </pic:cNvPicPr>
                        </pic:nvPicPr>
                        <pic:blipFill>
                          <a:blip r:embed="rId25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Sign-type richness estimated at target coverage = 0.9 with 95% confidence intervals, by manual group, for sites that reach that coverage. Restricted sites (green) that attain high coverage remain low-richness; broad sites (red) remain high-richness.</w:t>
            </w:r>
          </w:p>
          <w:bookmarkEnd w:id="258"/>
        </w:tc>
      </w:tr>
    </w:tbl>
    <w:bookmarkEnd w:id="259"/>
    <w:bookmarkStart w:id="260"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0"/>
    <w:bookmarkEnd w:id="261"/>
    <w:bookmarkStart w:id="265" w:name="sec-s12-4"/>
    <w:p>
      <w:pPr>
        <w:pStyle w:val="Heading2"/>
      </w:pPr>
      <w:r>
        <w:t xml:space="preserve">S1.12.5 Negative-binomial regression with object-count covariate</w:t>
      </w:r>
    </w:p>
    <w:bookmarkStart w:id="263"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2"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47: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2"/>
        </w:tc>
      </w:tr>
    </w:tbl>
    <w:bookmarkEnd w:id="263"/>
    <w:bookmarkStart w:id="264"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4"/>
    <w:bookmarkEnd w:id="265"/>
    <w:bookmarkStart w:id="273" w:name="sec-s12-5"/>
    <w:p>
      <w:pPr>
        <w:pStyle w:val="Heading2"/>
      </w:pPr>
      <w:r>
        <w:t xml:space="preserve">S1.12.6 Equal-effort pool comparison (iNEXT)</w:t>
      </w:r>
    </w:p>
    <w:bookmarkStart w:id="271"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6"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bl>
          <w:p>
            <w:pPr>
              <w:jc w:val="center"/>
            </w:pPr>
            <w:pPr>
              <w:jc w:val="start"/>
              <w:spacing w:before="200"/>
              <w:pStyle w:val="ImageCaption"/>
            </w:pPr>
            <w:r>
              <w:t xml:space="preserve">Table S 48: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6"/>
        </w:tc>
      </w:tr>
    </w:tbl>
    <w:tbl>
      <w:tblPr>
        <w:tblStyle w:val="Table"/>
        <w:tblW w:type="pct" w:w="5000"/>
        <w:tblLook w:firstRow="0" w:lastRow="0" w:firstColumn="0" w:lastColumn="0" w:noHBand="0" w:noVBand="0" w:val="0000"/>
        <w:jc w:val="start"/>
        <w:tblLayout w:type="fixed"/>
      </w:tblPr>
      <w:tblGrid>
        <w:gridCol w:w="7920"/>
      </w:tblGrid>
      <w:tr>
        <w:tc>
          <w:tcPr/>
          <w:bookmarkStart w:id="270" w:name="fig-pool-inext"/>
          <w:p>
            <w:pPr>
              <w:pStyle w:val="Compact"/>
              <w:jc w:val="center"/>
            </w:pPr>
            <w:r>
              <w:drawing>
                <wp:inline>
                  <wp:extent cx="5943600" cy="3566160"/>
                  <wp:effectExtent b="0" l="0" r="0" t="0"/>
                  <wp:docPr descr="" title="" id="268" name="Picture"/>
                  <a:graphic>
                    <a:graphicData uri="http://schemas.openxmlformats.org/drawingml/2006/picture">
                      <pic:pic>
                        <pic:nvPicPr>
                          <pic:cNvPr descr="S1-supplement-sensitivity_files/figure-docx/fig-pool-inext-1.png" id="269" name="Picture"/>
                          <pic:cNvPicPr>
                            <a:picLocks noChangeArrowheads="1" noChangeAspect="1"/>
                          </pic:cNvPicPr>
                        </pic:nvPicPr>
                        <pic:blipFill>
                          <a:blip r:embed="rId26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0"/>
        </w:tc>
      </w:tr>
    </w:tbl>
    <w:bookmarkEnd w:id="271"/>
    <w:bookmarkStart w:id="272"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2"/>
    <w:bookmarkEnd w:id="273"/>
    <w:bookmarkStart w:id="283" w:name="sec-s12-6"/>
    <w:p>
      <w:pPr>
        <w:pStyle w:val="Heading2"/>
      </w:pPr>
      <w:r>
        <w:t xml:space="preserve">S1.12.7 Figurine Exclusion</w:t>
      </w:r>
    </w:p>
    <w:bookmarkStart w:id="281" w:name="rationale-25"/>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4"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49: Distribution of figurine objects across phases and sites. Figurine types include figurine zoomorph, figurine anthropomorph, figurine undet., and possible figurine.</w:t>
            </w:r>
          </w:p>
          <w:bookmarkEnd w:id="274"/>
        </w:tc>
      </w:tr>
    </w:tbl>
    <w:p>
      <w:pPr>
        <w:pStyle w:val="BodyText"/>
      </w:pPr>
      <w:hyperlink w:anchor="tbl-figurine-count">
        <w:r>
          <w:rPr>
            <w:rStyle w:val="Hyperlink"/>
          </w:rPr>
          <w:t xml:space="preserve">Table S 49</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5"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50: Network statistics before and after excluding all figurine objects (figurine zoomorph, figurine anthropomorph, figurine undet., and possible figurine). Threshold = 0.2, Jaccard similarity.</w:t>
            </w:r>
          </w:p>
          <w:bookmarkEnd w:id="27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51: Number of sites per phase before and after figurine exclusion. Sites are lost when all objects at that site are figurines.</w:t>
            </w:r>
          </w:p>
          <w:bookmarkEnd w:id="276"/>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7"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52: Network statistics before and after excluding figurines from Vogelherd only. All other figurines (Hohle Fels, Geissenklösterle, Hohlenstein-Stadel, La Ferrassie) are retained. Threshold = 0.2, Jaccard similarity.</w:t>
            </w:r>
          </w:p>
          <w:bookmarkEnd w:id="27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8"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53: Vogelherd object counts before and after removing figurines. Non-figurine objects at Vogelherd (tools, plaquettes, etc.) are retained.</w:t>
            </w:r>
          </w:p>
          <w:bookmarkEnd w:id="278"/>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79"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54: Side-by-side comparison of network statistics across all conditions: baseline (all objects), exclude all figurines, and exclude Vogelherd figurines only. The rightmost columns show the percentage change in mean degree from baseline.</w:t>
            </w:r>
          </w:p>
          <w:bookmarkEnd w:id="279"/>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54</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0"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55: Mean degree by figurine-exclusion condition, with percentage change from baseline. Reproduced directly from the joint comparison in</w:t>
            </w:r>
            <w:r>
              <w:t xml:space="preserve"> </w:t>
            </w:r>
            <w:hyperlink w:anchor="tbl-objtype-joint">
              <w:r>
                <w:rPr>
                  <w:rStyle w:val="Hyperlink"/>
                </w:rPr>
                <w:t xml:space="preserve">Table S 54</w:t>
              </w:r>
            </w:hyperlink>
            <w:r>
              <w:t xml:space="preserve">.</w:t>
            </w:r>
          </w:p>
          <w:bookmarkEnd w:id="280"/>
        </w:tc>
      </w:tr>
    </w:tbl>
    <w:bookmarkEnd w:id="281"/>
    <w:bookmarkStart w:id="282"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282"/>
    <w:bookmarkEnd w:id="283"/>
    <w:bookmarkStart w:id="284"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4"/>
    <w:bookmarkEnd w:id="285"/>
    <w:bookmarkStart w:id="294" w:name="sec-s-power"/>
    <w:p>
      <w:pPr>
        <w:pStyle w:val="Heading1"/>
      </w:pPr>
      <w:r>
        <w:t xml:space="preserve">S1.13 Design Sensitivity: Minimum Detectable Effects</w:t>
      </w:r>
    </w:p>
    <w:bookmarkStart w:id="286"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[28]</w:t>
      </w:r>
      <w:r>
        <w:t xml:space="preserve">. Conventions for medium effects are rho = 0.3 and R</w:t>
      </w:r>
      <w:r>
        <w:rPr>
          <w:vertAlign w:val="superscript"/>
        </w:rPr>
        <w:t xml:space="preserve">2</w:t>
      </w:r>
      <w:r>
        <w:t xml:space="preserve"> </w:t>
      </w:r>
      <w:r>
        <w:t xml:space="preserve">= 0.13</w:t>
      </w:r>
      <w:r>
        <w:t xml:space="preserve"> </w:t>
      </w:r>
      <w:r>
        <w:t xml:space="preserve">[29]</w:t>
      </w:r>
      <w:r>
        <w:t xml:space="preserve">. Mantel p-values are approximate under spatial dependence</w:t>
      </w:r>
      <w:r>
        <w:t xml:space="preserve"> </w:t>
      </w:r>
      <w:r>
        <w:t xml:space="preserve">[30,31]</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[32]</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6"/>
    <w:bookmarkStart w:id="292"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7"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56: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7"/>
        </w:tc>
      </w:tr>
    </w:tbl>
    <w:tbl>
      <w:tblPr>
        <w:tblStyle w:val="Table"/>
        <w:tblW w:type="pct" w:w="5000"/>
        <w:tblLook w:firstRow="0" w:lastRow="0" w:firstColumn="0" w:lastColumn="0" w:noHBand="0" w:noVBand="0" w:val="0000"/>
        <w:jc w:val="start"/>
        <w:tblLayout w:type="fixed"/>
      </w:tblPr>
      <w:tblGrid>
        <w:gridCol w:w="7920"/>
      </w:tblGrid>
      <w:tr>
        <w:tc>
          <w:tcPr/>
          <w:bookmarkStart w:id="291" w:name="fig-power-curves"/>
          <w:p>
            <w:pPr>
              <w:pStyle w:val="Compact"/>
              <w:jc w:val="center"/>
            </w:pPr>
            <w:r>
              <w:drawing>
                <wp:inline>
                  <wp:extent cx="5943600" cy="4622800"/>
                  <wp:effectExtent b="0" l="0" r="0" t="0"/>
                  <wp:docPr descr="" title="" id="289" name="Picture"/>
                  <a:graphic>
                    <a:graphicData uri="http://schemas.openxmlformats.org/drawingml/2006/picture">
                      <pic:pic>
                        <pic:nvPicPr>
                          <pic:cNvPr descr="S1-supplement-sensitivity_files/figure-docx/fig-power-curves-1.png" id="290" name="Picture"/>
                          <pic:cNvPicPr>
                            <a:picLocks noChangeArrowheads="1" noChangeAspect="1"/>
                          </pic:cNvPicPr>
                        </pic:nvPicPr>
                        <pic:blipFill>
                          <a:blip r:embed="rId288"/>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56</w:t>
              </w:r>
            </w:hyperlink>
            <w:r>
              <w:t xml:space="preserve">. Curves are simulation estimates (Mantel and PerMANOVA: B = 300 with 99 permutations; network: B = 200 with 99 permutations).</w:t>
            </w:r>
          </w:p>
          <w:bookmarkEnd w:id="291"/>
        </w:tc>
      </w:tr>
    </w:tbl>
    <w:bookmarkEnd w:id="292"/>
    <w:bookmarkStart w:id="293"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56</w:t>
        </w:r>
      </w:hyperlink>
      <w:r>
        <w:t xml:space="preserve"> </w:t>
      </w:r>
      <w:r>
        <w:t xml:space="preserve">can be excluded.</w:t>
      </w:r>
    </w:p>
    <w:bookmarkEnd w:id="293"/>
    <w:bookmarkEnd w:id="294"/>
    <w:bookmarkStart w:id="360"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59" w:name="references-cited"/>
    <w:p>
      <w:pPr>
        <w:pStyle w:val="Heading2"/>
      </w:pPr>
      <w:r>
        <w:t xml:space="preserve">References cited</w:t>
      </w:r>
    </w:p>
    <w:bookmarkStart w:id="358" w:name="refs"/>
    <w:bookmarkStart w:id="296"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5">
        <w:r>
          <w:rPr>
            <w:rStyle w:val="Hyperlink"/>
          </w:rPr>
          <w:t xml:space="preserve">https://doi.org/10.18637/jss.v022.i07</w:t>
        </w:r>
      </w:hyperlink>
      <w:r>
        <w:t xml:space="preserve">.</w:t>
      </w:r>
    </w:p>
    <w:bookmarkEnd w:id="296"/>
    <w:bookmarkStart w:id="298"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97">
        <w:r>
          <w:rPr>
            <w:rStyle w:val="Hyperlink"/>
          </w:rPr>
          <w:t xml:space="preserve">https://doi.org/10.1890/0012-9615(1999)069[0001:DBRATM]2.0.CO;2</w:t>
        </w:r>
      </w:hyperlink>
      <w:r>
        <w:t xml:space="preserve">.</w:t>
      </w:r>
    </w:p>
    <w:bookmarkEnd w:id="298"/>
    <w:bookmarkStart w:id="300"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99">
        <w:r>
          <w:rPr>
            <w:rStyle w:val="Hyperlink"/>
          </w:rPr>
          <w:t xml:space="preserve">https://doi.org/10.1016/j.quascirev.2021.106995</w:t>
        </w:r>
      </w:hyperlink>
      <w:r>
        <w:t xml:space="preserve">.</w:t>
      </w:r>
    </w:p>
    <w:bookmarkEnd w:id="300"/>
    <w:bookmarkStart w:id="302"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1">
        <w:r>
          <w:rPr>
            <w:rStyle w:val="Hyperlink"/>
          </w:rPr>
          <w:t xml:space="preserve">https://doi.org/10.1007/s41982-017-0004-4</w:t>
        </w:r>
      </w:hyperlink>
      <w:r>
        <w:t xml:space="preserve">.</w:t>
      </w:r>
    </w:p>
    <w:bookmarkEnd w:id="302"/>
    <w:bookmarkStart w:id="304"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3">
        <w:r>
          <w:rPr>
            <w:rStyle w:val="Hyperlink"/>
          </w:rPr>
          <w:t xml:space="preserve">https://doi.org/10.30861/9781841718309</w:t>
        </w:r>
      </w:hyperlink>
      <w:r>
        <w:t xml:space="preserve">.</w:t>
      </w:r>
    </w:p>
    <w:bookmarkEnd w:id="304"/>
    <w:bookmarkStart w:id="306"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5">
        <w:r>
          <w:rPr>
            <w:rStyle w:val="Hyperlink"/>
          </w:rPr>
          <w:t xml:space="preserve">https://doi.org/10.1016/j.jhevol.2011.06.005</w:t>
        </w:r>
      </w:hyperlink>
      <w:r>
        <w:t xml:space="preserve">.</w:t>
      </w:r>
    </w:p>
    <w:bookmarkEnd w:id="306"/>
    <w:bookmarkStart w:id="308"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7">
        <w:r>
          <w:rPr>
            <w:rStyle w:val="Hyperlink"/>
          </w:rPr>
          <w:t xml:space="preserve">https://doi.org/10.1002/jqs.3236</w:t>
        </w:r>
      </w:hyperlink>
      <w:r>
        <w:t xml:space="preserve">.</w:t>
      </w:r>
    </w:p>
    <w:bookmarkEnd w:id="308"/>
    <w:bookmarkStart w:id="309"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09"/>
    <w:bookmarkStart w:id="311"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0">
        <w:r>
          <w:rPr>
            <w:rStyle w:val="Hyperlink"/>
          </w:rPr>
          <w:t xml:space="preserve">https://doi.org/10.1007/978-3-211-49294-9_4</w:t>
        </w:r>
      </w:hyperlink>
      <w:r>
        <w:t xml:space="preserve">.</w:t>
      </w:r>
    </w:p>
    <w:bookmarkEnd w:id="311"/>
    <w:bookmarkStart w:id="313"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2">
        <w:r>
          <w:rPr>
            <w:rStyle w:val="Hyperlink"/>
          </w:rPr>
          <w:t xml:space="preserve">https://doi.org/10.1038/nature03585</w:t>
        </w:r>
      </w:hyperlink>
      <w:r>
        <w:t xml:space="preserve">.</w:t>
      </w:r>
    </w:p>
    <w:bookmarkEnd w:id="313"/>
    <w:bookmarkStart w:id="315"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4">
        <w:r>
          <w:rPr>
            <w:rStyle w:val="Hyperlink"/>
          </w:rPr>
          <w:t xml:space="preserve">https://doi.org/10.1007/s41982-025-00246-x</w:t>
        </w:r>
      </w:hyperlink>
      <w:r>
        <w:t xml:space="preserve">.</w:t>
      </w:r>
    </w:p>
    <w:bookmarkEnd w:id="315"/>
    <w:bookmarkStart w:id="317"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16">
        <w:r>
          <w:rPr>
            <w:rStyle w:val="Hyperlink"/>
          </w:rPr>
          <w:t xml:space="preserve">https://doi.org/10.1088/1742-5468/2008/10/P10008</w:t>
        </w:r>
      </w:hyperlink>
      <w:r>
        <w:t xml:space="preserve">.</w:t>
      </w:r>
    </w:p>
    <w:bookmarkEnd w:id="317"/>
    <w:bookmarkStart w:id="319"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18">
        <w:r>
          <w:rPr>
            <w:rStyle w:val="Hyperlink"/>
          </w:rPr>
          <w:t xml:space="preserve">https://doi.org/10.1103/PhysRevE.69.026113</w:t>
        </w:r>
      </w:hyperlink>
      <w:r>
        <w:t xml:space="preserve">.</w:t>
      </w:r>
    </w:p>
    <w:bookmarkEnd w:id="319"/>
    <w:bookmarkStart w:id="321"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0">
        <w:r>
          <w:rPr>
            <w:rStyle w:val="Hyperlink"/>
          </w:rPr>
          <w:t xml:space="preserve">https://doi.org/10.1016/j.socnet.2020.11.005</w:t>
        </w:r>
      </w:hyperlink>
      <w:r>
        <w:t xml:space="preserve">.</w:t>
      </w:r>
    </w:p>
    <w:bookmarkEnd w:id="321"/>
    <w:bookmarkStart w:id="323"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2">
        <w:r>
          <w:rPr>
            <w:rStyle w:val="Hyperlink"/>
          </w:rPr>
          <w:t xml:space="preserve">https://doi.org/10.1198/108571102320</w:t>
        </w:r>
      </w:hyperlink>
      <w:r>
        <w:t xml:space="preserve">.</w:t>
      </w:r>
    </w:p>
    <w:bookmarkEnd w:id="323"/>
    <w:bookmarkStart w:id="325"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24">
        <w:r>
          <w:rPr>
            <w:rStyle w:val="Hyperlink"/>
          </w:rPr>
          <w:t xml:space="preserve">https://doi.org/10.1007/s11258-006-9126-3</w:t>
        </w:r>
      </w:hyperlink>
      <w:r>
        <w:t xml:space="preserve">.</w:t>
      </w:r>
    </w:p>
    <w:bookmarkEnd w:id="325"/>
    <w:bookmarkStart w:id="327"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26">
        <w:r>
          <w:rPr>
            <w:rStyle w:val="Hyperlink"/>
          </w:rPr>
          <w:t xml:space="preserve">https://doi.org/10.1023/A:1023949509487</w:t>
        </w:r>
      </w:hyperlink>
      <w:r>
        <w:t xml:space="preserve">.</w:t>
      </w:r>
    </w:p>
    <w:bookmarkEnd w:id="327"/>
    <w:bookmarkStart w:id="329"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28">
        <w:r>
          <w:rPr>
            <w:rStyle w:val="Hyperlink"/>
          </w:rPr>
          <w:t xml:space="preserve">https://doi.org/10.48550/arXiv.1602.07587</w:t>
        </w:r>
      </w:hyperlink>
      <w:r>
        <w:t xml:space="preserve">.</w:t>
      </w:r>
    </w:p>
    <w:bookmarkEnd w:id="329"/>
    <w:bookmarkStart w:id="331"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0">
        <w:r>
          <w:rPr>
            <w:rStyle w:val="Hyperlink"/>
          </w:rPr>
          <w:t xml:space="preserve">https://doi.org/10.1007/BF01908075</w:t>
        </w:r>
      </w:hyperlink>
      <w:r>
        <w:t xml:space="preserve">.</w:t>
      </w:r>
    </w:p>
    <w:bookmarkEnd w:id="331"/>
    <w:bookmarkStart w:id="333"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2">
        <w:r>
          <w:rPr>
            <w:rStyle w:val="Hyperlink"/>
          </w:rPr>
          <w:t xml:space="preserve">https://doi.org/10.1038/ncomms5114</w:t>
        </w:r>
      </w:hyperlink>
      <w:r>
        <w:t xml:space="preserve">.</w:t>
      </w:r>
    </w:p>
    <w:bookmarkEnd w:id="333"/>
    <w:bookmarkStart w:id="335"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34">
        <w:r>
          <w:rPr>
            <w:rStyle w:val="Hyperlink"/>
          </w:rPr>
          <w:t xml:space="preserve">https://doi.org/10.1080/01621459.2022.2116331</w:t>
        </w:r>
      </w:hyperlink>
      <w:r>
        <w:t xml:space="preserve">.</w:t>
      </w:r>
    </w:p>
    <w:bookmarkEnd w:id="335"/>
    <w:bookmarkStart w:id="337"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36">
        <w:r>
          <w:rPr>
            <w:rStyle w:val="Hyperlink"/>
          </w:rPr>
          <w:t xml:space="preserve">https://doi.org/10.1093/biostatistics/kxac047</w:t>
        </w:r>
      </w:hyperlink>
      <w:r>
        <w:t xml:space="preserve">.</w:t>
      </w:r>
    </w:p>
    <w:bookmarkEnd w:id="337"/>
    <w:bookmarkStart w:id="339"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338">
        <w:r>
          <w:rPr>
            <w:rStyle w:val="Hyperlink"/>
          </w:rPr>
          <w:t xml:space="preserve">https://doi.org/10.1890/11-1952.1</w:t>
        </w:r>
      </w:hyperlink>
      <w:r>
        <w:t xml:space="preserve">.</w:t>
      </w:r>
    </w:p>
    <w:bookmarkEnd w:id="339"/>
    <w:bookmarkStart w:id="341"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40">
        <w:r>
          <w:rPr>
            <w:rStyle w:val="Hyperlink"/>
          </w:rPr>
          <w:t xml:space="preserve">https://doi.org/10.1046/j.1461-0248.2001.00230.x</w:t>
        </w:r>
      </w:hyperlink>
      <w:r>
        <w:t xml:space="preserve">.</w:t>
      </w:r>
    </w:p>
    <w:bookmarkEnd w:id="341"/>
    <w:bookmarkStart w:id="343"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42">
        <w:r>
          <w:rPr>
            <w:rStyle w:val="Hyperlink"/>
          </w:rPr>
          <w:t xml:space="preserve">https://doi.org/10.1111/2041-210X.12613</w:t>
        </w:r>
      </w:hyperlink>
      <w:r>
        <w:t xml:space="preserve">.</w:t>
      </w:r>
    </w:p>
    <w:bookmarkEnd w:id="343"/>
    <w:bookmarkStart w:id="345"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344">
        <w:r>
          <w:rPr>
            <w:rStyle w:val="Hyperlink"/>
          </w:rPr>
          <w:t xml:space="preserve">https://doi.org/10.1007/978-0-387-21706-2</w:t>
        </w:r>
      </w:hyperlink>
      <w:r>
        <w:t xml:space="preserve">.</w:t>
      </w:r>
    </w:p>
    <w:bookmarkEnd w:id="345"/>
    <w:bookmarkStart w:id="347"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46">
        <w:r>
          <w:rPr>
            <w:rStyle w:val="Hyperlink"/>
          </w:rPr>
          <w:t xml:space="preserve">https://doi.org/10.1073/pnas.2520385123</w:t>
        </w:r>
      </w:hyperlink>
      <w:r>
        <w:t xml:space="preserve">.</w:t>
      </w:r>
    </w:p>
    <w:bookmarkEnd w:id="347"/>
    <w:bookmarkStart w:id="349" w:name="ref-Hoenig_Heisey_2001"/>
    <w:p>
      <w:pPr>
        <w:pStyle w:val="Bibliography"/>
      </w:pPr>
      <w:r>
        <w:t xml:space="preserve">[28]</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48">
        <w:r>
          <w:rPr>
            <w:rStyle w:val="Hyperlink"/>
          </w:rPr>
          <w:t xml:space="preserve">https://doi.org/10.1198/000313001300339897</w:t>
        </w:r>
      </w:hyperlink>
      <w:r>
        <w:t xml:space="preserve">.</w:t>
      </w:r>
    </w:p>
    <w:bookmarkEnd w:id="349"/>
    <w:bookmarkStart w:id="351" w:name="ref-Cohen_1992"/>
    <w:p>
      <w:pPr>
        <w:pStyle w:val="Bibliography"/>
      </w:pPr>
      <w:r>
        <w:t xml:space="preserve">[29]</w:t>
      </w:r>
      <w:r>
        <w:t xml:space="preserve"> </w:t>
      </w:r>
      <w:r>
        <w:t xml:space="preserve">	</w:t>
      </w:r>
      <w:r>
        <w:t xml:space="preserve">Cohen J. A power primer. Psychological Bulletin 1992;112:155–9.</w:t>
      </w:r>
      <w:r>
        <w:t xml:space="preserve"> </w:t>
      </w:r>
      <w:hyperlink r:id="rId350">
        <w:r>
          <w:rPr>
            <w:rStyle w:val="Hyperlink"/>
          </w:rPr>
          <w:t xml:space="preserve">https://doi.org/10.1037/0033-2909.112.1.155</w:t>
        </w:r>
      </w:hyperlink>
      <w:r>
        <w:t xml:space="preserve">.</w:t>
      </w:r>
    </w:p>
    <w:bookmarkEnd w:id="351"/>
    <w:bookmarkStart w:id="353" w:name="ref-Legendre_2015"/>
    <w:p>
      <w:pPr>
        <w:pStyle w:val="Bibliography"/>
      </w:pPr>
      <w:r>
        <w:t xml:space="preserve">[30]</w:t>
      </w:r>
      <w:r>
        <w:t xml:space="preserve"> </w:t>
      </w:r>
      <w:r>
        <w:t xml:space="preserve">	</w:t>
      </w:r>
      <w:r>
        <w:t xml:space="preserve">Legendre P, Fortin M-J, Borcard D. Should the mantel test be used in spatial analysis? Methods in Ecology and Evolution 2015;6:1239–47.</w:t>
      </w:r>
      <w:r>
        <w:t xml:space="preserve"> </w:t>
      </w:r>
      <w:hyperlink r:id="rId352">
        <w:r>
          <w:rPr>
            <w:rStyle w:val="Hyperlink"/>
          </w:rPr>
          <w:t xml:space="preserve">https://doi.org/10.1111/2041-210X.12425</w:t>
        </w:r>
      </w:hyperlink>
      <w:r>
        <w:t xml:space="preserve">.</w:t>
      </w:r>
    </w:p>
    <w:bookmarkEnd w:id="353"/>
    <w:bookmarkStart w:id="355" w:name="ref-Guillot_Rousset_2013"/>
    <w:p>
      <w:pPr>
        <w:pStyle w:val="Bibliography"/>
      </w:pPr>
      <w:r>
        <w:t xml:space="preserve">[31]</w:t>
      </w:r>
      <w:r>
        <w:t xml:space="preserve"> </w:t>
      </w:r>
      <w:r>
        <w:t xml:space="preserve">	</w:t>
      </w:r>
      <w:r>
        <w:t xml:space="preserve">Guillot G, Rousset F. Dismantling the mantel tests. Methods in Ecology and Evolution 2013;4:336–44.</w:t>
      </w:r>
      <w:r>
        <w:t xml:space="preserve"> </w:t>
      </w:r>
      <w:hyperlink r:id="rId354">
        <w:r>
          <w:rPr>
            <w:rStyle w:val="Hyperlink"/>
          </w:rPr>
          <w:t xml:space="preserve">https://doi.org/10.1111/2041-210X.12018</w:t>
        </w:r>
      </w:hyperlink>
      <w:r>
        <w:t xml:space="preserve">.</w:t>
      </w:r>
    </w:p>
    <w:bookmarkEnd w:id="355"/>
    <w:bookmarkStart w:id="357" w:name="ref-Anderson_Walsh_2013"/>
    <w:p>
      <w:pPr>
        <w:pStyle w:val="Bibliography"/>
      </w:pPr>
      <w:r>
        <w:t xml:space="preserve">[32]</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56">
        <w:r>
          <w:rPr>
            <w:rStyle w:val="Hyperlink"/>
          </w:rPr>
          <w:t xml:space="preserve">https://doi.org/10.1890/12-2010.1</w:t>
        </w:r>
      </w:hyperlink>
      <w:r>
        <w:t xml:space="preserve">.</w:t>
      </w:r>
    </w:p>
    <w:bookmarkEnd w:id="357"/>
    <w:bookmarkEnd w:id="358"/>
    <w:bookmarkEnd w:id="359"/>
    <w:bookmarkEnd w:id="360"/>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38" Target="media/rId238.png" /><Relationship Type="http://schemas.openxmlformats.org/officeDocument/2006/relationships/image" Id="rId267" Target="media/rId267.png" /><Relationship Type="http://schemas.openxmlformats.org/officeDocument/2006/relationships/image" Id="rId288" Target="media/rId288.png" /><Relationship Type="http://schemas.openxmlformats.org/officeDocument/2006/relationships/image" Id="rId255" Target="media/rId255.png" /><Relationship Type="http://schemas.openxmlformats.org/officeDocument/2006/relationships/image" Id="rId247" Target="media/rId247.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hyperlink" Id="rId307" Target="https://doi.org/10.1002/jqs.3236" TargetMode="External" /><Relationship Type="http://schemas.openxmlformats.org/officeDocument/2006/relationships/hyperlink" Id="rId344" Target="https://doi.org/10.1007/978-0-387-21706-2" TargetMode="External" /><Relationship Type="http://schemas.openxmlformats.org/officeDocument/2006/relationships/hyperlink" Id="rId310" Target="https://doi.org/10.1007/978-3-211-49294-9_4" TargetMode="External" /><Relationship Type="http://schemas.openxmlformats.org/officeDocument/2006/relationships/hyperlink" Id="rId330" Target="https://doi.org/10.1007/BF01908075" TargetMode="External" /><Relationship Type="http://schemas.openxmlformats.org/officeDocument/2006/relationships/hyperlink" Id="rId324" Target="https://doi.org/10.1007/s11258-006-9126-3" TargetMode="External" /><Relationship Type="http://schemas.openxmlformats.org/officeDocument/2006/relationships/hyperlink" Id="rId301" Target="https://doi.org/10.1007/s41982-017-0004-4" TargetMode="External" /><Relationship Type="http://schemas.openxmlformats.org/officeDocument/2006/relationships/hyperlink" Id="rId314" Target="https://doi.org/10.1007/s41982-025-00246-x" TargetMode="External" /><Relationship Type="http://schemas.openxmlformats.org/officeDocument/2006/relationships/hyperlink" Id="rId305" Target="https://doi.org/10.1016/j.jhevol.2011.06.005" TargetMode="External" /><Relationship Type="http://schemas.openxmlformats.org/officeDocument/2006/relationships/hyperlink" Id="rId299" Target="https://doi.org/10.1016/j.quascirev.2021.106995" TargetMode="External" /><Relationship Type="http://schemas.openxmlformats.org/officeDocument/2006/relationships/hyperlink" Id="rId320" Target="https://doi.org/10.1016/j.socnet.2020.11.005" TargetMode="External" /><Relationship Type="http://schemas.openxmlformats.org/officeDocument/2006/relationships/hyperlink" Id="rId326" Target="https://doi.org/10.1023/A:1023949509487" TargetMode="External" /><Relationship Type="http://schemas.openxmlformats.org/officeDocument/2006/relationships/hyperlink" Id="rId350" Target="https://doi.org/10.1037/0033-2909.112.1.155" TargetMode="External" /><Relationship Type="http://schemas.openxmlformats.org/officeDocument/2006/relationships/hyperlink" Id="rId312" Target="https://doi.org/10.1038/nature03585" TargetMode="External" /><Relationship Type="http://schemas.openxmlformats.org/officeDocument/2006/relationships/hyperlink" Id="rId332" Target="https://doi.org/10.1038/ncomms5114" TargetMode="External" /><Relationship Type="http://schemas.openxmlformats.org/officeDocument/2006/relationships/hyperlink" Id="rId340" Target="https://doi.org/10.1046/j.1461-0248.2001.00230.x" TargetMode="External" /><Relationship Type="http://schemas.openxmlformats.org/officeDocument/2006/relationships/hyperlink" Id="rId346" Target="https://doi.org/10.1073/pnas.2520385123" TargetMode="External" /><Relationship Type="http://schemas.openxmlformats.org/officeDocument/2006/relationships/hyperlink" Id="rId334" Target="https://doi.org/10.1080/01621459.2022.2116331" TargetMode="External" /><Relationship Type="http://schemas.openxmlformats.org/officeDocument/2006/relationships/hyperlink" Id="rId316" Target="https://doi.org/10.1088/1742-5468/2008/10/P10008" TargetMode="External" /><Relationship Type="http://schemas.openxmlformats.org/officeDocument/2006/relationships/hyperlink" Id="rId336" Target="https://doi.org/10.1093/biostatistics/kxac047" TargetMode="External" /><Relationship Type="http://schemas.openxmlformats.org/officeDocument/2006/relationships/hyperlink" Id="rId318" Target="https://doi.org/10.1103/PhysRevE.69.026113" TargetMode="External" /><Relationship Type="http://schemas.openxmlformats.org/officeDocument/2006/relationships/hyperlink" Id="rId354" Target="https://doi.org/10.1111/2041-210X.12018" TargetMode="External" /><Relationship Type="http://schemas.openxmlformats.org/officeDocument/2006/relationships/hyperlink" Id="rId352" Target="https://doi.org/10.1111/2041-210X.12425" TargetMode="External" /><Relationship Type="http://schemas.openxmlformats.org/officeDocument/2006/relationships/hyperlink" Id="rId342" Target="https://doi.org/10.1111/2041-210X.12613" TargetMode="External" /><Relationship Type="http://schemas.openxmlformats.org/officeDocument/2006/relationships/hyperlink" Id="rId348" Target="https://doi.org/10.1198/000313001300339897" TargetMode="External" /><Relationship Type="http://schemas.openxmlformats.org/officeDocument/2006/relationships/hyperlink" Id="rId322" Target="https://doi.org/10.1198/108571102320" TargetMode="External" /><Relationship Type="http://schemas.openxmlformats.org/officeDocument/2006/relationships/hyperlink" Id="rId295" Target="https://doi.org/10.18637/jss.v022.i07" TargetMode="External" /><Relationship Type="http://schemas.openxmlformats.org/officeDocument/2006/relationships/hyperlink" Id="rId297" Target="https://doi.org/10.1890/0012-9615(1999)069[0001:DBRATM]2.0.CO;2" TargetMode="External" /><Relationship Type="http://schemas.openxmlformats.org/officeDocument/2006/relationships/hyperlink" Id="rId338" Target="https://doi.org/10.1890/11-1952.1" TargetMode="External" /><Relationship Type="http://schemas.openxmlformats.org/officeDocument/2006/relationships/hyperlink" Id="rId356" Target="https://doi.org/10.1890/12-2010.1" TargetMode="External" /><Relationship Type="http://schemas.openxmlformats.org/officeDocument/2006/relationships/hyperlink" Id="rId303" Target="https://doi.org/10.30861/9781841718309" TargetMode="External" /><Relationship Type="http://schemas.openxmlformats.org/officeDocument/2006/relationships/hyperlink" Id="rId328"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7" Target="https://doi.org/10.1002/jqs.3236" TargetMode="External" /><Relationship Type="http://schemas.openxmlformats.org/officeDocument/2006/relationships/hyperlink" Id="rId344" Target="https://doi.org/10.1007/978-0-387-21706-2" TargetMode="External" /><Relationship Type="http://schemas.openxmlformats.org/officeDocument/2006/relationships/hyperlink" Id="rId310" Target="https://doi.org/10.1007/978-3-211-49294-9_4" TargetMode="External" /><Relationship Type="http://schemas.openxmlformats.org/officeDocument/2006/relationships/hyperlink" Id="rId330" Target="https://doi.org/10.1007/BF01908075" TargetMode="External" /><Relationship Type="http://schemas.openxmlformats.org/officeDocument/2006/relationships/hyperlink" Id="rId324" Target="https://doi.org/10.1007/s11258-006-9126-3" TargetMode="External" /><Relationship Type="http://schemas.openxmlformats.org/officeDocument/2006/relationships/hyperlink" Id="rId301" Target="https://doi.org/10.1007/s41982-017-0004-4" TargetMode="External" /><Relationship Type="http://schemas.openxmlformats.org/officeDocument/2006/relationships/hyperlink" Id="rId314" Target="https://doi.org/10.1007/s41982-025-00246-x" TargetMode="External" /><Relationship Type="http://schemas.openxmlformats.org/officeDocument/2006/relationships/hyperlink" Id="rId305" Target="https://doi.org/10.1016/j.jhevol.2011.06.005" TargetMode="External" /><Relationship Type="http://schemas.openxmlformats.org/officeDocument/2006/relationships/hyperlink" Id="rId299" Target="https://doi.org/10.1016/j.quascirev.2021.106995" TargetMode="External" /><Relationship Type="http://schemas.openxmlformats.org/officeDocument/2006/relationships/hyperlink" Id="rId320" Target="https://doi.org/10.1016/j.socnet.2020.11.005" TargetMode="External" /><Relationship Type="http://schemas.openxmlformats.org/officeDocument/2006/relationships/hyperlink" Id="rId326" Target="https://doi.org/10.1023/A:1023949509487" TargetMode="External" /><Relationship Type="http://schemas.openxmlformats.org/officeDocument/2006/relationships/hyperlink" Id="rId350" Target="https://doi.org/10.1037/0033-2909.112.1.155" TargetMode="External" /><Relationship Type="http://schemas.openxmlformats.org/officeDocument/2006/relationships/hyperlink" Id="rId312" Target="https://doi.org/10.1038/nature03585" TargetMode="External" /><Relationship Type="http://schemas.openxmlformats.org/officeDocument/2006/relationships/hyperlink" Id="rId332" Target="https://doi.org/10.1038/ncomms5114" TargetMode="External" /><Relationship Type="http://schemas.openxmlformats.org/officeDocument/2006/relationships/hyperlink" Id="rId340" Target="https://doi.org/10.1046/j.1461-0248.2001.00230.x" TargetMode="External" /><Relationship Type="http://schemas.openxmlformats.org/officeDocument/2006/relationships/hyperlink" Id="rId346" Target="https://doi.org/10.1073/pnas.2520385123" TargetMode="External" /><Relationship Type="http://schemas.openxmlformats.org/officeDocument/2006/relationships/hyperlink" Id="rId334" Target="https://doi.org/10.1080/01621459.2022.2116331" TargetMode="External" /><Relationship Type="http://schemas.openxmlformats.org/officeDocument/2006/relationships/hyperlink" Id="rId316" Target="https://doi.org/10.1088/1742-5468/2008/10/P10008" TargetMode="External" /><Relationship Type="http://schemas.openxmlformats.org/officeDocument/2006/relationships/hyperlink" Id="rId336" Target="https://doi.org/10.1093/biostatistics/kxac047" TargetMode="External" /><Relationship Type="http://schemas.openxmlformats.org/officeDocument/2006/relationships/hyperlink" Id="rId318" Target="https://doi.org/10.1103/PhysRevE.69.026113" TargetMode="External" /><Relationship Type="http://schemas.openxmlformats.org/officeDocument/2006/relationships/hyperlink" Id="rId354" Target="https://doi.org/10.1111/2041-210X.12018" TargetMode="External" /><Relationship Type="http://schemas.openxmlformats.org/officeDocument/2006/relationships/hyperlink" Id="rId352" Target="https://doi.org/10.1111/2041-210X.12425" TargetMode="External" /><Relationship Type="http://schemas.openxmlformats.org/officeDocument/2006/relationships/hyperlink" Id="rId342" Target="https://doi.org/10.1111/2041-210X.12613" TargetMode="External" /><Relationship Type="http://schemas.openxmlformats.org/officeDocument/2006/relationships/hyperlink" Id="rId348" Target="https://doi.org/10.1198/000313001300339897" TargetMode="External" /><Relationship Type="http://schemas.openxmlformats.org/officeDocument/2006/relationships/hyperlink" Id="rId322" Target="https://doi.org/10.1198/108571102320" TargetMode="External" /><Relationship Type="http://schemas.openxmlformats.org/officeDocument/2006/relationships/hyperlink" Id="rId295" Target="https://doi.org/10.18637/jss.v022.i07" TargetMode="External" /><Relationship Type="http://schemas.openxmlformats.org/officeDocument/2006/relationships/hyperlink" Id="rId297" Target="https://doi.org/10.1890/0012-9615(1999)069[0001:DBRATM]2.0.CO;2" TargetMode="External" /><Relationship Type="http://schemas.openxmlformats.org/officeDocument/2006/relationships/hyperlink" Id="rId338" Target="https://doi.org/10.1890/11-1952.1" TargetMode="External" /><Relationship Type="http://schemas.openxmlformats.org/officeDocument/2006/relationships/hyperlink" Id="rId356" Target="https://doi.org/10.1890/12-2010.1" TargetMode="External" /><Relationship Type="http://schemas.openxmlformats.org/officeDocument/2006/relationships/hyperlink" Id="rId303" Target="https://doi.org/10.30861/9781841718309" TargetMode="External" /><Relationship Type="http://schemas.openxmlformats.org/officeDocument/2006/relationships/hyperlink" Id="rId328"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2026-10-04T01:55:27Z</dcterms:created>
  <dcterms:modified xsi:type="dcterms:W3CDTF">2026-10-04T01:55:27Z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