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the</w:t>
      </w:r>
      <w:r>
        <w:t xml:space="preserve"> </w:t>
      </w:r>
      <w:r>
        <w:rPr>
          <w:rStyle w:val="VerbatimChar"/>
        </w:rPr>
        <w:t xml:space="preserve">rcarbon::calibrate()</w:t>
      </w:r>
      <w:r>
        <w:t xml:space="preserve"> </w:t>
      </w:r>
      <w:r>
        <w:t xml:space="preserve">function returns</w:t>
      </w:r>
      <w:r>
        <w:t xml:space="preserve"> </w:t>
      </w:r>
      <w:r>
        <w:rPr>
          <w:rStyle w:val="VerbatimChar"/>
        </w:rPr>
        <w:t xml:space="preserve">NA</w:t>
      </w:r>
      <w:r>
        <w:t xml:space="preserve"> </w:t>
      </w:r>
      <w:r>
        <w:t xml:space="preserve">for the older-end calibrated median.</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2026-09-04T01:51:05Z</dcterms:created>
  <dcterms:modified xsi:type="dcterms:W3CDTF">2026-09-04T01:51:05Z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