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32.png" ContentType="image/png"/>
  <Override PartName="/word/media/rId24.png" ContentType="image/png"/>
  <Override PartName="/word/media/rId73.png" ContentType="image/png"/>
  <Override PartName="/word/media/rId95.png" ContentType="image/png"/>
  <Override PartName="/word/media/rId98.png" ContentType="image/png"/>
  <Override PartName="/word/media/rId101.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4: Reference: network statistics under the two-phase periodisation used in the main text (threshold = 0.2). Aur-P1 = Proto + Early; Aur-P2 = Evolved.</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5: Network statistics for the technology-assigned components of the two-phase baseline (Proto-Aurignacian, Early Aurignacian, Evolved Aurignacian) at threshold = 0.2. Aur-P1 = Proto + Early; Aur-P2 = Evolved.</w:t>
            </w:r>
          </w:p>
          <w:bookmarkEnd w:id="44"/>
        </w:tc>
      </w:tr>
    </w:tbl>
    <w:bookmarkEnd w:id="45"/>
    <w:bookmarkStart w:id="48"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6</w:t>
                  </w:r>
                </w:p>
              </w:tc>
              <w:tc>
                <w:tcPr/>
                <w:p>
                  <w:pPr>
                    <w:pStyle w:val="Compact"/>
                    <w:jc w:val="right"/>
                    <w:jc w:val="center"/>
                  </w:pPr>
                  <w:r>
                    <w:t xml:space="preserve">11</w:t>
                  </w:r>
                </w:p>
              </w:tc>
              <w:tc>
                <w:tcPr/>
                <w:p>
                  <w:pPr>
                    <w:pStyle w:val="Compact"/>
                    <w:jc w:val="right"/>
                    <w:jc w:val="center"/>
                  </w:pPr>
                  <w:r>
                    <w:t xml:space="preserve">0.733</w:t>
                  </w:r>
                </w:p>
              </w:tc>
              <w:tc>
                <w:tcPr/>
                <w:p>
                  <w:pPr>
                    <w:pStyle w:val="Compact"/>
                    <w:jc w:val="right"/>
                    <w:jc w:val="center"/>
                  </w:pPr>
                  <w:r>
                    <w:t xml:space="preserve">3.67</w:t>
                  </w:r>
                </w:p>
              </w:tc>
              <w:tc>
                <w:tcPr/>
                <w:p>
                  <w:pPr>
                    <w:pStyle w:val="Compact"/>
                    <w:jc w:val="right"/>
                    <w:jc w:val="center"/>
                  </w:pPr>
                  <w:r>
                    <w:t xml:space="preserve">0.727</w:t>
                  </w:r>
                </w:p>
              </w:tc>
              <w:tc>
                <w:tcPr/>
                <w:p>
                  <w:pPr>
                    <w:pStyle w:val="Compact"/>
                    <w:jc w:val="right"/>
                    <w:jc w:val="center"/>
                  </w:pPr>
                  <w:r>
                    <w:t xml:space="preserve">0.019</w:t>
                  </w:r>
                </w:p>
              </w:tc>
            </w:tr>
            <w:tr>
              <w:tc>
                <w:tcPr/>
                <w:p>
                  <w:pPr>
                    <w:pStyle w:val="Compact"/>
                    <w:jc w:val="left"/>
                    <w:jc w:val="center"/>
                  </w:pPr>
                  <w:r>
                    <w:t xml:space="preserve">Late Aurignacian (35-32 ka BP)</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0.167</w:t>
                  </w:r>
                </w:p>
              </w:tc>
              <w:tc>
                <w:tcPr/>
                <w:p>
                  <w:pPr>
                    <w:pStyle w:val="Compact"/>
                    <w:jc w:val="right"/>
                    <w:jc w:val="center"/>
                  </w:pPr>
                  <w:r>
                    <w:t xml:space="preserve">0.50</w:t>
                  </w:r>
                </w:p>
              </w:tc>
              <w:tc>
                <w:tcPr/>
                <w:p>
                  <w:pPr>
                    <w:pStyle w:val="Compact"/>
                    <w:jc w:val="right"/>
                    <w:jc w:val="center"/>
                  </w:pPr>
                  <w:r>
                    <w:t xml:space="preserve">NaN</w:t>
                  </w:r>
                </w:p>
              </w:tc>
              <w:tc>
                <w:tcPr/>
                <w:p>
                  <w:pPr>
                    <w:pStyle w:val="Compact"/>
                    <w:jc w:val="right"/>
                    <w:jc w:val="center"/>
                  </w:pPr>
                  <w:r>
                    <w:t xml:space="preserve">0.000</w:t>
                  </w:r>
                </w:p>
              </w:tc>
            </w:tr>
          </w:tbl>
          <w:p>
            <w:pPr>
              <w:jc w:val="center"/>
            </w:pPr>
            <w:pPr>
              <w:jc w:val="start"/>
              <w:spacing w:before="200"/>
              <w:pStyle w:val="ImageCaption"/>
            </w:pPr>
            <w:r>
              <w:t xml:space="preserve">Table 6: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11 edges and a mean degree of 3.67 across 6 sites, while the Late Aurignacian (35–32 ka BP) is severely data-limited: with only 4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7"/>
    <w:bookmarkEnd w:id="48"/>
    <w:bookmarkEnd w:id="49"/>
    <w:bookmarkStart w:id="84" w:name="sec-s5"/>
    <w:p>
      <w:pPr>
        <w:pStyle w:val="Heading1"/>
      </w:pPr>
      <w:r>
        <w:t xml:space="preserve">S5. Automated Group Recovery and Circularity Validation</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resolves that circularity by deriving group memberships automatically from the data using unsupervised community detection.</w:t>
      </w:r>
    </w:p>
    <w:bookmarkStart w:id="54" w:name="sec-s5-1"/>
    <w:p>
      <w:pPr>
        <w:pStyle w:val="Heading2"/>
      </w:pPr>
      <w:r>
        <w:t xml:space="preserve">S5.1 Algorithmic Group Detection via Louvain Community Partitioning</w:t>
      </w:r>
    </w:p>
    <w:bookmarkStart w:id="53"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w:t>
      </w:r>
      <w:r>
        <w:t xml:space="preserve"> </w:t>
      </w:r>
      <w:r>
        <w:t xml:space="preserve">[3]</w:t>
      </w:r>
      <w:r>
        <w:t xml:space="preserve">. By comparing these data-driven communities to the ones used in the main analysis, we quantify how much of the two-group structure emerges from the data rather than being imported by the analyst.</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8: Adjusted Rand Index (ARI) between Louvain-derived communities and the manually assigned restricted/broad groups, by phase and threshold. ARI = 1.0 indicates identical partitions; ARI ≈ 0 indicates agreement no better than chance.</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9: PerMANOVA comparison: manual (restricted/broad) grouping versus Louvain-derived grouping. R², pseudo-F, and p-values for each phase and threshold.</w:t>
            </w:r>
          </w:p>
          <w:bookmarkEnd w:id="52"/>
        </w:tc>
      </w:tr>
    </w:tbl>
    <w:bookmarkEnd w:id="53"/>
    <w:bookmarkEnd w:id="54"/>
    <w:bookmarkStart w:id="59" w:name="s5.1-interpretation"/>
    <w:p>
      <w:pPr>
        <w:pStyle w:val="Heading2"/>
      </w:pPr>
      <w:r>
        <w:t xml:space="preserve">S5.1 Interpretation</w:t>
      </w:r>
    </w:p>
    <w:bookmarkStart w:id="5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7</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5"/>
    <w:bookmarkStart w:id="5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8</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56"/>
    <w:bookmarkStart w:id="5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9</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57"/>
    <w:bookmarkStart w:id="58" w:name="X2a7ab5b6ddbc111f037a228ac48d865d9d2fb2d"/>
    <w:p>
      <w:pPr>
        <w:pStyle w:val="Heading3"/>
      </w:pPr>
      <w:r>
        <w:t xml:space="preserve">Implications for the main-text circularity concern</w:t>
      </w:r>
    </w:p>
    <w:p>
      <w:pPr>
        <w:pStyle w:val="FirstParagraph"/>
      </w:pPr>
      <w:r>
        <w:t xml:space="preserve">These results directly address the concern that the restricted/broad grouping is circular: because the groups were defined by the analysts who also designed the seriation, the analysis might simply be recovering its own input. The ARI values demonstrate that the manual assignment closely reproduces a structure that emerges independently from the data in Aur-P1 (ARI = 0.798 at threshold 0.2), and that in Aur-P2 it reproduces the data-driven structure for the broad-range sites in particular (ARI = 0.556 at threshold 0.2, driven by Louvain’s exact recovery of the broad-range community). More importantly, the PerMANOVA comparison shows that the manual grouping is conservative rather than circular: the algorithmically derived partitions consistently explain more variance than the manual ones, meaning the main-text R² values (0.196 in Aur-P1 and 0.223 in Aur-P2) underestimate the true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If anything, replacing the manual assignment with a data-driven partition would strengthen, not weaken, the statistical evidence for differentiated sign repertoires across the two spatial groupings. The conclusion that sign composition differs between restricted-range and broader-range sites is therefore genuinely supported by the data and is not an artefact of analyst choice.</w:t>
      </w:r>
    </w:p>
    <w:bookmarkEnd w:id="58"/>
    <w:bookmarkEnd w:id="59"/>
    <w:bookmarkStart w:id="60"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0"/>
    <w:bookmarkStart w:id="61"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1"/>
    <w:bookmarkStart w:id="63"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0.028</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0.293</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0.234</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0.253</w:t>
                  </w:r>
                </w:p>
              </w:tc>
            </w:tr>
          </w:tbl>
          <w:p>
            <w:pPr>
              <w:jc w:val="center"/>
            </w:pPr>
            <w:pPr>
              <w:jc w:val="start"/>
              <w:spacing w:before="200"/>
              <w:pStyle w:val="ImageCaption"/>
            </w:pPr>
            <w:r>
              <w:t xml:space="preserve">Table 10: Observed modularity and null-model p-values for each Aurignacian phase at three Jaccard similarity thresholds.</w:t>
            </w:r>
          </w:p>
          <w:bookmarkEnd w:id="6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3"/>
    <w:bookmarkStart w:id="65"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11: Spearman correlations between node degree and site sign richness (number of distinct sign types) within each Aurignacian phase, at the baseline threshold of 0.2.</w:t>
            </w:r>
          </w:p>
          <w:bookmarkEnd w:id="6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5"/>
    <w:bookmarkStart w:id="72"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6"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12: Number of objects and sites within ±500 and ±1000 calibrated years of the single periodisation boundary at 37799 BP separating Aur-P1 from Aur-P2.</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13: Network statistics at the baseline threshold of 0.2 under shifts of the single Aur-P1/Aur-P2 boundary. Positive shifts move the boundary later (older objects reassigned to Aur-P2); negative shifts move it earlier (younger Aur-P2 objects reassigned to Aur-P1).</w:t>
            </w:r>
          </w:p>
          <w:bookmarkEnd w:id="67"/>
        </w:tc>
      </w:tr>
    </w:tbl>
    <w:bookmarkEnd w:id="68"/>
    <w:bookmarkStart w:id="69" w:name="diagnostic-interpretation"/>
    <w:p>
      <w:pPr>
        <w:pStyle w:val="Heading3"/>
      </w:pPr>
      <w:r>
        <w:t xml:space="preserve">Diagnostic interpretation</w:t>
      </w:r>
    </w:p>
    <w:p>
      <w:pPr>
        <w:pStyle w:val="FirstParagraph"/>
      </w:pPr>
      <w:r>
        <w:t xml:space="preserve">63 objects from 6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69"/>
    <w:bookmarkStart w:id="70"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0"/>
    <w:bookmarkStart w:id="71"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1"/>
    <w:bookmarkEnd w:id="72"/>
    <w:bookmarkStart w:id="77"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6" w:name="fig-threshold-sweep"/>
          <w:p>
            <w:pPr>
              <w:pStyle w:val="Compact"/>
              <w:jc w:val="center"/>
            </w:pPr>
            <w:r>
              <w:drawing>
                <wp:inline>
                  <wp:extent cx="5943600" cy="2971800"/>
                  <wp:effectExtent b="0" l="0" r="0" t="0"/>
                  <wp:docPr descr="" title="" id="74" name="Picture"/>
                  <a:graphic>
                    <a:graphicData uri="http://schemas.openxmlformats.org/drawingml/2006/picture">
                      <pic:pic>
                        <pic:nvPicPr>
                          <pic:cNvPr descr="S1-supplement-sensitivity_files/figure-docx/fig-threshold-sweep-1.png" id="75" name="Picture"/>
                          <pic:cNvPicPr>
                            <a:picLocks noChangeArrowheads="1" noChangeAspect="1"/>
                          </pic:cNvPicPr>
                        </pic:nvPicPr>
                        <pic:blipFill>
                          <a:blip r:embed="rId7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6"/>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77"/>
    <w:bookmarkStart w:id="79"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8"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11.40</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0.536</w:t>
                  </w:r>
                </w:p>
              </w:tc>
            </w:tr>
            <w:tr>
              <w:tc>
                <w:tcPr/>
                <w:p>
                  <w:pPr>
                    <w:pStyle w:val="Compact"/>
                    <w:jc w:val="left"/>
                    <w:jc w:val="center"/>
                  </w:pPr>
                  <w:r>
                    <w:t xml:space="preserve">Aur-P2</w:t>
                  </w:r>
                </w:p>
              </w:tc>
              <w:tc>
                <w:tcPr/>
                <w:p>
                  <w:pPr>
                    <w:pStyle w:val="Compact"/>
                    <w:jc w:val="center"/>
                    <w:jc w:val="center"/>
                  </w:pPr>
                  <w:r>
                    <w:t xml:space="preserve">4.67</w:t>
                  </w:r>
                </w:p>
              </w:tc>
              <w:tc>
                <w:tcPr/>
                <w:p>
                  <w:pPr>
                    <w:pStyle w:val="Compact"/>
                    <w:jc w:val="center"/>
                    <w:jc w:val="center"/>
                  </w:pPr>
                  <w:r>
                    <w:t xml:space="preserve">2.67</w:t>
                  </w:r>
                </w:p>
              </w:tc>
              <w:tc>
                <w:tcPr/>
                <w:p>
                  <w:pPr>
                    <w:pStyle w:val="Compact"/>
                    <w:jc w:val="center"/>
                    <w:jc w:val="center"/>
                  </w:pPr>
                  <w:r>
                    <w:t xml:space="preserve">7.11</w:t>
                  </w:r>
                </w:p>
              </w:tc>
              <w:tc>
                <w:tcPr/>
                <w:p>
                  <w:pPr>
                    <w:pStyle w:val="Compact"/>
                    <w:jc w:val="center"/>
                    <w:jc w:val="center"/>
                  </w:pPr>
                  <w:r>
                    <w:t xml:space="preserve">0.239</w:t>
                  </w:r>
                </w:p>
              </w:tc>
              <w:tc>
                <w:tcPr/>
                <w:p>
                  <w:pPr>
                    <w:pStyle w:val="Compact"/>
                    <w:jc w:val="center"/>
                    <w:jc w:val="center"/>
                  </w:pPr>
                  <w:r>
                    <w:t xml:space="preserve">0.052</w:t>
                  </w:r>
                </w:p>
              </w:tc>
              <w:tc>
                <w:tcPr/>
                <w:p>
                  <w:pPr>
                    <w:pStyle w:val="Compact"/>
                    <w:jc w:val="center"/>
                    <w:jc w:val="center"/>
                  </w:pPr>
                  <w:r>
                    <w:t xml:space="preserve">0.486</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8"/>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bookmarkEnd w:id="79"/>
    <w:bookmarkStart w:id="81"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0"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2 phases × 2 distance measures (4 tests total). Results with adjusted p &lt; 0.05 are highlighted.</w:t>
            </w:r>
          </w:p>
          <w:bookmarkEnd w:id="80"/>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1"/>
    <w:bookmarkStart w:id="83"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2"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2"/>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Aur-P1 (20 sites) has 122% more sites than Aur-P2 (9 sites), and larger networks mechanically produce higher mean degree and modularity even under random wiring. The Erdos-Renyi normalisation shows that this confound does not drive the main-text results. Mean degree ratios are reported for both phases (Aur-P1 1.00, Aur-P2 1.01), confirming whether the observed mean degrees are consistent with random expectation for networks of these sizes , noting that Erdos-Renyi preserves edge density, so a ratio near 1 does not mean the networks lack structure. The modularity ratios tell the real story: Aur-P1 (1.90) and Aur-P2 (1.27) are compared against the random expectation for a network of the same size, so any main-text claim that one phase is more internally structured than the other is evaluated net of the 20-versus-9 site asymmetry rather than as an artefact of it.</w:t>
      </w:r>
    </w:p>
    <w:bookmarkEnd w:id="83"/>
    <w:bookmarkEnd w:id="84"/>
    <w:bookmarkStart w:id="117" w:name="sec-s6"/>
    <w:p>
      <w:pPr>
        <w:pStyle w:val="Heading1"/>
      </w:pPr>
      <w:r>
        <w:t xml:space="preserve">S6. Robustness of the Two-Group Structure: Bootstrap Consensus and Stochastic Block Models</w:t>
      </w:r>
    </w:p>
    <w:bookmarkStart w:id="85" w:name="sec-s6-1"/>
    <w:p>
      <w:pPr>
        <w:pStyle w:val="Heading2"/>
      </w:pPr>
      <w:r>
        <w:t xml:space="preserve">S6.1 Rationale</w:t>
      </w:r>
    </w:p>
    <w:p>
      <w:pPr>
        <w:pStyle w:val="FirstParagraph"/>
      </w:pPr>
      <w:r>
        <w:t xml:space="preserve">The main-text claim that each phase resolves into two cultural groups , restricted-range versus broader-range sign repertoires ,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[4]</w:t>
      </w:r>
      <w:r>
        <w:t xml:space="preserve">,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bookmarkEnd w:id="85"/>
    <w:bookmarkStart w:id="94" w:name="sec-s6-2"/>
    <w:p>
      <w:pPr>
        <w:pStyle w:val="Heading2"/>
      </w:pPr>
      <w:r>
        <w:t xml:space="preserve">S6.2 Bootstrap Consensus Analysis</w:t>
      </w:r>
    </w:p>
    <w:bookmarkStart w:id="92" w:name="rationale-3"/>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8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0.90</w:t>
                  </w:r>
                </w:p>
              </w:tc>
              <w:tc>
                <w:tcPr/>
                <w:p>
                  <w:pPr>
                    <w:pStyle w:val="Compact"/>
                    <w:jc w:val="center"/>
                    <w:jc w:val="center"/>
                  </w:pPr>
                  <w:r>
                    <w:t xml:space="preserve">0.86</w:t>
                  </w:r>
                </w:p>
              </w:tc>
              <w:tc>
                <w:tcPr/>
                <w:p>
                  <w:pPr>
                    <w:pStyle w:val="Compact"/>
                    <w:jc w:val="center"/>
                    <w:jc w:val="center"/>
                  </w:pPr>
                  <w:r>
                    <w:t xml:space="preserve">0.26</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0.57</w:t>
                  </w:r>
                </w:p>
              </w:tc>
              <w:tc>
                <w:tcPr/>
                <w:p>
                  <w:pPr>
                    <w:pStyle w:val="Compact"/>
                    <w:jc w:val="center"/>
                    <w:jc w:val="center"/>
                  </w:pPr>
                  <w:r>
                    <w:t xml:space="preserve">0.83</w:t>
                  </w:r>
                </w:p>
              </w:tc>
              <w:tc>
                <w:tcPr/>
                <w:p>
                  <w:pPr>
                    <w:pStyle w:val="Compact"/>
                    <w:jc w:val="center"/>
                    <w:jc w:val="center"/>
                  </w:pPr>
                  <w:r>
                    <w:t xml:space="preserve">0.62</w:t>
                  </w:r>
                </w:p>
              </w:tc>
              <w:tc>
                <w:tcPr/>
                <w:p>
                  <w:pPr>
                    <w:pStyle w:val="Compact"/>
                    <w:jc w:val="center"/>
                    <w:jc w:val="center"/>
                  </w:pPr>
                  <w:r>
                    <w:t xml:space="preserve">0.37</w:t>
                  </w:r>
                </w:p>
              </w:tc>
            </w:tr>
          </w:tbl>
          <w:p>
            <w:pPr>
              <w:jc w:val="center"/>
            </w:pPr>
            <w:pPr>
              <w:jc w:val="start"/>
              <w:spacing w:before="200"/>
              <w:pStyle w:val="ImageCaption"/>
            </w:pPr>
            <w:r>
              <w:t xml:space="preserve">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8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0.66</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0.72</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0.83</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0.76</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0.81</w:t>
                  </w:r>
                </w:p>
              </w:tc>
            </w:tr>
          </w:tbl>
          <w:p>
            <w:pPr>
              <w:jc w:val="center"/>
            </w:pPr>
            <w:pPr>
              <w:jc w:val="start"/>
              <w:spacing w:before="200"/>
              <w:pStyle w:val="ImageCaption"/>
            </w:pPr>
            <w:r>
              <w:t xml:space="preserve">Table 18: Per-site bootstrap consistency: proportion of 1000 resamples in which each site is assigned to its modal (most frequent) block. Consistency near 1 indicates robust assignment; values near 0.5 indicate sites whose group membership flips across resamples.</w:t>
            </w:r>
          </w:p>
          <w:bookmarkEnd w:id="87"/>
        </w:tc>
      </w:tr>
    </w:tbl>
    <w:tbl>
      <w:tblPr>
        <w:tblStyle w:val="Table"/>
        <w:tblW w:type="pct" w:w="5000"/>
        <w:tblLook w:firstRow="0" w:lastRow="0" w:firstColumn="0" w:lastColumn="0" w:noHBand="0" w:noVBand="0" w:val="0000"/>
        <w:jc w:val="start"/>
        <w:tblLayout w:type="fixed"/>
      </w:tblPr>
      <w:tblGrid>
        <w:gridCol w:w="7920"/>
      </w:tblGrid>
      <w:tr>
        <w:tc>
          <w:tcPr/>
          <w:bookmarkStart w:id="91" w:name="fig-bootstrap-consensus"/>
          <w:p>
            <w:pPr>
              <w:pStyle w:val="Compact"/>
              <w:jc w:val="center"/>
            </w:pPr>
            <w:r>
              <w:drawing>
                <wp:inline>
                  <wp:extent cx="5943600" cy="6604000"/>
                  <wp:effectExtent b="0" l="0" r="0" t="0"/>
                  <wp:docPr descr="" title="" id="89" name="Picture"/>
                  <a:graphic>
                    <a:graphicData uri="http://schemas.openxmlformats.org/drawingml/2006/picture">
                      <pic:pic>
                        <pic:nvPicPr>
                          <pic:cNvPr descr="../figures/bootstrap-consensus-plot.png" id="90" name="Picture"/>
                          <pic:cNvPicPr>
                            <a:picLocks noChangeArrowheads="1" noChangeAspect="1"/>
                          </pic:cNvPicPr>
                        </pic:nvPicPr>
                        <pic:blipFill>
                          <a:blip r:embed="rId8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91"/>
        </w:tc>
      </w:tr>
    </w:tbl>
    <w:bookmarkEnd w:id="92"/>
    <w:bookmarkStart w:id="93" w:name="interpretation"/>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0.9 for the broader-range block, against 0.26 across the two blocks , a strong signal that both groups are internally coherent and sharply separated. In</w:t>
      </w:r>
      <w:r>
        <w:t xml:space="preserve"> </w:t>
      </w:r>
      <w:r>
        <w:rPr>
          <w:bCs/>
          <w:b/>
        </w:rPr>
        <w:t xml:space="preserve">Aur-P2</w:t>
      </w:r>
      <w:r>
        <w:t xml:space="preserve">, the pattern is 0.57 within the restricted block and 0.83 within the broader block, against 0.37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18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4</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18</w:t>
        </w:r>
      </w:hyperlink>
      <w:r>
        <w:t xml:space="preserve">.</w:t>
      </w:r>
    </w:p>
    <w:bookmarkEnd w:id="93"/>
    <w:bookmarkEnd w:id="94"/>
    <w:bookmarkStart w:id="111" w:name="sec-s6-3"/>
    <w:p>
      <w:pPr>
        <w:pStyle w:val="Heading2"/>
      </w:pPr>
      <w:r>
        <w:t xml:space="preserve">S6.3 Stochastic Block Models</w:t>
      </w:r>
    </w:p>
    <w:bookmarkStart w:id="109" w:name="rationale-4"/>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the</w:t>
      </w:r>
      <w:r>
        <w:t xml:space="preserve"> </w:t>
      </w:r>
      <w:r>
        <w:rPr>
          <w:iCs/>
          <w:i/>
        </w:rPr>
        <w:t xml:space="preserve">symmetric</w:t>
      </w:r>
      <w:r>
        <w:t xml:space="preserve"> </w:t>
      </w:r>
      <w:r>
        <w:t xml:space="preserve">stochastic block model (</w:t>
      </w:r>
      <w:r>
        <w:rPr>
          <w:rStyle w:val="VerbatimChar"/>
        </w:rPr>
        <w:t xml:space="preserve">SBM_sym</w:t>
      </w:r>
      <w:r>
        <w:t xml:space="preserve">) using the</w:t>
      </w:r>
      <w:r>
        <w:t xml:space="preserve"> </w:t>
      </w:r>
      <w:r>
        <w:rPr>
          <w:iCs/>
          <w:i/>
        </w:rPr>
        <w:t xml:space="preserve">weighted</w:t>
      </w:r>
      <w:r>
        <w:t xml:space="preserve"> </w:t>
      </w:r>
      <w:r>
        <w:t xml:space="preserve">Jaccard similarity adjacency matrix (threshold = 0.2), preserving edge strength rather than binarizing. This is appropriate because Jaccard similarity is symmetric and cultural connectivity is mutual.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96" name="Picture"/>
            <a:graphic>
              <a:graphicData uri="http://schemas.openxmlformats.org/drawingml/2006/picture">
                <pic:pic>
                  <pic:nvPicPr>
                    <pic:cNvPr descr="S1-supplement-sensitivity_files/figure-docx/s6-sbm-compute-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99" name="Picture"/>
            <a:graphic>
              <a:graphicData uri="http://schemas.openxmlformats.org/drawingml/2006/picture">
                <pic:pic>
                  <pic:nvPicPr>
                    <pic:cNvPr descr="S1-supplement-sensitivity_files/figure-docx/s6-sbm-compute-2.png" id="100" name="Picture"/>
                    <pic:cNvPicPr>
                      <a:picLocks noChangeArrowheads="1" noChangeAspect="1"/>
                    </pic:cNvPicPr>
                  </pic:nvPicPr>
                  <pic:blipFill>
                    <a:blip r:embed="rId9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2" name="Picture"/>
            <a:graphic>
              <a:graphicData uri="http://schemas.openxmlformats.org/drawingml/2006/picture">
                <pic:pic>
                  <pic:nvPicPr>
                    <pic:cNvPr descr="S1-supplement-sensitivity_files/figure-docx/s6-sbm-compute-3.png" id="103" name="Picture"/>
                    <pic:cNvPicPr>
                      <a:picLocks noChangeArrowheads="1" noChangeAspect="1"/>
                    </pic:cNvPicPr>
                  </pic:nvPicPr>
                  <pic:blipFill>
                    <a:blip r:embed="rId10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5" name="Picture"/>
            <a:graphic>
              <a:graphicData uri="http://schemas.openxmlformats.org/drawingml/2006/picture">
                <pic:pic>
                  <pic:nvPicPr>
                    <pic:cNvPr descr="S1-supplement-sensitivity_files/figure-docx/s6-sbm-compute-4.png" id="106" name="Picture"/>
                    <pic:cNvPicPr>
                      <a:picLocks noChangeArrowheads="1" noChangeAspect="1"/>
                    </pic:cNvPicPr>
                  </pic:nvPicPr>
                  <pic:blipFill>
                    <a:blip r:embed="rId104"/>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07" w:name="tbl-sbm-icl"/>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center"/>
                    <w:jc w:val="center"/>
                  </w:pPr>
                  <w:r>
                    <w:t xml:space="preserve">Best K</w:t>
                  </w:r>
                </w:p>
              </w:tc>
            </w:tr>
            <w:tr>
              <w:tc>
                <w:tcPr/>
                <w:p>
                  <w:pPr>
                    <w:pStyle w:val="Compact"/>
                    <w:jc w:val="left"/>
                    <w:jc w:val="center"/>
                  </w:pPr>
                  <w:r>
                    <w:t xml:space="preserve">Aur-P1</w:t>
                  </w:r>
                </w:p>
              </w:tc>
              <w:tc>
                <w:tcPr/>
                <w:p>
                  <w:pPr>
                    <w:pStyle w:val="Compact"/>
                    <w:jc w:val="center"/>
                    <w:jc w:val="center"/>
                  </w:pPr>
                  <w:r>
                    <w:t xml:space="preserve">-90.0</w:t>
                  </w:r>
                </w:p>
              </w:tc>
              <w:tc>
                <w:tcPr/>
                <w:p>
                  <w:pPr>
                    <w:pStyle w:val="Compact"/>
                    <w:jc w:val="center"/>
                    <w:jc w:val="center"/>
                  </w:pPr>
                  <w:r>
                    <w:t xml:space="preserve">-92.9</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center"/>
                    <w:jc w:val="center"/>
                  </w:pPr>
                  <w:r>
                    <w:t xml:space="preserve">-21.5</w:t>
                  </w:r>
                </w:p>
              </w:tc>
              <w:tc>
                <w:tcPr/>
                <w:p>
                  <w:pPr>
                    <w:pStyle w:val="Compact"/>
                    <w:jc w:val="center"/>
                    <w:jc w:val="center"/>
                  </w:pPr>
                  <w:r>
                    <w:t xml:space="preserve">-28.9</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bl>
          <w:p>
            <w:pPr>
              <w:jc w:val="center"/>
            </w:pPr>
            <w:pPr>
              <w:jc w:val="start"/>
              <w:spacing w:before="200"/>
              <w:pStyle w:val="ImageCaption"/>
            </w:pPr>
            <w:r>
              <w:t xml:space="preserve">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10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8" w:name="tbl-sbm-membershi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left"/>
                    <w:jc w:val="center"/>
                  </w:pPr>
                  <w:r>
                    <w:t xml:space="preserve">P(B1)</w:t>
                  </w:r>
                </w:p>
              </w:tc>
            </w:tr>
            <w:tr>
              <w:tc>
                <w:tcPr/>
                <w:p>
                  <w:pPr>
                    <w:pStyle w:val="Compact"/>
                    <w:jc w:val="left"/>
                    <w:jc w:val="center"/>
                  </w:pPr>
                  <w:r>
                    <w:t xml:space="preserve">1…1</w:t>
                  </w:r>
                </w:p>
              </w:tc>
              <w:tc>
                <w:tcPr/>
                <w:p>
                  <w:pPr>
                    <w:pStyle w:val="Compact"/>
                    <w:jc w:val="left"/>
                    <w:jc w:val="center"/>
                  </w:pPr>
                  <w:r>
                    <w:t xml:space="preserve">Aur-P1</w:t>
                  </w:r>
                </w:p>
              </w:tc>
              <w:tc>
                <w:tcPr/>
                <w:p>
                  <w:pPr>
                    <w:pStyle w:val="Compact"/>
                    <w:jc w:val="left"/>
                    <w:jc w:val="center"/>
                  </w:pPr>
                  <w:r>
                    <w:t xml:space="preserve">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2…2</w:t>
                  </w:r>
                </w:p>
              </w:tc>
              <w:tc>
                <w:tcPr/>
                <w:p>
                  <w:pPr>
                    <w:pStyle w:val="Compact"/>
                    <w:jc w:val="left"/>
                    <w:jc w:val="center"/>
                  </w:pPr>
                  <w:r>
                    <w:t xml:space="preserve">Aur-P1</w:t>
                  </w:r>
                </w:p>
              </w:tc>
              <w:tc>
                <w:tcPr/>
                <w:p>
                  <w:pPr>
                    <w:pStyle w:val="Compact"/>
                    <w:jc w:val="left"/>
                    <w:jc w:val="center"/>
                  </w:pPr>
                  <w:r>
                    <w:t xml:space="preserve">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3…3</w:t>
                  </w:r>
                </w:p>
              </w:tc>
              <w:tc>
                <w:tcPr/>
                <w:p>
                  <w:pPr>
                    <w:pStyle w:val="Compact"/>
                    <w:jc w:val="left"/>
                    <w:jc w:val="center"/>
                  </w:pPr>
                  <w:r>
                    <w:t xml:space="preserve">Aur-P1</w:t>
                  </w:r>
                </w:p>
              </w:tc>
              <w:tc>
                <w:tcPr/>
                <w:p>
                  <w:pPr>
                    <w:pStyle w:val="Compact"/>
                    <w:jc w:val="left"/>
                    <w:jc w:val="center"/>
                  </w:pPr>
                  <w:r>
                    <w:t xml:space="preserve">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4…4</w:t>
                  </w:r>
                </w:p>
              </w:tc>
              <w:tc>
                <w:tcPr/>
                <w:p>
                  <w:pPr>
                    <w:pStyle w:val="Compact"/>
                    <w:jc w:val="left"/>
                    <w:jc w:val="center"/>
                  </w:pPr>
                  <w:r>
                    <w:t xml:space="preserve">Aur-P1</w:t>
                  </w:r>
                </w:p>
              </w:tc>
              <w:tc>
                <w:tcPr/>
                <w:p>
                  <w:pPr>
                    <w:pStyle w:val="Compact"/>
                    <w:jc w:val="left"/>
                    <w:jc w:val="center"/>
                  </w:pPr>
                  <w:r>
                    <w:t xml:space="preserve">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5…5</w:t>
                  </w:r>
                </w:p>
              </w:tc>
              <w:tc>
                <w:tcPr/>
                <w:p>
                  <w:pPr>
                    <w:pStyle w:val="Compact"/>
                    <w:jc w:val="left"/>
                    <w:jc w:val="center"/>
                  </w:pPr>
                  <w:r>
                    <w:t xml:space="preserve">Aur-P1</w:t>
                  </w:r>
                </w:p>
              </w:tc>
              <w:tc>
                <w:tcPr/>
                <w:p>
                  <w:pPr>
                    <w:pStyle w:val="Compact"/>
                    <w:jc w:val="left"/>
                    <w:jc w:val="center"/>
                  </w:pPr>
                  <w:r>
                    <w:t xml:space="preserve">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6…6</w:t>
                  </w:r>
                </w:p>
              </w:tc>
              <w:tc>
                <w:tcPr/>
                <w:p>
                  <w:pPr>
                    <w:pStyle w:val="Compact"/>
                    <w:jc w:val="left"/>
                    <w:jc w:val="center"/>
                  </w:pPr>
                  <w:r>
                    <w:t xml:space="preserve">Aur-P1</w:t>
                  </w:r>
                </w:p>
              </w:tc>
              <w:tc>
                <w:tcPr/>
                <w:p>
                  <w:pPr>
                    <w:pStyle w:val="Compact"/>
                    <w:jc w:val="left"/>
                    <w:jc w:val="center"/>
                  </w:pPr>
                  <w:r>
                    <w:t xml:space="preserve">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7…7</w:t>
                  </w:r>
                </w:p>
              </w:tc>
              <w:tc>
                <w:tcPr/>
                <w:p>
                  <w:pPr>
                    <w:pStyle w:val="Compact"/>
                    <w:jc w:val="left"/>
                    <w:jc w:val="center"/>
                  </w:pPr>
                  <w:r>
                    <w:t xml:space="preserve">Aur-P1</w:t>
                  </w:r>
                </w:p>
              </w:tc>
              <w:tc>
                <w:tcPr/>
                <w:p>
                  <w:pPr>
                    <w:pStyle w:val="Compact"/>
                    <w:jc w:val="left"/>
                    <w:jc w:val="center"/>
                  </w:pPr>
                  <w:r>
                    <w:t xml:space="preserve">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8…8</w:t>
                  </w:r>
                </w:p>
              </w:tc>
              <w:tc>
                <w:tcPr/>
                <w:p>
                  <w:pPr>
                    <w:pStyle w:val="Compact"/>
                    <w:jc w:val="left"/>
                    <w:jc w:val="center"/>
                  </w:pPr>
                  <w:r>
                    <w:t xml:space="preserve">Aur-P1</w:t>
                  </w:r>
                </w:p>
              </w:tc>
              <w:tc>
                <w:tcPr/>
                <w:p>
                  <w:pPr>
                    <w:pStyle w:val="Compact"/>
                    <w:jc w:val="left"/>
                    <w:jc w:val="center"/>
                  </w:pPr>
                  <w:r>
                    <w:t xml:space="preserve">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9…9</w:t>
                  </w:r>
                </w:p>
              </w:tc>
              <w:tc>
                <w:tcPr/>
                <w:p>
                  <w:pPr>
                    <w:pStyle w:val="Compact"/>
                    <w:jc w:val="left"/>
                    <w:jc w:val="center"/>
                  </w:pPr>
                  <w:r>
                    <w:t xml:space="preserve">Aur-P1</w:t>
                  </w:r>
                </w:p>
              </w:tc>
              <w:tc>
                <w:tcPr/>
                <w:p>
                  <w:pPr>
                    <w:pStyle w:val="Compact"/>
                    <w:jc w:val="left"/>
                    <w:jc w:val="center"/>
                  </w:pPr>
                  <w:r>
                    <w:t xml:space="preserve">9</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10</w:t>
                  </w:r>
                </w:p>
              </w:tc>
              <w:tc>
                <w:tcPr/>
                <w:p>
                  <w:pPr>
                    <w:pStyle w:val="Compact"/>
                    <w:jc w:val="left"/>
                    <w:jc w:val="center"/>
                  </w:pPr>
                  <w:r>
                    <w:t xml:space="preserve">Aur-P1</w:t>
                  </w:r>
                </w:p>
              </w:tc>
              <w:tc>
                <w:tcPr/>
                <w:p>
                  <w:pPr>
                    <w:pStyle w:val="Compact"/>
                    <w:jc w:val="left"/>
                    <w:jc w:val="center"/>
                  </w:pPr>
                  <w:r>
                    <w:t xml:space="preserve">10</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11</w:t>
                  </w:r>
                </w:p>
              </w:tc>
              <w:tc>
                <w:tcPr/>
                <w:p>
                  <w:pPr>
                    <w:pStyle w:val="Compact"/>
                    <w:jc w:val="left"/>
                    <w:jc w:val="center"/>
                  </w:pPr>
                  <w:r>
                    <w:t xml:space="preserve">Aur-P1</w:t>
                  </w:r>
                </w:p>
              </w:tc>
              <w:tc>
                <w:tcPr/>
                <w:p>
                  <w:pPr>
                    <w:pStyle w:val="Compact"/>
                    <w:jc w:val="left"/>
                    <w:jc w:val="center"/>
                  </w:pPr>
                  <w:r>
                    <w:t xml:space="preserve">11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12</w:t>
                  </w:r>
                </w:p>
              </w:tc>
              <w:tc>
                <w:tcPr/>
                <w:p>
                  <w:pPr>
                    <w:pStyle w:val="Compact"/>
                    <w:jc w:val="left"/>
                    <w:jc w:val="center"/>
                  </w:pPr>
                  <w:r>
                    <w:t xml:space="preserve">Aur-P1</w:t>
                  </w:r>
                </w:p>
              </w:tc>
              <w:tc>
                <w:tcPr/>
                <w:p>
                  <w:pPr>
                    <w:pStyle w:val="Compact"/>
                    <w:jc w:val="left"/>
                    <w:jc w:val="center"/>
                  </w:pPr>
                  <w:r>
                    <w:t xml:space="preserve">12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13</w:t>
                  </w:r>
                </w:p>
              </w:tc>
              <w:tc>
                <w:tcPr/>
                <w:p>
                  <w:pPr>
                    <w:pStyle w:val="Compact"/>
                    <w:jc w:val="left"/>
                    <w:jc w:val="center"/>
                  </w:pPr>
                  <w:r>
                    <w:t xml:space="preserve">Aur-P1</w:t>
                  </w:r>
                </w:p>
              </w:tc>
              <w:tc>
                <w:tcPr/>
                <w:p>
                  <w:pPr>
                    <w:pStyle w:val="Compact"/>
                    <w:jc w:val="left"/>
                    <w:jc w:val="center"/>
                  </w:pPr>
                  <w:r>
                    <w:t xml:space="preserve">13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14</w:t>
                  </w:r>
                </w:p>
              </w:tc>
              <w:tc>
                <w:tcPr/>
                <w:p>
                  <w:pPr>
                    <w:pStyle w:val="Compact"/>
                    <w:jc w:val="left"/>
                    <w:jc w:val="center"/>
                  </w:pPr>
                  <w:r>
                    <w:t xml:space="preserve">Aur-P1</w:t>
                  </w:r>
                </w:p>
              </w:tc>
              <w:tc>
                <w:tcPr/>
                <w:p>
                  <w:pPr>
                    <w:pStyle w:val="Compact"/>
                    <w:jc w:val="left"/>
                    <w:jc w:val="center"/>
                  </w:pPr>
                  <w:r>
                    <w:t xml:space="preserve">14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15</w:t>
                  </w:r>
                </w:p>
              </w:tc>
              <w:tc>
                <w:tcPr/>
                <w:p>
                  <w:pPr>
                    <w:pStyle w:val="Compact"/>
                    <w:jc w:val="left"/>
                    <w:jc w:val="center"/>
                  </w:pPr>
                  <w:r>
                    <w:t xml:space="preserve">Aur-P1</w:t>
                  </w:r>
                </w:p>
              </w:tc>
              <w:tc>
                <w:tcPr/>
                <w:p>
                  <w:pPr>
                    <w:pStyle w:val="Compact"/>
                    <w:jc w:val="left"/>
                    <w:jc w:val="center"/>
                  </w:pPr>
                  <w:r>
                    <w:t xml:space="preserve">15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16</w:t>
                  </w:r>
                </w:p>
              </w:tc>
              <w:tc>
                <w:tcPr/>
                <w:p>
                  <w:pPr>
                    <w:pStyle w:val="Compact"/>
                    <w:jc w:val="left"/>
                    <w:jc w:val="center"/>
                  </w:pPr>
                  <w:r>
                    <w:t xml:space="preserve">Aur-P1</w:t>
                  </w:r>
                </w:p>
              </w:tc>
              <w:tc>
                <w:tcPr/>
                <w:p>
                  <w:pPr>
                    <w:pStyle w:val="Compact"/>
                    <w:jc w:val="left"/>
                    <w:jc w:val="center"/>
                  </w:pPr>
                  <w:r>
                    <w:t xml:space="preserve">16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17</w:t>
                  </w:r>
                </w:p>
              </w:tc>
              <w:tc>
                <w:tcPr/>
                <w:p>
                  <w:pPr>
                    <w:pStyle w:val="Compact"/>
                    <w:jc w:val="left"/>
                    <w:jc w:val="center"/>
                  </w:pPr>
                  <w:r>
                    <w:t xml:space="preserve">Aur-P1</w:t>
                  </w:r>
                </w:p>
              </w:tc>
              <w:tc>
                <w:tcPr/>
                <w:p>
                  <w:pPr>
                    <w:pStyle w:val="Compact"/>
                    <w:jc w:val="left"/>
                    <w:jc w:val="center"/>
                  </w:pPr>
                  <w:r>
                    <w:t xml:space="preserve">17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18</w:t>
                  </w:r>
                </w:p>
              </w:tc>
              <w:tc>
                <w:tcPr/>
                <w:p>
                  <w:pPr>
                    <w:pStyle w:val="Compact"/>
                    <w:jc w:val="left"/>
                    <w:jc w:val="center"/>
                  </w:pPr>
                  <w:r>
                    <w:t xml:space="preserve">Aur-P1</w:t>
                  </w:r>
                </w:p>
              </w:tc>
              <w:tc>
                <w:tcPr/>
                <w:p>
                  <w:pPr>
                    <w:pStyle w:val="Compact"/>
                    <w:jc w:val="left"/>
                    <w:jc w:val="center"/>
                  </w:pPr>
                  <w:r>
                    <w:t xml:space="preserve">18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19</w:t>
                  </w:r>
                </w:p>
              </w:tc>
              <w:tc>
                <w:tcPr/>
                <w:p>
                  <w:pPr>
                    <w:pStyle w:val="Compact"/>
                    <w:jc w:val="left"/>
                    <w:jc w:val="center"/>
                  </w:pPr>
                  <w:r>
                    <w:t xml:space="preserve">Aur-P1</w:t>
                  </w:r>
                </w:p>
              </w:tc>
              <w:tc>
                <w:tcPr/>
                <w:p>
                  <w:pPr>
                    <w:pStyle w:val="Compact"/>
                    <w:jc w:val="left"/>
                    <w:jc w:val="center"/>
                  </w:pPr>
                  <w:r>
                    <w:t xml:space="preserve">19</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20</w:t>
                  </w:r>
                </w:p>
              </w:tc>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1…21</w:t>
                  </w:r>
                </w:p>
              </w:tc>
              <w:tc>
                <w:tcPr/>
                <w:p>
                  <w:pPr>
                    <w:pStyle w:val="Compact"/>
                    <w:jc w:val="left"/>
                    <w:jc w:val="center"/>
                  </w:pPr>
                  <w:r>
                    <w:t xml:space="preserve">Aur-P2</w:t>
                  </w:r>
                </w:p>
              </w:tc>
              <w:tc>
                <w:tcPr/>
                <w:p>
                  <w:pPr>
                    <w:pStyle w:val="Compact"/>
                    <w:jc w:val="left"/>
                    <w:jc w:val="center"/>
                  </w:pPr>
                  <w:r>
                    <w:t xml:space="preserve">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2…22</w:t>
                  </w:r>
                </w:p>
              </w:tc>
              <w:tc>
                <w:tcPr/>
                <w:p>
                  <w:pPr>
                    <w:pStyle w:val="Compact"/>
                    <w:jc w:val="left"/>
                    <w:jc w:val="center"/>
                  </w:pPr>
                  <w:r>
                    <w:t xml:space="preserve">Aur-P2</w:t>
                  </w:r>
                </w:p>
              </w:tc>
              <w:tc>
                <w:tcPr/>
                <w:p>
                  <w:pPr>
                    <w:pStyle w:val="Compact"/>
                    <w:jc w:val="left"/>
                    <w:jc w:val="center"/>
                  </w:pPr>
                  <w:r>
                    <w:t xml:space="preserve">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3…23</w:t>
                  </w:r>
                </w:p>
              </w:tc>
              <w:tc>
                <w:tcPr/>
                <w:p>
                  <w:pPr>
                    <w:pStyle w:val="Compact"/>
                    <w:jc w:val="left"/>
                    <w:jc w:val="center"/>
                  </w:pPr>
                  <w:r>
                    <w:t xml:space="preserve">Aur-P2</w:t>
                  </w:r>
                </w:p>
              </w:tc>
              <w:tc>
                <w:tcPr/>
                <w:p>
                  <w:pPr>
                    <w:pStyle w:val="Compact"/>
                    <w:jc w:val="left"/>
                    <w:jc w:val="center"/>
                  </w:pPr>
                  <w:r>
                    <w:t xml:space="preserve">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4…24</w:t>
                  </w:r>
                </w:p>
              </w:tc>
              <w:tc>
                <w:tcPr/>
                <w:p>
                  <w:pPr>
                    <w:pStyle w:val="Compact"/>
                    <w:jc w:val="left"/>
                    <w:jc w:val="center"/>
                  </w:pPr>
                  <w:r>
                    <w:t xml:space="preserve">Aur-P2</w:t>
                  </w:r>
                </w:p>
              </w:tc>
              <w:tc>
                <w:tcPr/>
                <w:p>
                  <w:pPr>
                    <w:pStyle w:val="Compact"/>
                    <w:jc w:val="left"/>
                    <w:jc w:val="center"/>
                  </w:pPr>
                  <w:r>
                    <w:t xml:space="preserve">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5…25</w:t>
                  </w:r>
                </w:p>
              </w:tc>
              <w:tc>
                <w:tcPr/>
                <w:p>
                  <w:pPr>
                    <w:pStyle w:val="Compact"/>
                    <w:jc w:val="left"/>
                    <w:jc w:val="center"/>
                  </w:pPr>
                  <w:r>
                    <w:t xml:space="preserve">Aur-P2</w:t>
                  </w:r>
                </w:p>
              </w:tc>
              <w:tc>
                <w:tcPr/>
                <w:p>
                  <w:pPr>
                    <w:pStyle w:val="Compact"/>
                    <w:jc w:val="left"/>
                    <w:jc w:val="center"/>
                  </w:pPr>
                  <w:r>
                    <w:t xml:space="preserve">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6…26</w:t>
                  </w:r>
                </w:p>
              </w:tc>
              <w:tc>
                <w:tcPr/>
                <w:p>
                  <w:pPr>
                    <w:pStyle w:val="Compact"/>
                    <w:jc w:val="left"/>
                    <w:jc w:val="center"/>
                  </w:pPr>
                  <w:r>
                    <w:t xml:space="preserve">Aur-P2</w:t>
                  </w:r>
                </w:p>
              </w:tc>
              <w:tc>
                <w:tcPr/>
                <w:p>
                  <w:pPr>
                    <w:pStyle w:val="Compact"/>
                    <w:jc w:val="left"/>
                    <w:jc w:val="center"/>
                  </w:pPr>
                  <w:r>
                    <w:t xml:space="preserve">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7…27</w:t>
                  </w:r>
                </w:p>
              </w:tc>
              <w:tc>
                <w:tcPr/>
                <w:p>
                  <w:pPr>
                    <w:pStyle w:val="Compact"/>
                    <w:jc w:val="left"/>
                    <w:jc w:val="center"/>
                  </w:pPr>
                  <w:r>
                    <w:t xml:space="preserve">Aur-P2</w:t>
                  </w:r>
                </w:p>
              </w:tc>
              <w:tc>
                <w:tcPr/>
                <w:p>
                  <w:pPr>
                    <w:pStyle w:val="Compact"/>
                    <w:jc w:val="left"/>
                    <w:jc w:val="center"/>
                  </w:pPr>
                  <w:r>
                    <w:t xml:space="preserve">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8…28</w:t>
                  </w:r>
                </w:p>
              </w:tc>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9…29</w:t>
                  </w:r>
                </w:p>
              </w:tc>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w:t>
                  </w:r>
                </w:p>
              </w:tc>
              <w:tc>
                <w:tcPr/>
                <w:p>
                  <w:pPr>
                    <w:pStyle w:val="Compact"/>
                    <w:jc w:val="left"/>
                    <w:jc w:val="center"/>
                  </w:pPr>
                  <w:r>
                    <w:t xml:space="preserve">1</w:t>
                  </w:r>
                </w:p>
              </w:tc>
            </w:tr>
          </w:tbl>
          <w:p>
            <w:pPr>
              <w:jc w:val="center"/>
            </w:pPr>
            <w:pPr>
              <w:jc w:val="start"/>
              <w:spacing w:before="200"/>
              <w:pStyle w:val="ImageCaption"/>
            </w:pPr>
            <w:r>
              <w:t xml:space="preserve">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108"/>
        </w:tc>
      </w:tr>
    </w:tbl>
    <w:bookmarkEnd w:id="109"/>
    <w:bookmarkStart w:id="110" w:name="interpretation-1"/>
    <w:p>
      <w:pPr>
        <w:pStyle w:val="Heading3"/>
      </w:pPr>
      <w:r>
        <w:t xml:space="preserve">Interpretation</w:t>
      </w:r>
    </w:p>
    <w:p>
      <w:pPr>
        <w:pStyle w:val="FirstParagraph"/>
      </w:pPr>
      <w:r>
        <w:t xml:space="preserve">The ICL model-selection results (</w:t>
      </w:r>
      <w:hyperlink w:anchor="tbl-sbm-icl">
        <w:r>
          <w:rPr>
            <w:rStyle w:val="Hyperlink"/>
          </w:rPr>
          <w:t xml:space="preserve">Table 19</w:t>
        </w:r>
      </w:hyperlink>
      <w:r>
        <w:t xml:space="preserve">) report the number of blocks best supported by the sign-sharing network in each phase, providing a model-based counterpart to the seriation. The Integrated Classification Likelihood (ICL) is a penalised likelihood criterion that balances model fit against complexity; unlike AIC or BIC, it integrates over the latent block memberships and therefore directly targets the quality of the partition itself. In</w:t>
      </w:r>
      <w:r>
        <w:t xml:space="preserve"> </w:t>
      </w:r>
      <w:r>
        <w:rPr>
          <w:bCs/>
          <w:b/>
        </w:rPr>
        <w:t xml:space="preserve">Aur-P1</w:t>
      </w:r>
      <w:r>
        <w:t xml:space="preserve"> </w:t>
      </w:r>
      <w:r>
        <w:t xml:space="preserve">the best-supported model contains 1 block (ICL = -89.99), while the two-block solution scores -92.90 and the three-block solution NA. The ICL gap between the best and second-best model is 2.91, indicating that the one-block model is preferred but the preference is modest—the data do not strongly discriminate among one, two, or three blocks. In</w:t>
      </w:r>
      <w:r>
        <w:t xml:space="preserve"> </w:t>
      </w:r>
      <w:r>
        <w:rPr>
          <w:bCs/>
          <w:b/>
        </w:rPr>
        <w:t xml:space="preserve">Aur-P2</w:t>
      </w:r>
      <w:r>
        <w:t xml:space="preserve"> </w:t>
      </w:r>
      <w:r>
        <w:t xml:space="preserve">the ICL profile is similarly flat: the one-block model scores -21.53, the two-block model -28.90, and the gap is only 7.37. In both phases the sparse sign-sharing networks (Aur-P1: 20 sites, 20 edges at threshold 0.2; Aur-P2: 9 sites, 9 edges) lack the information to decisively support any block structure beyond a single group. The comparison between the two phases shows that neither phase has a well-determined block structure under the generative SBM framework.</w:t>
      </w:r>
    </w:p>
    <w:p>
      <w:pPr>
        <w:pStyle w:val="BodyText"/>
      </w:pPr>
      <w:r>
        <w:t xml:space="preserve">The membership table (</w:t>
      </w:r>
      <w:hyperlink w:anchor="tbl-sbm-membership">
        <w:r>
          <w:rPr>
            <w:rStyle w:val="Hyperlink"/>
          </w:rPr>
          <w:t xml:space="preserve">Table 20</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every site is assigned to that sole block with posterior probability 1.0. The informative quantity is therefore not the partition (which is trivial) but the fact that the generative model finds no evidence for multiple blocks in either phase. The model-based route neither corroborates nor contradicts the manual two-group split—it simply indicates that the sign-sharing networks are too sparse to resolve block structure.</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w:t>
      </w:r>
    </w:p>
    <w:p>
      <w:pPr>
        <w:pStyle w:val="BodyText"/>
      </w:pPr>
      <w:r>
        <w:rPr>
          <w:bCs/>
          <w:b/>
        </w:rPr>
        <w:t xml:space="preserve">Implications for the main text.</w:t>
      </w:r>
      <w:r>
        <w:t xml:space="preserve"> </w:t>
      </w:r>
      <w:r>
        <w:t xml:space="preserve">The SBM selects a single block in both phases, so the two-group structure is not independently recovered by the generative model.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text should therefore: (1) present the two-group framing as a simplification that captures the primary contrast in sign repertoire size, (2) note that the generative SBM—unlike the descriptive Louvain and stability-based bootstrap—does not find evidence for multiple blocks in either phase, likely due to network sparsity and the ICL penalty for model complexity, (3) qualify the Aur-P2 results by stating that the small sample size (9 sites, sparse edges) precludes reliable block detection, and (4) cite the bootstrap consistency scores (</w:t>
      </w:r>
      <w:hyperlink w:anchor="tbl-bootstrap-sites">
        <w:r>
          <w:rPr>
            <w:rStyle w:val="Hyperlink"/>
          </w:rPr>
          <w:t xml:space="preserve">Table 18</w:t>
        </w:r>
      </w:hyperlink>
      <w:r>
        <w:t xml:space="preserve">) for borderline sites such as Labeko Koba.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w:t>
      </w:r>
    </w:p>
    <w:bookmarkEnd w:id="110"/>
    <w:bookmarkEnd w:id="111"/>
    <w:bookmarkStart w:id="115" w:name="sec-s6-4"/>
    <w:p>
      <w:pPr>
        <w:pStyle w:val="Heading2"/>
      </w:pPr>
      <w:r>
        <w:t xml:space="preserve">S6.4 Cross-Validation of Group Assignments (ARI)</w:t>
      </w:r>
    </w:p>
    <w:bookmarkStart w:id="113" w:name="rationale-5"/>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112"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NA</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NA</w:t>
                  </w:r>
                </w:p>
              </w:tc>
              <w:tc>
                <w:tcPr/>
                <w:p>
                  <w:pPr>
                    <w:pStyle w:val="Compact"/>
                    <w:jc w:val="center"/>
                    <w:jc w:val="center"/>
                  </w:pPr>
                  <w:r>
                    <w:t xml:space="preserve">NA</w:t>
                  </w:r>
                </w:p>
              </w:tc>
            </w:tr>
          </w:tbl>
          <w:p>
            <w:pPr>
              <w:jc w:val="center"/>
            </w:pPr>
            <w:pPr>
              <w:jc w:val="start"/>
              <w:spacing w:before="200"/>
              <w:pStyle w:val="ImageCaption"/>
            </w:pPr>
            <w:r>
              <w:t xml:space="preserve">Table 21: Adjusted Rand Index between the main-text manual restricted/broad assignment, the bootstrap modal blocks (S6.2), and the SBM modal assignments (S6.3), by phase.</w:t>
            </w:r>
          </w:p>
          <w:bookmarkEnd w:id="112"/>
        </w:tc>
      </w:tr>
    </w:tbl>
    <w:bookmarkEnd w:id="113"/>
    <w:bookmarkStart w:id="114" w:name="interpretation-2"/>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21</w:t>
        </w:r>
      </w:hyperlink>
      <w:r>
        <w:t xml:space="preserve">). A high ARI between the manual groups and an unsupervised partition (SBM or bootstrap) indicates that the main-text grouping is not merely an analyst construction but is recoverable from the data.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 The specific pattern , which method agrees with the manual groups in which phase , is reported in</w:t>
      </w:r>
      <w:r>
        <w:t xml:space="preserve"> </w:t>
      </w:r>
      <w:hyperlink w:anchor="tbl-s6-ari">
        <w:r>
          <w:rPr>
            <w:rStyle w:val="Hyperlink"/>
          </w:rPr>
          <w:t xml:space="preserve">Table 21</w:t>
        </w:r>
      </w:hyperlink>
      <w:r>
        <w:t xml:space="preserve"> </w:t>
      </w:r>
      <w:r>
        <w:t xml:space="preserve">and should be used in the main text to state precisely where the two-group structure is independently supported and where it is a simplifying summary.</w:t>
      </w:r>
    </w:p>
    <w:p>
      <w:pPr>
        <w:pStyle w:val="BodyText"/>
      </w:pPr>
      <w:r>
        <w:rPr>
          <w:bCs/>
          <w:b/>
        </w:rPr>
        <w:t xml:space="preserve">Implications for the main text.</w:t>
      </w:r>
      <w:r>
        <w:t xml:space="preserve"> </w:t>
      </w:r>
      <w:r>
        <w:t xml:space="preserve">The two-group claim should be presented as strongest where the manual assignment, the bootstrap, and the SBM converge, and qualified where they diverge. Where the SBM’s best partition reproduces the manual groups (high ARI), the main text can cite the SBM as an independent, model-based confirmation that never saw the seriation solution. Where it does not, the divergence should be acknowledged and the seriation’s two-group structure presented as the dominant axis of variation rather than an exhaustive description of the data.</w:t>
      </w:r>
    </w:p>
    <w:bookmarkEnd w:id="114"/>
    <w:bookmarkEnd w:id="115"/>
    <w:bookmarkStart w:id="116"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4</w:t>
        </w:r>
      </w:hyperlink>
      <w:r>
        <w:t xml:space="preserve">,</w:t>
      </w:r>
      <w:r>
        <w:t xml:space="preserve"> </w:t>
      </w:r>
      <w:hyperlink w:anchor="tbl-bootstrap-summary">
        <w:r>
          <w:rPr>
            <w:rStyle w:val="Hyperlink"/>
          </w:rPr>
          <w:t xml:space="preserve">Table 17</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20</w:t>
        </w:r>
      </w:hyperlink>
      <w:r>
        <w:t xml:space="preserve">) and reports the number of blocks best supported by the sign-sharing network in each phase (</w:t>
      </w:r>
      <w:hyperlink w:anchor="tbl-sbm-icl">
        <w:r>
          <w:rPr>
            <w:rStyle w:val="Hyperlink"/>
          </w:rPr>
          <w:t xml:space="preserve">Table 19</w:t>
        </w:r>
      </w:hyperlink>
      <w:r>
        <w:t xml:space="preserve">). The SBM selects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21</w:t>
        </w:r>
      </w:hyperlink>
      <w:r>
        <w:t xml:space="preserve">). The three routes are mutually informative but not redundant: the bootstrap shows the two blocks to be internally coherent and well separated under resampling; the SBM finds the data too sparse to warrant a multi-block generative model; and the manual assignment captures the dominant axis of variation in sign repertoire size. We recommend that the main text retain the two-group framing but cite the per-site consistency scores (</w:t>
      </w:r>
      <w:hyperlink w:anchor="tbl-bootstrap-sites">
        <w:r>
          <w:rPr>
            <w:rStyle w:val="Hyperlink"/>
          </w:rPr>
          <w:t xml:space="preserve">Table 18</w:t>
        </w:r>
      </w:hyperlink>
      <w:r>
        <w:t xml:space="preserve">) for borderline sites, note that the generative SBM does not recover multiple blocks in either phase (likely due to network sparsity and ICL penalisation), and acknowledge that the Aur-P2 results rest on only 9 sites.</w:t>
      </w:r>
    </w:p>
    <w:bookmarkEnd w:id="116"/>
    <w:bookmarkEnd w:id="117"/>
    <w:bookmarkStart w:id="134" w:name="sec-s7"/>
    <w:p>
      <w:pPr>
        <w:pStyle w:val="Heading1"/>
      </w:pPr>
      <w:r>
        <w:t xml:space="preserve">S7. Object-Type Sensitivity: Figurine Exclusion</w:t>
      </w:r>
    </w:p>
    <w:bookmarkStart w:id="118" w:name="s7.1-rationale"/>
    <w:p>
      <w:pPr>
        <w:pStyle w:val="Heading2"/>
      </w:pPr>
      <w:r>
        <w:t xml:space="preserve">S7.1 Rationale</w:t>
      </w:r>
    </w:p>
    <w:p>
      <w:pPr>
        <w:pStyle w:val="FirstParagraph"/>
      </w:pPr>
      <w:r>
        <w:t xml:space="preserve">[5]</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118"/>
    <w:bookmarkStart w:id="120"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119"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22: Distribution of figurine objects across phases and sites. Figurine types include figurine zoomorph, figurine anthropomorph, figurine undet., and possible figurine.</w:t>
            </w:r>
          </w:p>
          <w:bookmarkEnd w:id="119"/>
        </w:tc>
      </w:tr>
    </w:tbl>
    <w:p>
      <w:pPr>
        <w:pStyle w:val="BodyText"/>
      </w:pPr>
      <w:hyperlink w:anchor="tbl-figurine-count">
        <w:r>
          <w:rPr>
            <w:rStyle w:val="Hyperlink"/>
          </w:rPr>
          <w:t xml:space="preserve">Table 22</w:t>
        </w:r>
      </w:hyperlink>
      <w:r>
        <w:t xml:space="preserve"> </w:t>
      </w:r>
      <w:r>
        <w:t xml:space="preserve">shows that figurines are heavily concentrated at Vogelherd (50 objects), with minor representation at Hohle Fels (8),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(7.50) , is driven by these 50 objects at a single site.</w:t>
      </w:r>
    </w:p>
    <w:bookmarkEnd w:id="120"/>
    <w:bookmarkStart w:id="125" w:name="s7.3-analysis-1-exclude-all-figurines"/>
    <w:p>
      <w:pPr>
        <w:pStyle w:val="Heading2"/>
      </w:pPr>
      <w:r>
        <w:t xml:space="preserve">S7.3 Analysis 1: Exclude All Figurines</w:t>
      </w:r>
    </w:p>
    <w:bookmarkStart w:id="123"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121" w:name="tbl-exclude-figurines"/>
          <w:tbl>
            <w:tblPr>
              <w:tblStyle w:val="Table"/>
              <w:tblW w:type="pct" w:w="5000"/>
              <w:tblLook w:firstRow="1" w:lastRow="0" w:firstColumn="0" w:lastColumn="0" w:noHBand="0" w:noVBand="0" w:val="0020"/>
              <w:jc w:val="start"/>
              <w:tblLayout w:type="fixed"/>
            </w:tblPr>
            <w:tblGrid>
              <w:gridCol w:w="622"/>
              <w:gridCol w:w="533"/>
              <w:gridCol w:w="622"/>
              <w:gridCol w:w="800"/>
              <w:gridCol w:w="1156"/>
              <w:gridCol w:w="1245"/>
              <w:gridCol w:w="1067"/>
              <w:gridCol w:w="1868"/>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Excluding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Excluding figurines</w:t>
                  </w:r>
                </w:p>
              </w:tc>
            </w:tr>
          </w:tbl>
          <w:p>
            <w:pPr>
              <w:jc w:val="center"/>
            </w:pPr>
            <w:pPr>
              <w:jc w:val="start"/>
              <w:spacing w:before="200"/>
              <w:pStyle w:val="ImageCaption"/>
            </w:pPr>
            <w:r>
              <w:t xml:space="preserve">Table 23: Network statistics before and after excluding all figurine objects (figurine zoomorph, figurine anthropomorph, figurine undet., and possible figurine). Threshold = 0.2, Jaccard similarity.</w:t>
            </w:r>
          </w:p>
          <w:bookmarkEnd w:id="12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22"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24: Number of sites per phase before and after figurine exclusion. Sites are lost when all objects at that site are figurines.</w:t>
            </w:r>
          </w:p>
          <w:bookmarkEnd w:id="122"/>
        </w:tc>
      </w:tr>
    </w:tbl>
    <w:bookmarkEnd w:id="123"/>
    <w:bookmarkStart w:id="124" w:name="interpretation-3"/>
    <w:p>
      <w:pPr>
        <w:pStyle w:val="Heading3"/>
      </w:pPr>
      <w:r>
        <w:t xml:space="preserve">Interpretation</w:t>
      </w:r>
    </w:p>
    <w:p>
      <w:pPr>
        <w:pStyle w:val="FirstParagraph"/>
      </w:pPr>
      <w:r>
        <w:t xml:space="preserve">Excluding all 63 figurines has only a small effect on the Aur-P1 network: one edge is lost (75 → 74) and mean degree falls from 7.50 to 7.40, with no sites lost (all 20 sites retained). Aur-P2 is unchanged (mean degree 4.22, 19 edges, 9 sites): the four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(7.40) under figurine exclusion, preserving the main-text ordering Aur-P1 &gt; Aur-P2 (7.40 &gt; 4.22). The Aur-P1 network remains the more connected regardless of figurine inclusion, confirming that its structure is not contingent on figurine-bearing sign assemblages at Vogelherd.</w:t>
      </w:r>
    </w:p>
    <w:bookmarkEnd w:id="124"/>
    <w:bookmarkEnd w:id="125"/>
    <w:bookmarkStart w:id="130" w:name="X7549e60451b9f7bbee640100d361a0cf771ac62"/>
    <w:p>
      <w:pPr>
        <w:pStyle w:val="Heading2"/>
      </w:pPr>
      <w:r>
        <w:t xml:space="preserve">S7.4 Analysis 2: Exclude Vogelherd Figurines Only</w:t>
      </w:r>
    </w:p>
    <w:bookmarkStart w:id="128"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126" w:name="tbl-vogelherd-exclude"/>
          <w:tbl>
            <w:tblPr>
              <w:tblStyle w:val="Table"/>
              <w:tblW w:type="pct" w:w="5000"/>
              <w:tblLook w:firstRow="1" w:lastRow="0" w:firstColumn="0" w:lastColumn="0" w:noHBand="0" w:noVBand="0" w:val="0020"/>
              <w:jc w:val="start"/>
              <w:tblLayout w:type="fixed"/>
            </w:tblPr>
            <w:tblGrid>
              <w:gridCol w:w="583"/>
              <w:gridCol w:w="500"/>
              <w:gridCol w:w="583"/>
              <w:gridCol w:w="750"/>
              <w:gridCol w:w="1083"/>
              <w:gridCol w:w="1167"/>
              <w:gridCol w:w="1000"/>
              <w:gridCol w:w="225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 Vogelherd figurines</w:t>
                  </w:r>
                </w:p>
              </w:tc>
            </w:tr>
          </w:tbl>
          <w:p>
            <w:pPr>
              <w:jc w:val="center"/>
            </w:pPr>
            <w:pPr>
              <w:jc w:val="start"/>
              <w:spacing w:before="200"/>
              <w:pStyle w:val="ImageCaption"/>
            </w:pPr>
            <w:r>
              <w:t xml:space="preserve">Table 25: Network statistics before and after excluding figurines from Vogelherd only. All other figurines (Hohle Fels, Geissenklösterle, Hohlenstein-Stadel, La Ferrassie) are retained. Threshold = 0.2, Jaccard similarity.</w:t>
            </w:r>
          </w:p>
          <w:bookmarkEnd w:id="12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27"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26: Vogelherd object counts before and after removing figurines. Non-figurine objects at Vogelherd (tools, plaquettes, etc.) are retained.</w:t>
            </w:r>
          </w:p>
          <w:bookmarkEnd w:id="127"/>
        </w:tc>
      </w:tr>
    </w:tbl>
    <w:bookmarkEnd w:id="128"/>
    <w:bookmarkStart w:id="129" w:name="interpretation-4"/>
    <w:p>
      <w:pPr>
        <w:pStyle w:val="Heading3"/>
      </w:pPr>
      <w:r>
        <w:t xml:space="preserve">Interpretation</w:t>
      </w:r>
    </w:p>
    <w:p>
      <w:pPr>
        <w:pStyle w:val="FirstParagraph"/>
      </w:pPr>
      <w:r>
        <w:t xml:space="preserve">Removing only Vogelherd’s figurines (50 objects: 173 → 123 in Aur-P1) has a negligible effect on Aur-P1: mean degree drops from 7.50 to 7.40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Geissenklösterle (3), Hohlenstein-Stadel (1), and La Ferrassie (1) do not alter the network structure , including the four Hohle Fels figurines assigned to Aur-P2, which leave that phase’s network unchanged , and Vogelherd’s connectivity within Aur-P1 is carried by its 123 non-figurine objects.</w:t>
      </w:r>
    </w:p>
    <w:bookmarkEnd w:id="129"/>
    <w:bookmarkEnd w:id="130"/>
    <w:bookmarkStart w:id="132"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131" w:name="tbl-objtype-joint"/>
          <w:tbl>
            <w:tblPr>
              <w:tblStyle w:val="Table"/>
              <w:tblW w:type="pct" w:w="5000"/>
              <w:tblLook w:firstRow="1" w:lastRow="0" w:firstColumn="0" w:lastColumn="0" w:noHBand="0" w:noVBand="0" w:val="0020"/>
              <w:jc w:val="start"/>
              <w:tblLayout w:type="fixed"/>
            </w:tblPr>
            <w:tblGrid>
              <w:gridCol w:w="554"/>
              <w:gridCol w:w="2217"/>
              <w:gridCol w:w="475"/>
              <w:gridCol w:w="554"/>
              <w:gridCol w:w="1029"/>
              <w:gridCol w:w="1108"/>
              <w:gridCol w:w="950"/>
              <w:gridCol w:w="102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27: Side-by-side comparison of network statistics across all conditions: baseline (all objects), exclude all figurines, and exclude Vogelherd figurines only. The rightmost columns show the percentage change in mean degree from baseline.</w:t>
            </w:r>
          </w:p>
          <w:bookmarkEnd w:id="131"/>
        </w:tc>
      </w:tr>
    </w:tbl>
    <w:bookmarkEnd w:id="132"/>
    <w:bookmarkStart w:id="133"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27</w:t>
        </w:r>
      </w:hyperlink>
      <w:r>
        <w:t xml:space="preserve"> </w:t>
      </w:r>
      <w:r>
        <w:t xml:space="preserve">shows that figurine exclusion has a modest and phase-dependent effect on network structure: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Baseline mean°</w:t>
            </w:r>
          </w:p>
        </w:tc>
        <w:tc>
          <w:tcPr/>
          <w:p>
            <w:pPr>
              <w:pStyle w:val="Compact"/>
              <w:jc w:val="left"/>
            </w:pPr>
            <w:r>
              <w:t xml:space="preserve">No figurines</w:t>
            </w:r>
          </w:p>
        </w:tc>
        <w:tc>
          <w:tcPr/>
          <w:p>
            <w:pPr>
              <w:pStyle w:val="Compact"/>
              <w:jc w:val="left"/>
            </w:pPr>
            <w:r>
              <w:t xml:space="preserve">Δ</w:t>
            </w:r>
          </w:p>
        </w:tc>
        <w:tc>
          <w:tcPr/>
          <w:p>
            <w:pPr>
              <w:pStyle w:val="Compact"/>
              <w:jc w:val="left"/>
            </w:pPr>
            <w:r>
              <w:t xml:space="preserve">Vogelherd only</w:t>
            </w:r>
          </w:p>
        </w:tc>
        <w:tc>
          <w:tcPr/>
          <w:p>
            <w:pPr>
              <w:pStyle w:val="Compact"/>
              <w:jc w:val="left"/>
            </w:pPr>
            <w:r>
              <w:t xml:space="preserve">Δ</w:t>
            </w:r>
          </w:p>
        </w:tc>
      </w:tr>
      <w:tr>
        <w:tc>
          <w:tcPr/>
          <w:p>
            <w:pPr>
              <w:pStyle w:val="Compact"/>
              <w:jc w:val="left"/>
            </w:pPr>
            <w:r>
              <w:t xml:space="preserve">Aur-P1</w:t>
            </w:r>
          </w:p>
        </w:tc>
        <w:tc>
          <w:tcPr/>
          <w:p>
            <w:pPr>
              <w:pStyle w:val="Compact"/>
              <w:jc w:val="left"/>
            </w:pPr>
            <w:r>
              <w:t xml:space="preserve">7.50</w:t>
            </w:r>
          </w:p>
        </w:tc>
        <w:tc>
          <w:tcPr/>
          <w:p>
            <w:pPr>
              <w:pStyle w:val="Compact"/>
              <w:jc w:val="left"/>
            </w:pPr>
            <w:r>
              <w:t xml:space="preserve">7.40</w:t>
            </w:r>
          </w:p>
        </w:tc>
        <w:tc>
          <w:tcPr/>
          <w:p>
            <w:pPr>
              <w:pStyle w:val="Compact"/>
              <w:jc w:val="left"/>
            </w:pPr>
            <w:r>
              <w:t xml:space="preserve">−1.3%</w:t>
            </w:r>
          </w:p>
        </w:tc>
        <w:tc>
          <w:tcPr/>
          <w:p>
            <w:pPr>
              <w:pStyle w:val="Compact"/>
              <w:jc w:val="left"/>
            </w:pPr>
            <w:r>
              <w:t xml:space="preserve">7.40</w:t>
            </w:r>
          </w:p>
        </w:tc>
        <w:tc>
          <w:tcPr/>
          <w:p>
            <w:pPr>
              <w:pStyle w:val="Compact"/>
              <w:jc w:val="left"/>
            </w:pPr>
            <w:r>
              <w:t xml:space="preserve">−1.3%</w:t>
            </w:r>
          </w:p>
        </w:tc>
      </w:tr>
      <w:tr>
        <w:tc>
          <w:tcPr/>
          <w:p>
            <w:pPr>
              <w:pStyle w:val="Compact"/>
              <w:jc w:val="left"/>
            </w:pPr>
            <w:r>
              <w:t xml:space="preserve">Aur-P2</w:t>
            </w:r>
          </w:p>
        </w:tc>
        <w:tc>
          <w:tcPr/>
          <w:p>
            <w:pPr>
              <w:pStyle w:val="Compact"/>
              <w:jc w:val="left"/>
            </w:pPr>
            <w:r>
              <w:t xml:space="preserve">4.22</w:t>
            </w:r>
          </w:p>
        </w:tc>
        <w:tc>
          <w:tcPr/>
          <w:p>
            <w:pPr>
              <w:pStyle w:val="Compact"/>
              <w:jc w:val="left"/>
            </w:pPr>
            <w:r>
              <w:t xml:space="preserve">4.22</w:t>
            </w:r>
          </w:p>
        </w:tc>
        <w:tc>
          <w:tcPr/>
          <w:p>
            <w:pPr>
              <w:pStyle w:val="Compact"/>
              <w:jc w:val="left"/>
            </w:pPr>
            <w:r>
              <w:t xml:space="preserve">0%</w:t>
            </w:r>
          </w:p>
        </w:tc>
        <w:tc>
          <w:tcPr/>
          <w:p>
            <w:pPr>
              <w:pStyle w:val="Compact"/>
              <w:jc w:val="left"/>
            </w:pPr>
            <w:r>
              <w:t xml:space="preserve">4.22</w:t>
            </w:r>
          </w:p>
        </w:tc>
        <w:tc>
          <w:tcPr/>
          <w:p>
            <w:pPr>
              <w:pStyle w:val="Compact"/>
              <w:jc w:val="left"/>
            </w:pPr>
            <w:r>
              <w:t xml:space="preserve">0%</w:t>
            </w:r>
          </w:p>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7.50 → 7.40)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(7.50 &gt; 4.22) is unchanged under both exclusion scenarios (7.40 &gt; 4.22 excluding all figurines; 7.40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produces the same effect as removing all 63 figurines globally (−1.3%). Figurines at Hohle Fels, Geissenklösterle, Hohlenstein-Stadel, and La Ferrassie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[5]</w:t>
      </w:r>
      <w:r>
        <w:t xml:space="preserve"> </w:t>
      </w:r>
      <w:r>
        <w:t xml:space="preserve">argument that figurines carry high-information sign sequences, but the communities themselves are defined by shared sign types across all object types.</w:t>
      </w:r>
    </w:p>
    <w:bookmarkEnd w:id="133"/>
    <w:bookmarkEnd w:id="134"/>
    <w:bookmarkStart w:id="166" w:name="sec-s8"/>
    <w:p>
      <w:pPr>
        <w:pStyle w:val="Heading1"/>
      </w:pPr>
      <w:r>
        <w:t xml:space="preserve">S8. Site Reclassification Sensitivity Analysis</w:t>
      </w:r>
    </w:p>
    <w:bookmarkStart w:id="135"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[6,7]</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w:t>
      </w:r>
      <w:r>
        <w:t xml:space="preserve"> </w:t>
      </w:r>
      <w:r>
        <w:t xml:space="preserve">[8]</w:t>
      </w:r>
      <w:r>
        <w:t xml:space="preserve"> </w:t>
      </w:r>
      <w:r>
        <w:t xml:space="preserve">classify this as Early Aurignacian (Aur-P1) based on carinated scrapers and wide Aurignacian blades. No split-base bone points (Proto-Aurignacian diagnostic) were found</w:t>
      </w:r>
      <w:r>
        <w:t xml:space="preserve"> </w:t>
      </w:r>
      <w:r>
        <w:t xml:space="preserve">[8,9]</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[10]</w:t>
      </w:r>
      <w:r>
        <w:t xml:space="preserve">. Direct dates of ~31 ka ¹⁴C BP (~35–36 cal BP) are too young for Proto-Aurignacian</w:t>
      </w:r>
      <w:r>
        <w:t xml:space="preserve"> </w:t>
      </w:r>
      <w:r>
        <w:t xml:space="preserve">[11]</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[12]</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135"/>
    <w:bookmarkStart w:id="138"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136"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21</w:t>
                  </w:r>
                </w:p>
              </w:tc>
              <w:tc>
                <w:tcPr/>
                <w:p>
                  <w:pPr>
                    <w:pStyle w:val="Compact"/>
                    <w:jc w:val="center"/>
                    <w:jc w:val="center"/>
                  </w:pPr>
                  <w:r>
                    <w:t xml:space="preserve">90</w:t>
                  </w:r>
                </w:p>
              </w:tc>
              <w:tc>
                <w:tcPr/>
                <w:p>
                  <w:pPr>
                    <w:pStyle w:val="Compact"/>
                    <w:jc w:val="center"/>
                    <w:jc w:val="center"/>
                  </w:pPr>
                  <w:r>
                    <w:t xml:space="preserve">0.429</w:t>
                  </w:r>
                </w:p>
              </w:tc>
              <w:tc>
                <w:tcPr/>
                <w:p>
                  <w:pPr>
                    <w:pStyle w:val="Compact"/>
                    <w:jc w:val="center"/>
                    <w:jc w:val="center"/>
                  </w:pPr>
                  <w:r>
                    <w:t xml:space="preserve">8.57</w:t>
                  </w:r>
                </w:p>
              </w:tc>
              <w:tc>
                <w:tcPr/>
                <w:p>
                  <w:pPr>
                    <w:pStyle w:val="Compact"/>
                    <w:jc w:val="center"/>
                    <w:jc w:val="center"/>
                  </w:pPr>
                  <w:r>
                    <w:t xml:space="preserve">0.729</w:t>
                  </w:r>
                </w:p>
              </w:tc>
              <w:tc>
                <w:tcPr/>
                <w:p>
                  <w:pPr>
                    <w:pStyle w:val="Compact"/>
                    <w:jc w:val="center"/>
                    <w:jc w:val="center"/>
                  </w:pPr>
                  <w:r>
                    <w:t xml:space="preserve">0.303</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28: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136"/>
        </w:tc>
      </w:tr>
    </w:tbl>
    <w:bookmarkStart w:id="137"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(its ~35–36 ka BP (calibrated) dates fall in the Early Aurignacian range, which is folded into Aur-P1), while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21 sites and 90 edges (mean degree 8.57), while Aur-P2 , now missing Mladeč but containing 42 young-dated objects from Hohle Fels and Vogelherd , has 9 sites and 15 edges (mean degree 3.33).</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137"/>
    <w:bookmarkEnd w:id="138"/>
    <w:bookmarkStart w:id="139"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Condition</w:t>
            </w:r>
          </w:p>
        </w:tc>
        <w:tc>
          <w:tcPr/>
          <w:p>
            <w:pPr>
              <w:pStyle w:val="Compact"/>
              <w:jc w:val="left"/>
            </w:pPr>
            <w:r>
              <w:t xml:space="preserve">Aur-P1 mean°</w:t>
            </w:r>
          </w:p>
        </w:tc>
        <w:tc>
          <w:tcPr/>
          <w:p>
            <w:pPr>
              <w:pStyle w:val="Compact"/>
              <w:jc w:val="left"/>
            </w:pPr>
            <w:r>
              <w:t xml:space="preserve">Aur-P2 mean°</w:t>
            </w:r>
          </w:p>
        </w:tc>
        <w:tc>
          <w:tcPr/>
          <w:p>
            <w:pPr>
              <w:pStyle w:val="Compact"/>
              <w:jc w:val="left"/>
            </w:pPr>
            <w:r>
              <w:t xml:space="preserve">Ordering</w:t>
            </w:r>
          </w:p>
        </w:tc>
      </w:tr>
      <w:tr>
        <w:tc>
          <w:tcPr/>
          <w:p>
            <w:pPr>
              <w:pStyle w:val="Compact"/>
              <w:jc w:val="left"/>
            </w:pPr>
            <w:r>
              <w:t xml:space="preserve">Baseline (technology-based)</w:t>
            </w:r>
          </w:p>
        </w:tc>
        <w:tc>
          <w:tcPr/>
          <w:p>
            <w:pPr>
              <w:pStyle w:val="Compact"/>
              <w:jc w:val="left"/>
            </w:pPr>
            <w:r>
              <w:t xml:space="preserve">7.5</w:t>
            </w:r>
          </w:p>
        </w:tc>
        <w:tc>
          <w:tcPr/>
          <w:p>
            <w:pPr>
              <w:pStyle w:val="Compact"/>
              <w:jc w:val="left"/>
            </w:pPr>
            <w:r>
              <w:t xml:space="preserve">4.22</w:t>
            </w:r>
          </w:p>
        </w:tc>
        <w:tc>
          <w:tcPr/>
          <w:p>
            <w:pPr>
              <w:pStyle w:val="Compact"/>
              <w:jc w:val="left"/>
            </w:pPr>
            <w:r>
              <w:t xml:space="preserve">Aur-P1 &gt; Aur-P2</w:t>
            </w:r>
          </w:p>
        </w:tc>
      </w:tr>
      <w:tr>
        <w:tc>
          <w:tcPr/>
          <w:p>
            <w:pPr>
              <w:pStyle w:val="Compact"/>
              <w:jc w:val="left"/>
            </w:pPr>
            <w:r>
              <w:t xml:space="preserve">Date-based</w:t>
            </w:r>
          </w:p>
        </w:tc>
        <w:tc>
          <w:tcPr/>
          <w:p>
            <w:pPr>
              <w:pStyle w:val="Compact"/>
              <w:jc w:val="left"/>
            </w:pPr>
            <w:r>
              <w:t xml:space="preserve">8.57</w:t>
            </w:r>
          </w:p>
        </w:tc>
        <w:tc>
          <w:tcPr/>
          <w:p>
            <w:pPr>
              <w:pStyle w:val="Compact"/>
              <w:jc w:val="left"/>
            </w:pPr>
            <w:r>
              <w:t xml:space="preserve">3.33</w:t>
            </w:r>
          </w:p>
        </w:tc>
        <w:tc>
          <w:tcPr/>
          <w:p>
            <w:pPr>
              <w:pStyle w:val="Compact"/>
              <w:jc w:val="left"/>
            </w:pPr>
            <w:r>
              <w:t xml:space="preserve">Aur-P1 &gt; Aur-P2</w:t>
            </w:r>
          </w:p>
        </w:tc>
      </w:tr>
      <w:tr>
        <w:tc>
          <w:tcPr/>
          <w:p>
            <w:pPr>
              <w:pStyle w:val="Compact"/>
              <w:jc w:val="left"/>
            </w:pPr>
            <w:r>
              <w:t xml:space="preserve">Exclude Vogelherd</w:t>
            </w:r>
          </w:p>
        </w:tc>
        <w:tc>
          <w:tcPr/>
          <w:p>
            <w:pPr>
              <w:pStyle w:val="Compact"/>
              <w:jc w:val="left"/>
            </w:pPr>
            <w:r>
              <w:t xml:space="preserve">7.26</w:t>
            </w:r>
          </w:p>
        </w:tc>
        <w:tc>
          <w:tcPr/>
          <w:p>
            <w:pPr>
              <w:pStyle w:val="Compact"/>
              <w:jc w:val="left"/>
            </w:pPr>
            <w:r>
              <w:t xml:space="preserve">4.22</w:t>
            </w:r>
          </w:p>
        </w:tc>
        <w:tc>
          <w:tcPr/>
          <w:p>
            <w:pPr>
              <w:pStyle w:val="Compact"/>
              <w:jc w:val="left"/>
            </w:pPr>
            <w:r>
              <w:t xml:space="preserve">Aur-P1 &gt; Aur-P2</w:t>
            </w:r>
          </w:p>
        </w:tc>
      </w:tr>
    </w:tbl>
    <w:p>
      <w:pPr>
        <w:pStyle w:val="BodyText"/>
      </w:pPr>
      <w:r>
        <w:t xml:space="preserve">Under the date-based assignment Aur-P1’s mean degree rises (from 7.5 to 8.57) and Aur-P2’s falls (from 4.22 to 3.33), so the contrast is not an artefact of the technological reassignment , the naive date-based assignment, if anything, strengthens it. Excluding Vogelherd weakens but does not remove the contrast (7.26 vs 4.22).</w:t>
      </w:r>
    </w:p>
    <w:bookmarkEnd w:id="139"/>
    <w:bookmarkStart w:id="140"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yet Aur-P1 remains the more connected phase.</w:t>
      </w:r>
    </w:p>
    <w:p>
      <w:pPr>
        <w:pStyle w:val="BodyText"/>
      </w:pPr>
      <w:r>
        <w:t xml:space="preserve">The observed between-phase modularity values are, however, assignment-sensitive: they reverse under the date-based assignment (Aur-P1 0.303 &lt; Aur-P2 0.343,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bootstrap consensus, and the stochastic block model (S5, S6) , is defined within each phase’s membership and is unaffected by the between-phase assignment criterion tested here.</w:t>
      </w:r>
    </w:p>
    <w:bookmarkEnd w:id="140"/>
    <w:bookmarkStart w:id="165" w:name="references-cited"/>
    <w:p>
      <w:pPr>
        <w:pStyle w:val="Heading2"/>
      </w:pPr>
      <w:r>
        <w:t xml:space="preserve">References cited</w:t>
      </w:r>
    </w:p>
    <w:bookmarkStart w:id="164" w:name="refs"/>
    <w:bookmarkStart w:id="142"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141">
        <w:r>
          <w:rPr>
            <w:rStyle w:val="Hyperlink"/>
          </w:rPr>
          <w:t xml:space="preserve">https://doi.org/10.1016/j.quascirev.2021.106995</w:t>
        </w:r>
      </w:hyperlink>
      <w:r>
        <w:t xml:space="preserve">.</w:t>
      </w:r>
    </w:p>
    <w:bookmarkEnd w:id="142"/>
    <w:bookmarkStart w:id="144"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143">
        <w:r>
          <w:rPr>
            <w:rStyle w:val="Hyperlink"/>
          </w:rPr>
          <w:t xml:space="preserve">https://doi.org/10.1007/s41982-017-0004-4</w:t>
        </w:r>
      </w:hyperlink>
      <w:r>
        <w:t xml:space="preserve">.</w:t>
      </w:r>
    </w:p>
    <w:bookmarkEnd w:id="144"/>
    <w:bookmarkStart w:id="146" w:name="ref-newman2004finding"/>
    <w:p>
      <w:pPr>
        <w:pStyle w:val="Bibliography"/>
      </w:pPr>
      <w:r>
        <w:t xml:space="preserve">[3]</w:t>
      </w:r>
      <w:r>
        <w:t xml:space="preserve"> </w:t>
      </w:r>
      <w:r>
        <w:t xml:space="preserve">	</w:t>
      </w:r>
      <w:r>
        <w:t xml:space="preserve">Newman ME, Girvan M. Finding and evaluating community structure in networks. Physical Review E 2004;69:026113.</w:t>
      </w:r>
      <w:r>
        <w:t xml:space="preserve"> </w:t>
      </w:r>
      <w:hyperlink r:id="rId145">
        <w:r>
          <w:rPr>
            <w:rStyle w:val="Hyperlink"/>
          </w:rPr>
          <w:t xml:space="preserve">https://doi.org/10.1103/PhysRevE.69.026113</w:t>
        </w:r>
      </w:hyperlink>
      <w:r>
        <w:t xml:space="preserve">.</w:t>
      </w:r>
    </w:p>
    <w:bookmarkEnd w:id="146"/>
    <w:bookmarkStart w:id="148" w:name="ref-Monti_2003"/>
    <w:p>
      <w:pPr>
        <w:pStyle w:val="Bibliography"/>
      </w:pPr>
      <w:r>
        <w:t xml:space="preserve">[4]</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147">
        <w:r>
          <w:rPr>
            <w:rStyle w:val="Hyperlink"/>
          </w:rPr>
          <w:t xml:space="preserve">https://doi.org/10.1023/A:1023949509487</w:t>
        </w:r>
      </w:hyperlink>
      <w:r>
        <w:t xml:space="preserve">.</w:t>
      </w:r>
    </w:p>
    <w:bookmarkEnd w:id="148"/>
    <w:bookmarkStart w:id="150" w:name="ref-Bentz_Dutkiewicz_2026"/>
    <w:p>
      <w:pPr>
        <w:pStyle w:val="Bibliography"/>
      </w:pPr>
      <w:r>
        <w:t xml:space="preserve">[5]</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149">
        <w:r>
          <w:rPr>
            <w:rStyle w:val="Hyperlink"/>
          </w:rPr>
          <w:t xml:space="preserve">https://doi.org/10.1073/pnas.2520385123</w:t>
        </w:r>
      </w:hyperlink>
      <w:r>
        <w:t xml:space="preserve">.</w:t>
      </w:r>
    </w:p>
    <w:bookmarkEnd w:id="150"/>
    <w:bookmarkStart w:id="152" w:name="ref-Chiotti_2005"/>
    <w:p>
      <w:pPr>
        <w:pStyle w:val="Bibliography"/>
      </w:pPr>
      <w:r>
        <w:t xml:space="preserve">[6]</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51">
        <w:r>
          <w:rPr>
            <w:rStyle w:val="Hyperlink"/>
          </w:rPr>
          <w:t xml:space="preserve">https://doi.org/10.30861/9781841718309</w:t>
        </w:r>
      </w:hyperlink>
      <w:r>
        <w:t xml:space="preserve">.</w:t>
      </w:r>
    </w:p>
    <w:bookmarkEnd w:id="152"/>
    <w:bookmarkStart w:id="154" w:name="ref-Higham_Abri_Pataud_2011"/>
    <w:p>
      <w:pPr>
        <w:pStyle w:val="Bibliography"/>
      </w:pPr>
      <w:r>
        <w:t xml:space="preserve">[7]</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53">
        <w:r>
          <w:rPr>
            <w:rStyle w:val="Hyperlink"/>
          </w:rPr>
          <w:t xml:space="preserve">https://doi.org/10.1016/j.jhevol.2011.06.005</w:t>
        </w:r>
      </w:hyperlink>
      <w:r>
        <w:t xml:space="preserve">.</w:t>
      </w:r>
    </w:p>
    <w:bookmarkEnd w:id="154"/>
    <w:bookmarkStart w:id="156" w:name="ref-Talamo_La_Ferrassie_2020"/>
    <w:p>
      <w:pPr>
        <w:pStyle w:val="Bibliography"/>
      </w:pPr>
      <w:r>
        <w:t xml:space="preserve">[8]</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55">
        <w:r>
          <w:rPr>
            <w:rStyle w:val="Hyperlink"/>
          </w:rPr>
          <w:t xml:space="preserve">https://doi.org/10.1002/jqs.3236</w:t>
        </w:r>
      </w:hyperlink>
      <w:r>
        <w:t xml:space="preserve">.</w:t>
      </w:r>
    </w:p>
    <w:bookmarkEnd w:id="156"/>
    <w:bookmarkStart w:id="157" w:name="ref-Delporte_1984_Ferrassie"/>
    <w:p>
      <w:pPr>
        <w:pStyle w:val="Bibliography"/>
      </w:pPr>
      <w:r>
        <w:t xml:space="preserve">[9]</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157"/>
    <w:bookmarkStart w:id="159" w:name="ref-Oliva_2006"/>
    <w:p>
      <w:pPr>
        <w:pStyle w:val="Bibliography"/>
      </w:pPr>
      <w:r>
        <w:t xml:space="preserve">[10]</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158">
        <w:r>
          <w:rPr>
            <w:rStyle w:val="Hyperlink"/>
          </w:rPr>
          <w:t xml:space="preserve">https://doi.org/10.1007/978-3-211-49294-9_4</w:t>
        </w:r>
      </w:hyperlink>
      <w:r>
        <w:t xml:space="preserve">.</w:t>
      </w:r>
    </w:p>
    <w:bookmarkEnd w:id="159"/>
    <w:bookmarkStart w:id="161" w:name="ref-Wild_et_al_2005"/>
    <w:p>
      <w:pPr>
        <w:pStyle w:val="Bibliography"/>
      </w:pPr>
      <w:r>
        <w:t xml:space="preserve">[11]</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160">
        <w:r>
          <w:rPr>
            <w:rStyle w:val="Hyperlink"/>
          </w:rPr>
          <w:t xml:space="preserve">https://doi.org/10.1038/nature03585</w:t>
        </w:r>
      </w:hyperlink>
      <w:r>
        <w:t xml:space="preserve">.</w:t>
      </w:r>
    </w:p>
    <w:bookmarkEnd w:id="161"/>
    <w:bookmarkStart w:id="163" w:name="ref-Schurch_Conard_2026_reassess"/>
    <w:p>
      <w:pPr>
        <w:pStyle w:val="Bibliography"/>
      </w:pPr>
      <w:r>
        <w:t xml:space="preserve">[12]</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62">
        <w:r>
          <w:rPr>
            <w:rStyle w:val="Hyperlink"/>
          </w:rPr>
          <w:t xml:space="preserve">https://doi.org/10.1007/s41982-025-00246-x</w:t>
        </w:r>
      </w:hyperlink>
      <w:r>
        <w:t xml:space="preserve">.</w:t>
      </w:r>
    </w:p>
    <w:bookmarkEnd w:id="163"/>
    <w:bookmarkEnd w:id="164"/>
    <w:bookmarkEnd w:id="165"/>
    <w:bookmarkEnd w:id="166"/>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hyperlink" Id="rId155" Target="https://doi.org/10.1002/jqs.3236" TargetMode="External" /><Relationship Type="http://schemas.openxmlformats.org/officeDocument/2006/relationships/hyperlink" Id="rId158" Target="https://doi.org/10.1007/978-3-211-49294-9_4" TargetMode="External" /><Relationship Type="http://schemas.openxmlformats.org/officeDocument/2006/relationships/hyperlink" Id="rId143" Target="https://doi.org/10.1007/s41982-017-0004-4" TargetMode="External" /><Relationship Type="http://schemas.openxmlformats.org/officeDocument/2006/relationships/hyperlink" Id="rId162" Target="https://doi.org/10.1007/s41982-025-00246-x" TargetMode="External" /><Relationship Type="http://schemas.openxmlformats.org/officeDocument/2006/relationships/hyperlink" Id="rId153" Target="https://doi.org/10.1016/j.jhevol.2011.06.005" TargetMode="External" /><Relationship Type="http://schemas.openxmlformats.org/officeDocument/2006/relationships/hyperlink" Id="rId141" Target="https://doi.org/10.1016/j.quascirev.2021.106995" TargetMode="External" /><Relationship Type="http://schemas.openxmlformats.org/officeDocument/2006/relationships/hyperlink" Id="rId147" Target="https://doi.org/10.1023/A:1023949509487" TargetMode="External" /><Relationship Type="http://schemas.openxmlformats.org/officeDocument/2006/relationships/hyperlink" Id="rId160" Target="https://doi.org/10.1038/nature03585" TargetMode="External" /><Relationship Type="http://schemas.openxmlformats.org/officeDocument/2006/relationships/hyperlink" Id="rId149" Target="https://doi.org/10.1073/pnas.2520385123" TargetMode="External" /><Relationship Type="http://schemas.openxmlformats.org/officeDocument/2006/relationships/hyperlink" Id="rId145" Target="https://doi.org/10.1103/PhysRevE.69.026113" TargetMode="External" /><Relationship Type="http://schemas.openxmlformats.org/officeDocument/2006/relationships/hyperlink" Id="rId151" Target="https://doi.org/10.30861/9781841718309"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5" Target="https://doi.org/10.1002/jqs.3236" TargetMode="External" /><Relationship Type="http://schemas.openxmlformats.org/officeDocument/2006/relationships/hyperlink" Id="rId158" Target="https://doi.org/10.1007/978-3-211-49294-9_4" TargetMode="External" /><Relationship Type="http://schemas.openxmlformats.org/officeDocument/2006/relationships/hyperlink" Id="rId143" Target="https://doi.org/10.1007/s41982-017-0004-4" TargetMode="External" /><Relationship Type="http://schemas.openxmlformats.org/officeDocument/2006/relationships/hyperlink" Id="rId162" Target="https://doi.org/10.1007/s41982-025-00246-x" TargetMode="External" /><Relationship Type="http://schemas.openxmlformats.org/officeDocument/2006/relationships/hyperlink" Id="rId153" Target="https://doi.org/10.1016/j.jhevol.2011.06.005" TargetMode="External" /><Relationship Type="http://schemas.openxmlformats.org/officeDocument/2006/relationships/hyperlink" Id="rId141" Target="https://doi.org/10.1016/j.quascirev.2021.106995" TargetMode="External" /><Relationship Type="http://schemas.openxmlformats.org/officeDocument/2006/relationships/hyperlink" Id="rId147" Target="https://doi.org/10.1023/A:1023949509487" TargetMode="External" /><Relationship Type="http://schemas.openxmlformats.org/officeDocument/2006/relationships/hyperlink" Id="rId160" Target="https://doi.org/10.1038/nature03585" TargetMode="External" /><Relationship Type="http://schemas.openxmlformats.org/officeDocument/2006/relationships/hyperlink" Id="rId149" Target="https://doi.org/10.1073/pnas.2520385123" TargetMode="External" /><Relationship Type="http://schemas.openxmlformats.org/officeDocument/2006/relationships/hyperlink" Id="rId145" Target="https://doi.org/10.1103/PhysRevE.69.026113" TargetMode="External" /><Relationship Type="http://schemas.openxmlformats.org/officeDocument/2006/relationships/hyperlink" Id="rId151" Target="https://doi.org/10.30861/9781841718309"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2026-08-24T06:55:59Z</dcterms:created>
  <dcterms:modified xsi:type="dcterms:W3CDTF">2026-08-24T06:55:59Z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