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297.png" ContentType="image/png"/>
  <Override PartName="/word/media/rId304.png" ContentType="image/png"/>
  <Override PartName="/word/media/rId131.png" ContentType="image/png"/>
  <Override PartName="/word/media/rId44.png" ContentType="image/png"/>
  <Override PartName="/word/media/rId30.png" ContentType="image/png"/>
  <Override PartName="/word/media/rId55.png" ContentType="image/png"/>
  <Override PartName="/word/media/rId314.png" ContentType="image/png"/>
  <Override PartName="/word/media/rId343.png" ContentType="image/png"/>
  <Override PartName="/word/media/rId331.png" ContentType="image/png"/>
  <Override PartName="/word/media/rId323.png" ContentType="image/png"/>
  <Override PartName="/word/media/rId37.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152.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233.png" ContentType="image/png"/>
  <Override PartName="/word/media/rId155.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Override PartName="/word/media/rId263.png" ContentType="image/png"/>
  <Override PartName="/word/media/rId158.png" ContentType="image/png"/>
  <Override PartName="/word/media/rId266.png" ContentType="image/png"/>
  <Override PartName="/word/media/rId269.png" ContentType="image/png"/>
  <Override PartName="/word/media/rId272.png" ContentType="image/png"/>
  <Override PartName="/word/media/rId275.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6" w:name="sec-s1"/>
    <w:p>
      <w:pPr>
        <w:pStyle w:val="Heading1"/>
      </w:pPr>
      <w:r>
        <w:t xml:space="preserve">S1.1 Sample Foundation and Site Retention</w:t>
      </w:r>
    </w:p>
    <w:bookmarkStart w:id="21" w:name="rationale"/>
    <w:p>
      <w:pPr>
        <w:pStyle w:val="Heading2"/>
      </w:pPr>
      <w:r>
        <w:t xml:space="preserve">Rationale</w:t>
      </w:r>
    </w:p>
    <w:p>
      <w:pPr>
        <w:pStyle w:val="FirstParagraph"/>
      </w:pPr>
      <w:r>
        <w:t xml:space="preserve">This section expands on the site rejection details notes in the main text.</w:t>
      </w:r>
    </w:p>
    <w:bookmarkEnd w:id="21"/>
    <w:bookmarkStart w:id="23" w:name="sec-S1-1-counts"/>
    <w:p>
      <w:pPr>
        <w:pStyle w:val="Heading2"/>
      </w:pPr>
      <w:r>
        <w:t xml:space="preserve">S1.1.1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bookmarkEnd w:id="23"/>
    <w:bookmarkStart w:id="24" w:name="sec-S1-1-interpretation"/>
    <w:p>
      <w:pPr>
        <w:pStyle w:val="Heading2"/>
      </w:pPr>
      <w:r>
        <w:t xml:space="preserve">S1.1.2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S1.2–S1.12 below are therefore conditional on the retained sample of 409 objects at 28 sites. The phase table in Supplement 2 lists the retained sites with their technological or date-based assignment;</w:t>
      </w:r>
      <w:r>
        <w:t xml:space="preserve"> </w:t>
      </w:r>
      <w:hyperlink w:anchor="tbl-dropped-sites">
        <w:r>
          <w:rPr>
            <w:rStyle w:val="Hyperlink"/>
          </w:rPr>
          <w:t xml:space="preserve">Table S 1</w:t>
        </w:r>
      </w:hyperlink>
      <w:r>
        <w:t xml:space="preserve"> </w:t>
      </w:r>
      <w:r>
        <w:t xml:space="preserve">provides the site-by-site loss table that the main text references.</w:t>
      </w:r>
    </w:p>
    <w:bookmarkEnd w:id="24"/>
    <w:bookmarkStart w:id="25" w:name="sec-S1-1-analysis-ready-phase"/>
    <w:p>
      <w:pPr>
        <w:pStyle w:val="Heading2"/>
      </w:pPr>
      <w:r>
        <w:t xml:space="preserve">S1.1.3 Analysis-ready phase data</w:t>
      </w:r>
    </w:p>
    <w:bookmarkEnd w:id="25"/>
    <w:bookmarkEnd w:id="26"/>
    <w:bookmarkStart w:id="42" w:name="sec-s2"/>
    <w:p>
      <w:pPr>
        <w:pStyle w:val="Heading1"/>
      </w:pPr>
      <w:r>
        <w:t xml:space="preserve">S1.2 Network Threshold</w:t>
      </w:r>
    </w:p>
    <w:bookmarkStart w:id="27" w:name="rationale-1"/>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7"/>
    <w:bookmarkStart w:id="29" w:name="sec-S1-2-network-statistics-across"/>
    <w:p>
      <w:pPr>
        <w:pStyle w:val="Heading2"/>
      </w:pPr>
      <w:r>
        <w:t xml:space="preserve">S1.2.1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sec-S1-2-network-visualisations-across"/>
    <w:p>
      <w:pPr>
        <w:pStyle w:val="Heading2"/>
      </w:pPr>
      <w:r>
        <w:t xml:space="preserve">S1.2.2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ec-S1-2-interpretation"/>
    <w:p>
      <w:pPr>
        <w:pStyle w:val="Heading2"/>
      </w:pPr>
      <w:r>
        <w:t xml:space="preserve">S1.2.3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S 2</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Start w:id="36" w:name="sec-s2-4"/>
    <w:p>
      <w:pPr>
        <w:pStyle w:val="Heading2"/>
      </w:pPr>
      <w:r>
        <w:t xml:space="preserve">S1.2.4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36"/>
    <w:bookmarkStart w:id="41" w:name="sec-s2-5"/>
    <w:p>
      <w:pPr>
        <w:pStyle w:val="Heading2"/>
      </w:pPr>
      <w:r>
        <w:t xml:space="preserve">S1.2.5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40" w:name="fig-threshold-sweep"/>
          <w:p>
            <w:pPr>
              <w:pStyle w:val="Compact"/>
              <w:jc w:val="center"/>
            </w:pPr>
            <w:r>
              <w:drawing>
                <wp:inline>
                  <wp:extent cx="5943600" cy="2971800"/>
                  <wp:effectExtent b="0" l="0" r="0" t="0"/>
                  <wp:docPr descr="" title="" id="38" name="Picture"/>
                  <a:graphic>
                    <a:graphicData uri="http://schemas.openxmlformats.org/drawingml/2006/picture">
                      <pic:pic>
                        <pic:nvPicPr>
                          <pic:cNvPr descr="S1-supplement-sensitivity_files/figure-docx/fig-threshold-sweep-1.png" id="39" name="Picture"/>
                          <pic:cNvPicPr>
                            <a:picLocks noChangeArrowheads="1" noChangeAspect="1"/>
                          </pic:cNvPicPr>
                        </pic:nvPicPr>
                        <pic:blipFill>
                          <a:blip r:embed="rId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40"/>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41"/>
    <w:bookmarkEnd w:id="42"/>
    <w:bookmarkStart w:id="50" w:name="sec-s3"/>
    <w:p>
      <w:pPr>
        <w:pStyle w:val="Heading1"/>
      </w:pPr>
      <w:r>
        <w:t xml:space="preserve">S1.3 Similarity Metric Choice (Jaccard vs. Sørensen-Dice vs. Simpson)</w:t>
      </w:r>
    </w:p>
    <w:bookmarkStart w:id="48"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43"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3: Network statistics for each Aurignacian phase across three similarity metrics (Jaccard, Sørensen-Dice, Simpson) at threshold = 0.2.</w:t>
            </w:r>
          </w:p>
          <w:bookmarkEnd w:id="43"/>
        </w:tc>
      </w:tr>
    </w:tbl>
    <w:tbl>
      <w:tblPr>
        <w:tblStyle w:val="Table"/>
        <w:tblW w:type="pct" w:w="5000"/>
        <w:tblLook w:firstRow="0" w:lastRow="0" w:firstColumn="0" w:lastColumn="0" w:noHBand="0" w:noVBand="0" w:val="0000"/>
        <w:jc w:val="start"/>
        <w:tblLayout w:type="fixed"/>
      </w:tblPr>
      <w:tblGrid>
        <w:gridCol w:w="7920"/>
      </w:tblGrid>
      <w:tr>
        <w:tc>
          <w:tcPr/>
          <w:bookmarkStart w:id="47" w:name="fig-metric-networks"/>
          <w:p>
            <w:pPr>
              <w:pStyle w:val="Compact"/>
              <w:jc w:val="center"/>
            </w:pPr>
            <w:r>
              <w:drawing>
                <wp:inline>
                  <wp:extent cx="5943600" cy="5403272"/>
                  <wp:effectExtent b="0" l="0" r="0" t="0"/>
                  <wp:docPr descr="" title="" id="45" name="Picture"/>
                  <a:graphic>
                    <a:graphicData uri="http://schemas.openxmlformats.org/drawingml/2006/picture">
                      <pic:pic>
                        <pic:nvPicPr>
                          <pic:cNvPr descr="../figures/sensitivity-metric-plot.png" id="46" name="Picture"/>
                          <pic:cNvPicPr>
                            <a:picLocks noChangeArrowheads="1" noChangeAspect="1"/>
                          </pic:cNvPicPr>
                        </pic:nvPicPr>
                        <pic:blipFill>
                          <a:blip r:embed="rId4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7"/>
        </w:tc>
      </w:tr>
    </w:tbl>
    <w:bookmarkEnd w:id="48"/>
    <w:bookmarkStart w:id="49" w:name="sec-S1-3-interpretation"/>
    <w:p>
      <w:pPr>
        <w:pStyle w:val="Heading2"/>
      </w:pPr>
      <w:r>
        <w:t xml:space="preserve">S1.3.2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9"/>
    <w:bookmarkEnd w:id="50"/>
    <w:bookmarkStart w:id="62" w:name="sec-s4"/>
    <w:p>
      <w:pPr>
        <w:pStyle w:val="Heading1"/>
      </w:pPr>
      <w:r>
        <w:t xml:space="preserve">S1.4 Geographic Distance Verification (Mantel Tests)</w:t>
      </w:r>
    </w:p>
    <w:bookmarkStart w:id="52" w:name="sec-S1-4-rationale"/>
    <w:p>
      <w:pPr>
        <w:pStyle w:val="Heading2"/>
      </w:pPr>
      <w:r>
        <w:t xml:space="preserve">S1.4.1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51"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4: Comparison of Mantel test results (Mantel R and p-value) evaluating sign assemblage dissimilarity vs. spatial distance using flat coordinate Euclidean distance vs. true Geodesic distance (in kilometers).</w:t>
            </w:r>
          </w:p>
          <w:bookmarkEnd w:id="51"/>
        </w:tc>
      </w:tr>
    </w:tbl>
    <w:bookmarkEnd w:id="52"/>
    <w:bookmarkStart w:id="53" w:name="sec-S1-4-interpretation"/>
    <w:p>
      <w:pPr>
        <w:pStyle w:val="Heading2"/>
      </w:pPr>
      <w:r>
        <w:t xml:space="preserve">S1.4.2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53"/>
    <w:bookmarkStart w:id="61" w:name="sec-s4-3"/>
    <w:p>
      <w:pPr>
        <w:pStyle w:val="Heading2"/>
      </w:pPr>
      <w:r>
        <w:t xml:space="preserve">S1.4.3 Mantel Correlogram</w:t>
      </w:r>
    </w:p>
    <w:bookmarkStart w:id="54" w:name="rationale-2"/>
    <w:p>
      <w:pPr>
        <w:pStyle w:val="Heading3"/>
      </w:pPr>
      <w:r>
        <w:t xml:space="preserve">Rationale</w:t>
      </w:r>
    </w:p>
    <w:p>
      <w:pPr>
        <w:pStyle w:val="FirstParagraph"/>
      </w:pPr>
      <w:r>
        <w:t xml:space="preserve">The Mantel tests reported in the main text and in S1.4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2"/>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2"/>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54"/>
    <w:bookmarkStart w:id="59" w:name="analysis"/>
    <w:p>
      <w:pPr>
        <w:pStyle w:val="Heading3"/>
      </w:pPr>
      <w:r>
        <w:t xml:space="preserve">Analysis</w:t>
      </w:r>
    </w:p>
    <w:p>
      <w:pPr>
        <w:pStyle w:val="FirstParagraph"/>
      </w:pPr>
      <w:r>
        <w:t xml:space="preserve">We reconstruct, for each phase, the Jaccard sign dissimilarity and the geodesic geographic-distance matrix used by the S1.4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58" w:name="fig-mantel-correlogram"/>
          <w:p>
            <w:pPr>
              <w:pStyle w:val="Compact"/>
              <w:jc w:val="center"/>
            </w:pPr>
            <w:r>
              <w:drawing>
                <wp:inline>
                  <wp:extent cx="5943600" cy="3714750"/>
                  <wp:effectExtent b="0" l="0" r="0" t="0"/>
                  <wp:docPr descr="" title="" id="56" name="Picture"/>
                  <a:graphic>
                    <a:graphicData uri="http://schemas.openxmlformats.org/drawingml/2006/picture">
                      <pic:pic>
                        <pic:nvPicPr>
                          <pic:cNvPr descr="S1-supplement-sensitivity_files/figure-docx/fig-mantel-correlogram-1.png" id="57" name="Picture"/>
                          <pic:cNvPicPr>
                            <a:picLocks noChangeArrowheads="1" noChangeAspect="1"/>
                          </pic:cNvPicPr>
                        </pic:nvPicPr>
                        <pic:blipFill>
                          <a:blip r:embed="rId5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58"/>
        </w:tc>
      </w:tr>
    </w:tbl>
    <w:bookmarkEnd w:id="59"/>
    <w:bookmarkStart w:id="6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S1.4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S1.8.1.</w:t>
      </w:r>
    </w:p>
    <w:bookmarkEnd w:id="60"/>
    <w:bookmarkEnd w:id="61"/>
    <w:bookmarkEnd w:id="62"/>
    <w:bookmarkStart w:id="86" w:name="sec-s5"/>
    <w:p>
      <w:pPr>
        <w:pStyle w:val="Heading1"/>
      </w:pPr>
      <w:r>
        <w:t xml:space="preserve">S1.5 Periodisation Scheme Sensitivity</w:t>
      </w:r>
    </w:p>
    <w:bookmarkStart w:id="65" w:name="sec-s5-1"/>
    <w:p>
      <w:pPr>
        <w:pStyle w:val="Heading2"/>
      </w:pPr>
      <w:r>
        <w:t xml:space="preserve">S1.5.1 Rationale</w:t>
      </w:r>
    </w:p>
    <w:p>
      <w:pPr>
        <w:pStyle w:val="FirstParagraph"/>
      </w:pPr>
      <w:r>
        <w:t xml:space="preserve">The main analysis adopts the two-phase Aur-P1/Aur-P2 framework of</w:t>
      </w:r>
      <w:r>
        <w:t xml:space="preserve"> </w:t>
      </w:r>
      <w:r>
        <w:t xml:space="preserve">[2]</w:t>
      </w:r>
      <w:r>
        <w:t xml:space="preserve">, which merges the Proto- and Early Aurignacian into a single early phase (Aur-P1, 43–37 ka BP) and treats the Evolved/Late Aurignacian as a single late phase (Aur-P2, 37–32 ka BP), with site membership assigned on technological grounds (S1.5.5).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[3]</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6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5: Reference: network statistics under the two-phase periodisation used in the main text (threshold = 0.2). Aur-P1 = Proto + Early; Aur-P2 = Evolved.</w:t>
            </w:r>
          </w:p>
          <w:bookmarkEnd w:id="6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6: Network statistics for the technology-assigned components of the two-phase baseline (Proto-Aurignacian, Early Aurignacian, Evolved Aurignacian) at threshold = 0.2. Aur-P1 = Proto + Early; Aur-P2 = Evolved.</w:t>
            </w:r>
          </w:p>
          <w:bookmarkEnd w:id="64"/>
        </w:tc>
      </w:tr>
    </w:tbl>
    <w:bookmarkEnd w:id="65"/>
    <w:bookmarkStart w:id="68" w:name="sec-s5-2"/>
    <w:p>
      <w:pPr>
        <w:pStyle w:val="Heading2"/>
      </w:pPr>
      <w:r>
        <w:t xml:space="preserve">S1.5.2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(S1.5.5)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6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7: Network statistics under the four-phase periodisation (Proto, Early, Evolved, Late Aurignacian) at threshold = 0.2. The Evolved/Late split of Aur-P2 follows the four-phase Aurignacian taxonomy of</w:t>
            </w:r>
            <w:r>
              <w:t xml:space="preserve"> </w:t>
            </w:r>
            <w:r>
              <w:t xml:space="preserve">[3]</w:t>
            </w:r>
            <w:r>
              <w:t xml:space="preserve">, with the boundary at 35 ka BP calibrated.</w:t>
            </w:r>
          </w:p>
          <w:bookmarkEnd w:id="66"/>
        </w:tc>
      </w:tr>
    </w:tbl>
    <w:bookmarkStart w:id="67" w:name="four-phase-interpretation"/>
    <w:p>
      <w:pPr>
        <w:pStyle w:val="Heading3"/>
      </w:pPr>
      <w:r>
        <w:t xml:space="preserve">Four-phase interpretation</w:t>
      </w:r>
    </w:p>
    <w:p>
      <w:pPr>
        <w:pStyle w:val="FirstParagraph"/>
      </w:pPr>
      <w:r>
        <w:t xml:space="preserve">The four-phase Aurignacian taxonomy of</w:t>
      </w:r>
      <w:r>
        <w:t xml:space="preserve"> </w:t>
      </w:r>
      <w:r>
        <w:t xml:space="preserve">[3]</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67"/>
    <w:bookmarkEnd w:id="68"/>
    <w:bookmarkStart w:id="70" w:name="sec-s5-3"/>
    <w:p>
      <w:pPr>
        <w:pStyle w:val="Heading2"/>
      </w:pPr>
      <w:r>
        <w:t xml:space="preserve">S1.5.3 Date-Variant Calibration</w:t>
      </w:r>
    </w:p>
    <w:tbl>
      <w:tblPr>
        <w:tblStyle w:val="Table"/>
        <w:tblW w:type="pct" w:w="5000"/>
        <w:tblLook w:firstRow="0" w:lastRow="0" w:firstColumn="0" w:lastColumn="0" w:noHBand="0" w:noVBand="0" w:val="0000"/>
        <w:jc w:val="start"/>
        <w:tblLayout w:type="fixed"/>
      </w:tblPr>
      <w:tblGrid>
        <w:gridCol w:w="7920"/>
      </w:tblGrid>
      <w:tr>
        <w:tc>
          <w:tcPr/>
          <w:bookmarkStart w:id="69"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8: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69"/>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70"/>
    <w:bookmarkStart w:id="77" w:name="sec-s5-4"/>
    <w:p>
      <w:pPr>
        <w:pStyle w:val="Heading2"/>
      </w:pPr>
      <w:r>
        <w:t xml:space="preserve">S1.5.4 Phase-Boundary Sensitivity</w:t>
      </w:r>
    </w:p>
    <w:bookmarkStart w:id="73"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1"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9: Number of objects and sites within ±500 and ±1000 calibrated years of the single periodisation boundary at 37799 BP separating Aur-P1 from Aur-P2.</w:t>
            </w:r>
          </w:p>
          <w:bookmarkEnd w:id="7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2"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10: Network statistics at the baseline threshold of 0.2 under shifts of the single Aur-P1/Aur-P2 boundary. Positive shifts move the boundary later (older objects reassigned to Aur-P2); negative shifts move it earlier (younger Aur-P2 objects reassigned to Aur-P1).</w:t>
            </w:r>
          </w:p>
          <w:bookmarkEnd w:id="72"/>
        </w:tc>
      </w:tr>
    </w:tbl>
    <w:bookmarkEnd w:id="73"/>
    <w:bookmarkStart w:id="74"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4"/>
    <w:bookmarkStart w:id="75"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5"/>
    <w:bookmarkStart w:id="76"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6"/>
    <w:bookmarkEnd w:id="77"/>
    <w:bookmarkStart w:id="85" w:name="sec-s5-5"/>
    <w:p>
      <w:pPr>
        <w:pStyle w:val="Heading2"/>
      </w:pPr>
      <w:r>
        <w:t xml:space="preserve">S1.5.5 Technological Versus Date-Based Assignment</w:t>
      </w:r>
    </w:p>
    <w:bookmarkStart w:id="78" w:name="rationale-4"/>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[4,5]</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w:t>
      </w:r>
      <w:r>
        <w:t xml:space="preserve"> </w:t>
      </w:r>
      <w:r>
        <w:t xml:space="preserve">[6]</w:t>
      </w:r>
      <w:r>
        <w:t xml:space="preserve"> </w:t>
      </w:r>
      <w:r>
        <w:t xml:space="preserve">classify this as Early Aurignacian (Aur-P1) based on carinated scrapers and wide Aurignacian blades. No split-base bone points (Proto-Aurignacian diagnostic) were found</w:t>
      </w:r>
      <w:r>
        <w:t xml:space="preserve"> </w:t>
      </w:r>
      <w:r>
        <w:t xml:space="preserve">[6,7]</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[8]</w:t>
      </w:r>
      <w:r>
        <w:t xml:space="preserve">. Direct dates of ~31 ka ¹⁴C BP (~35–36 cal BP) are too young for Proto-Aurignacian</w:t>
      </w:r>
      <w:r>
        <w:t xml:space="preserve"> </w:t>
      </w:r>
      <w:r>
        <w:t xml:space="preserve">[9]</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[10]</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78"/>
    <w:bookmarkStart w:id="80" w:name="results"/>
    <w:p>
      <w:pPr>
        <w:pStyle w:val="Heading3"/>
      </w:pPr>
      <w:r>
        <w:t xml:space="preserve">Results</w:t>
      </w:r>
    </w:p>
    <w:tbl>
      <w:tblPr>
        <w:tblStyle w:val="Table"/>
        <w:tblW w:type="pct" w:w="5000"/>
        <w:tblLook w:firstRow="0" w:lastRow="0" w:firstColumn="0" w:lastColumn="0" w:noHBand="0" w:noVBand="0" w:val="0000"/>
        <w:jc w:val="start"/>
        <w:tblLayout w:type="fixed"/>
      </w:tblPr>
      <w:tblGrid>
        <w:gridCol w:w="7920"/>
      </w:tblGrid>
      <w:tr>
        <w:tc>
          <w:tcPr/>
          <w:bookmarkStart w:id="79"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79"/>
        </w:tc>
      </w:tr>
    </w:tbl>
    <w:bookmarkEnd w:id="80"/>
    <w:bookmarkStart w:id="8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[9]</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81"/>
    <w:bookmarkStart w:id="83" w:name="phase-ordering-robustness"/>
    <w:p>
      <w:pPr>
        <w:pStyle w:val="Heading3"/>
      </w:pPr>
      <w:r>
        <w:t xml:space="preserve">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82"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12: Mean degree by phase under each reassignment condition. The Aur-P1 &gt; Aur-P2 ordering is preserved under every condition.</w:t>
            </w:r>
          </w:p>
          <w:bookmarkEnd w:id="82"/>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83"/>
    <w:bookmarkStart w:id="84" w:name="interpretation-1"/>
    <w:p>
      <w:pPr>
        <w:pStyle w:val="Heading3"/>
      </w:pPr>
      <w:r>
        <w:t xml:space="preserve">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S1.7.3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S1.12.6 showing that Aur-P1’s network does not depend on a single site. Finally, the within-phase two-group structure (RQ1) , the restricted/broad dichotomy recovered by seriation, Louvain community detection, and bootstrap consensus (S1.6, S1.9) , is defined within each phase’s membership and is unaffected by the between-phase assignment criterion tested here. The stochastic block model (S1.9.3) does not recover this dichotomy (single block selected under all three emission models), consistent with the small size and sparsity of the sign-sharing networks falling below the detectability limit for block structure.</w:t>
      </w:r>
    </w:p>
    <w:bookmarkEnd w:id="84"/>
    <w:bookmarkEnd w:id="85"/>
    <w:bookmarkEnd w:id="86"/>
    <w:bookmarkStart w:id="111" w:name="sec-s6"/>
    <w:p>
      <w:pPr>
        <w:pStyle w:val="Heading1"/>
      </w:pPr>
      <w:r>
        <w:t xml:space="preserve">S1.6 Automated Group Recovery as a Circularity Check</w:t>
      </w:r>
    </w:p>
    <w:p>
      <w:pPr>
        <w:pStyle w:val="FirstParagraph"/>
      </w:pPr>
      <w:r>
        <w:t xml:space="preserve">The sensitivity analyses in S1.2–S1.5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w:t>
      </w:r>
    </w:p>
    <w:bookmarkStart w:id="90" w:name="sec-s6-1"/>
    <w:p>
      <w:pPr>
        <w:pStyle w:val="Heading2"/>
      </w:pPr>
      <w:r>
        <w:t xml:space="preserve">S1.6.1 Louvain Community Partitioning</w:t>
      </w:r>
    </w:p>
    <w:bookmarkStart w:id="89" w:name="rationale-5"/>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[11]</w:t>
      </w:r>
      <w:r>
        <w:t xml:space="preserve"> </w:t>
      </w:r>
      <w:r>
        <w:t xml:space="preserve">identifies clusters of sites whose sign repertoires are more similar to each other than to sites in other clusters, optimising Newman–Girvan modularity</w:t>
      </w:r>
      <w:r>
        <w:t xml:space="preserve"> </w:t>
      </w:r>
      <w:r>
        <w:t xml:space="preserve">[12]</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4"/>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4"/>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87"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13: Louvain community memberships for each site, by phase and threshold. Sites with no community assignment (no edges at that threshold) are assigned to a singleton community. Groups are numbered by Louvain membership.</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14: Adjusted Rand Index (ARI) between Louvain-derived communities and the manually assigned restricted/broad groups, by phase and threshold. ARI = 1.0 indicates identical partitions; ARI ≈ 0 indicates agreement no better than chance.</w:t>
            </w:r>
          </w:p>
          <w:bookmarkEnd w:id="88"/>
        </w:tc>
      </w:tr>
    </w:tbl>
    <w:bookmarkEnd w:id="89"/>
    <w:bookmarkEnd w:id="90"/>
    <w:bookmarkStart w:id="93" w:name="sec-s6-2"/>
    <w:p>
      <w:pPr>
        <w:pStyle w:val="Heading2"/>
      </w:pPr>
      <w:r>
        <w:t xml:space="preserve">S1.6.2 Infomap Community Partitioning</w:t>
      </w:r>
    </w:p>
    <w:bookmarkStart w:id="92" w:name="rationale-6"/>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1"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15: Adjusted Rand Index (ARI) between Infomap-derived communities and Louvain-derived communities, by phase and threshold. ARI = 1.0 indicates identical partitions; ARI ≈ 0 indicates agreement no better than chance.</w:t>
            </w:r>
          </w:p>
          <w:bookmarkEnd w:id="91"/>
        </w:tc>
      </w:tr>
    </w:tbl>
    <w:bookmarkEnd w:id="92"/>
    <w:bookmarkEnd w:id="93"/>
    <w:bookmarkStart w:id="96" w:name="sec-s6-3"/>
    <w:p>
      <w:pPr>
        <w:pStyle w:val="Heading2"/>
      </w:pPr>
      <w:r>
        <w:t xml:space="preserve">S1.6.3 Leiden Community Partitioning</w:t>
      </w:r>
    </w:p>
    <w:bookmarkStart w:id="95" w:name="rationale-7"/>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4"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16: Adjusted Rand Index (ARI) between Leiden-derived communities and Louvain-derived communities, by phase and threshold. ARI = 1.0 indicates identical partitions; ARI ≈ 0 indicates agreement no better than chance.</w:t>
            </w:r>
          </w:p>
          <w:bookmarkEnd w:id="94"/>
        </w:tc>
      </w:tr>
    </w:tbl>
    <w:bookmarkEnd w:id="95"/>
    <w:bookmarkEnd w:id="96"/>
    <w:bookmarkStart w:id="99" w:name="sec-s6-4"/>
    <w:p>
      <w:pPr>
        <w:pStyle w:val="Heading2"/>
      </w:pPr>
      <w:r>
        <w:t xml:space="preserve">S1.6.4 Walktrap Community Partitioning</w:t>
      </w:r>
    </w:p>
    <w:bookmarkStart w:id="98" w:name="rationale-8"/>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97"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17: Adjusted Rand Index (ARI) between Walktrap-derived communities and Louvain-derived communities, by phase and threshold. ARI = 1.0 indicates identical partitions; ARI ≈ 0 indicates agreement no better than chance.</w:t>
            </w:r>
          </w:p>
          <w:bookmarkEnd w:id="97"/>
        </w:tc>
      </w:tr>
    </w:tbl>
    <w:bookmarkEnd w:id="98"/>
    <w:bookmarkEnd w:id="99"/>
    <w:bookmarkStart w:id="102" w:name="sec-s6-5"/>
    <w:p>
      <w:pPr>
        <w:pStyle w:val="Heading2"/>
      </w:pPr>
      <w:r>
        <w:t xml:space="preserve">S1.6.5 PerMANOVA Comparison</w:t>
      </w:r>
    </w:p>
    <w:bookmarkStart w:id="101" w:name="rationale-9"/>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00"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18: PerMANOVA comparison: manual (restricted/broad) grouping versus algorithmically derived groupings. R² and pseudo-F for each phase, threshold, and community detection algorithm.</w:t>
            </w:r>
          </w:p>
          <w:bookmarkEnd w:id="100"/>
        </w:tc>
      </w:tr>
    </w:tbl>
    <w:bookmarkEnd w:id="101"/>
    <w:bookmarkEnd w:id="102"/>
    <w:bookmarkStart w:id="105" w:name="sec-s6-6"/>
    <w:p>
      <w:pPr>
        <w:pStyle w:val="Heading2"/>
      </w:pPr>
      <w:r>
        <w:t xml:space="preserve">S1.6.6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13</w:t>
        </w:r>
      </w:hyperlink>
      <w:r>
        <w:t xml:space="preserve">,</w:t>
      </w:r>
      <w:r>
        <w:t xml:space="preserve"> </w:t>
      </w:r>
      <w:hyperlink w:anchor="tbl-ari-louvain">
        <w:r>
          <w:rPr>
            <w:rStyle w:val="Hyperlink"/>
          </w:rPr>
          <w:t xml:space="preserve">Table S 14</w:t>
        </w:r>
      </w:hyperlink>
      <w:r>
        <w:t xml:space="preserve">,</w:t>
      </w:r>
      <w:r>
        <w:t xml:space="preserve"> </w:t>
      </w:r>
      <w:hyperlink w:anchor="tbl-ari-infomap">
        <w:r>
          <w:rPr>
            <w:rStyle w:val="Hyperlink"/>
          </w:rPr>
          <w:t xml:space="preserve">Table S 15</w:t>
        </w:r>
      </w:hyperlink>
      <w:r>
        <w:t xml:space="preserve">,</w:t>
      </w:r>
      <w:r>
        <w:t xml:space="preserve"> </w:t>
      </w:r>
      <w:hyperlink w:anchor="tbl-ari-leiden">
        <w:r>
          <w:rPr>
            <w:rStyle w:val="Hyperlink"/>
          </w:rPr>
          <w:t xml:space="preserve">Table S 16</w:t>
        </w:r>
      </w:hyperlink>
      <w:r>
        <w:t xml:space="preserve">,</w:t>
      </w:r>
      <w:r>
        <w:t xml:space="preserve"> </w:t>
      </w:r>
      <w:hyperlink w:anchor="tbl-ari-walktrap">
        <w:r>
          <w:rPr>
            <w:rStyle w:val="Hyperlink"/>
          </w:rPr>
          <w:t xml:space="preserve">Table S 17</w:t>
        </w:r>
      </w:hyperlink>
      <w:r>
        <w:t xml:space="preserve">,</w:t>
      </w:r>
      <w:r>
        <w:t xml:space="preserve"> </w:t>
      </w:r>
      <w:hyperlink w:anchor="tbl-permanova-comparison">
        <w:r>
          <w:rPr>
            <w:rStyle w:val="Hyperlink"/>
          </w:rPr>
          <w:t xml:space="preserve">Table S 18</w:t>
        </w:r>
      </w:hyperlink>
      <w:r>
        <w:t xml:space="preserve">). Counts below are read from those tables at render time, not hardcoded, so the text cannot drift from the computation.</w:t>
      </w:r>
    </w:p>
    <w:bookmarkStart w:id="103"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103"/>
    <w:bookmarkStart w:id="104"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8"/>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8"/>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8"/>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8"/>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104"/>
    <w:bookmarkEnd w:id="105"/>
    <w:bookmarkStart w:id="110" w:name="sec-s6-7"/>
    <w:p>
      <w:pPr>
        <w:pStyle w:val="Heading2"/>
      </w:pPr>
      <w:r>
        <w:t xml:space="preserve">S1.6.7 Interpretation</w:t>
      </w:r>
    </w:p>
    <w:bookmarkStart w:id="106"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13</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106"/>
    <w:bookmarkStart w:id="107"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S 14</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107"/>
    <w:bookmarkStart w:id="108"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S 18</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108"/>
    <w:bookmarkStart w:id="109"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09"/>
    <w:bookmarkEnd w:id="110"/>
    <w:bookmarkEnd w:id="111"/>
    <w:bookmarkStart w:id="122" w:name="sec-s7"/>
    <w:p>
      <w:pPr>
        <w:pStyle w:val="Heading1"/>
      </w:pPr>
      <w:r>
        <w:t xml:space="preserve">S1.7 Network Calibration</w:t>
      </w:r>
    </w:p>
    <w:p>
      <w:pPr>
        <w:pStyle w:val="FirstParagraph"/>
      </w:pPr>
      <w:r>
        <w:t xml:space="preserve">Calibration checks ask whether modularity, degree, and significance survive nulls, sampling noise, multiple testing, and network size. They do not test group existence itself.</w:t>
      </w:r>
    </w:p>
    <w:bookmarkStart w:id="113" w:name="sec-s7-1"/>
    <w:p>
      <w:pPr>
        <w:pStyle w:val="Heading2"/>
      </w:pPr>
      <w:r>
        <w:t xml:space="preserve">S1.7.1 Null-Benchmarked Modularity</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11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19: Observed modularity and null-model p-values for each Aurignacian phase at three Jaccard similarity thresholds.</w:t>
            </w:r>
          </w:p>
          <w:bookmarkEnd w:id="11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13"/>
    <w:bookmarkStart w:id="115" w:name="sec-s7-2"/>
    <w:p>
      <w:pPr>
        <w:pStyle w:val="Heading2"/>
      </w:pPr>
      <w:r>
        <w:t xml:space="preserve">S1.7.2 Richness and Degree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11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20: Spearman correlations between node degree and site sign richness (number of distinct sign types) within each Aurignacian phase, at the baseline threshold of 0.2.</w:t>
            </w:r>
          </w:p>
          <w:bookmarkEnd w:id="11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15"/>
    <w:bookmarkStart w:id="117" w:name="sec-s7-3"/>
    <w:p>
      <w:pPr>
        <w:pStyle w:val="Heading2"/>
      </w:pPr>
      <w:r>
        <w:t xml:space="preserve">S1.7.3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[13,14]</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116"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S 21: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116"/>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S1.2.5).</w:t>
      </w:r>
    </w:p>
    <w:bookmarkEnd w:id="117"/>
    <w:bookmarkStart w:id="119" w:name="sec-s7-4"/>
    <w:p>
      <w:pPr>
        <w:pStyle w:val="Heading2"/>
      </w:pPr>
      <w:r>
        <w:t xml:space="preserve">S1.7.4 Multiple-Testing Correction</w:t>
      </w:r>
    </w:p>
    <w:p>
      <w:pPr>
        <w:pStyle w:val="FirstParagraph"/>
      </w:pPr>
      <w:r>
        <w:t xml:space="preserve">The Mantel tests reported in</w:t>
      </w:r>
      <w:r>
        <w:t xml:space="preserve"> </w:t>
      </w:r>
      <w:hyperlink w:anchor="tbl-geodesic-mantel">
        <w:r>
          <w:rPr>
            <w:rStyle w:val="Hyperlink"/>
          </w:rPr>
          <w:t xml:space="preserve">Table S 4</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118"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22: Mantel test p-values before and after Benjamini–Hochberg correction for multiple testing across 2 phases × 2 distance measures (4 tests total). Results with adjusted p &lt; 0.05 are highlighted.</w:t>
            </w:r>
          </w:p>
          <w:bookmarkEnd w:id="118"/>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19"/>
    <w:bookmarkStart w:id="121" w:name="sec-s7-5"/>
    <w:p>
      <w:pPr>
        <w:pStyle w:val="Heading2"/>
      </w:pPr>
      <w:r>
        <w:t xml:space="preserve">S1.7.5 Size-Normalised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20"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23: Network metrics normalised by size-matched Erdos-Renyi expectation. Ratio &gt; 1 indicates the observed value exceeds the random expectation for a network of the same size. ER mean and SD are based on 100 random graphs per phase.</w:t>
            </w:r>
          </w:p>
          <w:bookmarkEnd w:id="120"/>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21"/>
    <w:bookmarkEnd w:id="122"/>
    <w:bookmarkStart w:id="138" w:name="sec-s8"/>
    <w:p>
      <w:pPr>
        <w:pStyle w:val="Heading1"/>
      </w:pPr>
      <w:r>
        <w:t xml:space="preserve">S1.8 Space, Time, and Regional Drivers</w:t>
      </w:r>
    </w:p>
    <w:p>
      <w:pPr>
        <w:pStyle w:val="FirstParagraph"/>
      </w:pPr>
      <w:r>
        <w:t xml:space="preserve">Geography, time, and regions test alternative drivers of sign dissimilarity. They do not test threshold or group existence.</w:t>
      </w:r>
    </w:p>
    <w:bookmarkStart w:id="123" w:name="sec-s8-1"/>
    <w:p>
      <w:pPr>
        <w:pStyle w:val="Heading2"/>
      </w:pPr>
      <w:r>
        <w:t xml:space="preserve">S1.8.1 Multiple Regression on Distance Matrices</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[15]</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23"/>
    <w:bookmarkStart w:id="128" w:name="sec-s8-2"/>
    <w:p>
      <w:pPr>
        <w:pStyle w:val="Heading2"/>
      </w:pPr>
      <w:r>
        <w:t xml:space="preserve">S1.8.2 Time-Lag Check</w:t>
      </w:r>
    </w:p>
    <w:bookmarkStart w:id="124" w:name="rationale-10"/>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10"/>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10"/>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10"/>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24"/>
    <w:bookmarkStart w:id="126"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25"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24: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25"/>
        </w:tc>
      </w:tr>
    </w:tbl>
    <w:bookmarkEnd w:id="126"/>
    <w:bookmarkStart w:id="127" w:name="interpretation-2"/>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24</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S1.8.1 multiple regression, both of which conclude that temporal distance explains little of the variation in sign composition and cannot establish whether substantial change did or did not occur.</w:t>
      </w:r>
    </w:p>
    <w:bookmarkEnd w:id="127"/>
    <w:bookmarkEnd w:id="128"/>
    <w:bookmarkStart w:id="137" w:name="sec-s8-3"/>
    <w:p>
      <w:pPr>
        <w:pStyle w:val="Heading2"/>
      </w:pPr>
      <w:r>
        <w:t xml:space="preserve">S1.8.3 Objective Regional Grouping</w:t>
      </w:r>
    </w:p>
    <w:bookmarkStart w:id="135" w:name="rationale-11"/>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29"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25: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2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0"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26: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s513-region-map"/>
          <w:p>
            <w:pPr>
              <w:pStyle w:val="Compact"/>
              <w:jc w:val="center"/>
            </w:pPr>
            <w:r>
              <w:drawing>
                <wp:inline>
                  <wp:extent cx="5943600" cy="4457699"/>
                  <wp:effectExtent b="0" l="0" r="0" t="0"/>
                  <wp:docPr descr="" title="" id="132" name="Picture"/>
                  <a:graphic>
                    <a:graphicData uri="http://schemas.openxmlformats.org/drawingml/2006/picture">
                      <pic:pic>
                        <pic:nvPicPr>
                          <pic:cNvPr descr="../figures/s513-region-map.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Objective geographic regions discovered by PAM on geodesic distances (primary, k=2). Sites coloured by region; Jaccard sign data not used. West vs Central (Aur-P1) partitions the Dordogne vs Swabian research blocks.</w:t>
            </w:r>
          </w:p>
          <w:bookmarkEnd w:id="134"/>
        </w:tc>
      </w:tr>
    </w:tbl>
    <w:bookmarkEnd w:id="135"/>
    <w:bookmarkStart w:id="136" w:name="interpretation-3"/>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S1.12.3–S1.12.4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S1.6.1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S1.10.1</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36"/>
    <w:bookmarkEnd w:id="137"/>
    <w:bookmarkEnd w:id="138"/>
    <w:bookmarkStart w:id="287" w:name="sec-s9"/>
    <w:p>
      <w:pPr>
        <w:pStyle w:val="Heading1"/>
      </w:pPr>
      <w:r>
        <w:t xml:space="preserve">S1.9 Partition Stability and Generative Models</w:t>
      </w:r>
    </w:p>
    <w:bookmarkStart w:id="139"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S1.5). Two limitations remain unaddressed by S1.2–S1.8.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S1.9.2 we use bootstrap resampling of sites within each phase to build a</w:t>
      </w:r>
      <w:r>
        <w:t xml:space="preserve"> </w:t>
      </w:r>
      <w:r>
        <w:rPr>
          <w:bCs/>
          <w:b/>
        </w:rPr>
        <w:t xml:space="preserve">consensus co-clustering matrix</w:t>
      </w:r>
      <w:r>
        <w:t xml:space="preserve"> </w:t>
      </w:r>
      <w:r>
        <w:t xml:space="preserve">[16]</w:t>
      </w:r>
      <w:r>
        <w:t xml:space="preserve">, quantifying the stability of the two-group partition as a whole and of each site’s assignment. In S1.9.3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[17]</w:t>
      </w:r>
      <w:r>
        <w:t xml:space="preserve">, which treat block membership as a latent variable, select the number of blocks via the Integrated Classification Likelihood (ICL), and return posterior membership probabilities for every site. In S1.9.4 we cross-validate the bootstrap and SBM assignments against the main-text restricted/broad groups using the Adjusted Rand Index (ARI)</w:t>
      </w:r>
      <w:r>
        <w:t xml:space="preserve"> </w:t>
      </w:r>
      <w:r>
        <w:t xml:space="preserve">[18]</w:t>
      </w:r>
      <w:r>
        <w:t xml:space="preserve">.</w:t>
      </w:r>
    </w:p>
    <w:bookmarkEnd w:id="139"/>
    <w:bookmarkStart w:id="148" w:name="sec-s9-2"/>
    <w:p>
      <w:pPr>
        <w:pStyle w:val="Heading2"/>
      </w:pPr>
      <w:r>
        <w:t xml:space="preserve">S1.9.2 Bootstrap Consensus Analysis</w:t>
      </w:r>
    </w:p>
    <w:bookmarkStart w:id="146" w:name="rationale-12"/>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40"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4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41"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28: Per-site bootstrap consistency: proportion of 1000 resamples in which each site is assigned to its modal (most frequent) block. Consistency near 1 indicates robust assignment; values near 0.5 indicate sites whose group membership flips across resamples.</w:t>
            </w:r>
          </w:p>
          <w:bookmarkEnd w:id="141"/>
        </w:tc>
      </w:tr>
    </w:tbl>
    <w:tbl>
      <w:tblPr>
        <w:tblStyle w:val="Table"/>
        <w:tblW w:type="pct" w:w="5000"/>
        <w:tblLook w:firstRow="0" w:lastRow="0" w:firstColumn="0" w:lastColumn="0" w:noHBand="0" w:noVBand="0" w:val="0000"/>
        <w:jc w:val="start"/>
        <w:tblLayout w:type="fixed"/>
      </w:tblPr>
      <w:tblGrid>
        <w:gridCol w:w="7920"/>
      </w:tblGrid>
      <w:tr>
        <w:tc>
          <w:tcPr/>
          <w:bookmarkStart w:id="145" w:name="fig-bootstrap-consensus"/>
          <w:p>
            <w:pPr>
              <w:pStyle w:val="Compact"/>
              <w:jc w:val="center"/>
            </w:pPr>
            <w:r>
              <w:drawing>
                <wp:inline>
                  <wp:extent cx="5943600" cy="6604000"/>
                  <wp:effectExtent b="0" l="0" r="0" t="0"/>
                  <wp:docPr descr="" title="" id="143" name="Picture"/>
                  <a:graphic>
                    <a:graphicData uri="http://schemas.openxmlformats.org/drawingml/2006/picture">
                      <pic:pic>
                        <pic:nvPicPr>
                          <pic:cNvPr descr="../figures/bootstrap-consensus-plot.png" id="144" name="Picture"/>
                          <pic:cNvPicPr>
                            <a:picLocks noChangeArrowheads="1" noChangeAspect="1"/>
                          </pic:cNvPicPr>
                        </pic:nvPicPr>
                        <pic:blipFill>
                          <a:blip r:embed="rId142"/>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45"/>
        </w:tc>
      </w:tr>
    </w:tbl>
    <w:bookmarkEnd w:id="146"/>
    <w:bookmarkStart w:id="147" w:name="interpretation-4"/>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28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28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S 28</w:t>
        </w:r>
      </w:hyperlink>
      <w:r>
        <w:t xml:space="preserve">.</w:t>
      </w:r>
    </w:p>
    <w:bookmarkEnd w:id="147"/>
    <w:bookmarkEnd w:id="148"/>
    <w:bookmarkStart w:id="282" w:name="sec-s9-3"/>
    <w:p>
      <w:pPr>
        <w:pStyle w:val="Heading2"/>
      </w:pPr>
      <w:r>
        <w:t xml:space="preserve">S1.9.3 Stochastic Block Models</w:t>
      </w:r>
    </w:p>
    <w:bookmarkStart w:id="280" w:name="rationale-13"/>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1.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2.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3.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4.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5.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6.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7.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8.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9.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0.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1.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2.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13.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14.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15.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16.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17.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18.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19.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0.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2.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23.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6-sbm-compute-24.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6-sbm-compute-25.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6-sbm-compute-26.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6-sbm-compute-27.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6-sbm-compute-28.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6-sbm-compute-29.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6-sbm-compute-30.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6-sbm-compute-3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6-sbm-compute-32.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6-sbm-compute-33.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6-sbm-compute-34.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6-sbm-compute-35.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6-sbm-compute-36.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6-sbm-compute-37.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6-sbm-compute-38.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6-sbm-compute-39.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7" name="Picture"/>
            <a:graphic>
              <a:graphicData uri="http://schemas.openxmlformats.org/drawingml/2006/picture">
                <pic:pic>
                  <pic:nvPicPr>
                    <pic:cNvPr descr="S1-supplement-sensitivity_files/figure-docx/s6-sbm-compute-40.png" id="268" name="Picture"/>
                    <pic:cNvPicPr>
                      <a:picLocks noChangeArrowheads="1" noChangeAspect="1"/>
                    </pic:cNvPicPr>
                  </pic:nvPicPr>
                  <pic:blipFill>
                    <a:blip r:embed="rId2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0" name="Picture"/>
            <a:graphic>
              <a:graphicData uri="http://schemas.openxmlformats.org/drawingml/2006/picture">
                <pic:pic>
                  <pic:nvPicPr>
                    <pic:cNvPr descr="S1-supplement-sensitivity_files/figure-docx/s6-sbm-compute-41.png" id="271" name="Picture"/>
                    <pic:cNvPicPr>
                      <a:picLocks noChangeArrowheads="1" noChangeAspect="1"/>
                    </pic:cNvPicPr>
                  </pic:nvPicPr>
                  <pic:blipFill>
                    <a:blip r:embed="rId2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3" name="Picture"/>
            <a:graphic>
              <a:graphicData uri="http://schemas.openxmlformats.org/drawingml/2006/picture">
                <pic:pic>
                  <pic:nvPicPr>
                    <pic:cNvPr descr="S1-supplement-sensitivity_files/figure-docx/s6-sbm-compute-42.png" id="274" name="Picture"/>
                    <pic:cNvPicPr>
                      <a:picLocks noChangeArrowheads="1" noChangeAspect="1"/>
                    </pic:cNvPicPr>
                  </pic:nvPicPr>
                  <pic:blipFill>
                    <a:blip r:embed="rId2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76" name="Picture"/>
            <a:graphic>
              <a:graphicData uri="http://schemas.openxmlformats.org/drawingml/2006/picture">
                <pic:pic>
                  <pic:nvPicPr>
                    <pic:cNvPr descr="S1-supplement-sensitivity_files/figure-docx/s6-sbm-compute-43.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78"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29: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30: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79"/>
        </w:tc>
      </w:tr>
    </w:tbl>
    <w:bookmarkEnd w:id="280"/>
    <w:bookmarkStart w:id="281" w:name="interpretation-5"/>
    <w:p>
      <w:pPr>
        <w:pStyle w:val="Heading3"/>
      </w:pPr>
      <w:r>
        <w:t xml:space="preserve">Interpretation</w:t>
      </w:r>
    </w:p>
    <w:p>
      <w:pPr>
        <w:pStyle w:val="FirstParagraph"/>
      </w:pPr>
      <w:r>
        <w:t xml:space="preserve">The ICL model-selection results (</w:t>
      </w:r>
      <w:hyperlink w:anchor="tbl-sbm-icl">
        <w:r>
          <w:rPr>
            <w:rStyle w:val="Hyperlink"/>
          </w:rPr>
          <w:t xml:space="preserve">Table S 29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S 30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(S1.9.2) and Louvain community detection (S1.6.1),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(S1.6.1)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81"/>
    <w:bookmarkEnd w:id="282"/>
    <w:bookmarkStart w:id="286" w:name="sec-s9-4"/>
    <w:p>
      <w:pPr>
        <w:pStyle w:val="Heading2"/>
      </w:pPr>
      <w:r>
        <w:t xml:space="preserve">S1.9.4 Cross-Validation of Group Assignments (ARI)</w:t>
      </w:r>
    </w:p>
    <w:bookmarkStart w:id="284" w:name="rationale-14"/>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(S1.9.2), and the SBM modal assignments (S1.9.3) under Bernoulli and Poisson emission models — we compute the Adjusted Rand Index (ARI) between each pair of partitions for each phase. ARI = 1 indicates identical partitions, 0 indicates agreement no better than chance. We use a self-contained implementation of ARI (the S1.6 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83"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S 31: Adjusted Rand Index between the main-text manual restricted/broad assignment, the bootstrap modal blocks (S1.9.2), and the SBM modal assignments (S1.9.3), by phase.</w:t>
            </w:r>
          </w:p>
          <w:bookmarkEnd w:id="283"/>
        </w:tc>
      </w:tr>
    </w:tbl>
    <w:bookmarkEnd w:id="284"/>
    <w:bookmarkStart w:id="285" w:name="interpretation-6"/>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S 31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S 31</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because Bernoulli, Gaussian, and Poisson models all select a single block in both phases (S1.9.3),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285"/>
    <w:bookmarkEnd w:id="286"/>
    <w:bookmarkEnd w:id="287"/>
    <w:bookmarkStart w:id="295" w:name="sec-s10"/>
    <w:p>
      <w:pPr>
        <w:pStyle w:val="Heading1"/>
      </w:pPr>
      <w:r>
        <w:t xml:space="preserve">S1.10 Withheld-Data Validation</w:t>
      </w:r>
    </w:p>
    <w:bookmarkStart w:id="290" w:name="rationale-15"/>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(S1.6, S1.9) also operate on that same underlying dataset, so they do not remove the circularity either. To address this directly we implement three complementary methods that break the circularity, each following a distinct validation strategy:</w:t>
      </w:r>
    </w:p>
    <w:p>
      <w:pPr>
        <w:numPr>
          <w:ilvl w:val="0"/>
          <w:numId w:val="1011"/>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1"/>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1"/>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[19,20]</w:t>
      </w:r>
      <w:r>
        <w:t xml:space="preserve">. P-values from 100 dependent splits are reported as median p, proportion significant, and Brown’s method for dependent p-values</w:t>
      </w:r>
      <w:r>
        <w:t xml:space="preserve"> </w:t>
      </w:r>
      <w:r>
        <w:t xml:space="preserve">[21,22]</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88"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32: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88"/>
        </w:tc>
      </w:tr>
    </w:tbl>
    <w:bookmarkStart w:id="289" w:name="interpretation-7"/>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[21,22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89"/>
    <w:bookmarkEnd w:id="290"/>
    <w:bookmarkStart w:id="294" w:name="sec-s10-1"/>
    <w:p>
      <w:pPr>
        <w:pStyle w:val="Heading2"/>
      </w:pPr>
      <w:r>
        <w:t xml:space="preserve">S1.10.1 Richness-Preserving Nulls and Simpson Turnover</w:t>
      </w:r>
    </w:p>
    <w:bookmarkStart w:id="292" w:name="rationale-16"/>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91"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33: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91"/>
        </w:tc>
      </w:tr>
    </w:tbl>
    <w:bookmarkEnd w:id="292"/>
    <w:bookmarkStart w:id="293" w:name="interpretation-8"/>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S1.12.3 and the free-slope S1.12.4: the groups differ in how much they contain at comparable effort, not in turnover-independent composition. The division should accordingly be read as a richness axis whose separation from sampling effort is not demonstrated for small-object sites.</w:t>
      </w:r>
    </w:p>
    <w:bookmarkEnd w:id="293"/>
    <w:bookmarkEnd w:id="294"/>
    <w:bookmarkEnd w:id="295"/>
    <w:bookmarkStart w:id="312" w:name="sec-s11"/>
    <w:p>
      <w:pPr>
        <w:pStyle w:val="Heading1"/>
      </w:pPr>
      <w:r>
        <w:t xml:space="preserve">S1.11 Community Description</w:t>
      </w:r>
    </w:p>
    <w:p>
      <w:pPr>
        <w:pStyle w:val="FirstParagraph"/>
      </w:pPr>
      <w:r>
        <w:t xml:space="preserve">The PerMANOVA results in S1.6.5 and bootstrap consensus in S1.9.2 show that the algorithmically detected communities are statistically significant and internally coherent. This section provides a detailed characterization of those communities: their site membership, geographic distribution, and sign-type composition.</w:t>
      </w:r>
    </w:p>
    <w:bookmarkStart w:id="301" w:name="sec-s11-1"/>
    <w:p>
      <w:pPr>
        <w:pStyle w:val="Heading2"/>
      </w:pPr>
      <w:r>
        <w:t xml:space="preserve">S1.11.1 Community Membership</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96"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34: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96"/>
        </w:tc>
      </w:tr>
    </w:tbl>
    <w:tbl>
      <w:tblPr>
        <w:tblStyle w:val="Table"/>
        <w:tblW w:type="pct" w:w="5000"/>
        <w:tblLook w:firstRow="0" w:lastRow="0" w:firstColumn="0" w:lastColumn="0" w:noHBand="0" w:noVBand="0" w:val="0000"/>
        <w:jc w:val="start"/>
        <w:tblLayout w:type="fixed"/>
      </w:tblPr>
      <w:tblGrid>
        <w:gridCol w:w="7920"/>
      </w:tblGrid>
      <w:tr>
        <w:tc>
          <w:tcPr/>
          <w:bookmarkStart w:id="300" w:name="fig-comembership-heatmap"/>
          <w:p>
            <w:pPr>
              <w:pStyle w:val="Compact"/>
              <w:jc w:val="center"/>
            </w:pPr>
            <w:r>
              <w:drawing>
                <wp:inline>
                  <wp:extent cx="5943600" cy="5943600"/>
                  <wp:effectExtent b="0" l="0" r="0" t="0"/>
                  <wp:docPr descr="" title="" id="298" name="Picture"/>
                  <a:graphic>
                    <a:graphicData uri="http://schemas.openxmlformats.org/drawingml/2006/picture">
                      <pic:pic>
                        <pic:nvPicPr>
                          <pic:cNvPr descr="../figures/comembership-heatmap.png" id="299" name="Picture"/>
                          <pic:cNvPicPr>
                            <a:picLocks noChangeArrowheads="1" noChangeAspect="1"/>
                          </pic:cNvPicPr>
                        </pic:nvPicPr>
                        <pic:blipFill>
                          <a:blip r:embed="rId297"/>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30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6</w:t>
        </w:r>
      </w:hyperlink>
      <w:r>
        <w:t xml:space="preserve"> </w:t>
      </w:r>
      <w:r>
        <w:t xml:space="preserve">quantify which of these co-memberships survive resampling.</w:t>
      </w:r>
    </w:p>
    <w:bookmarkEnd w:id="301"/>
    <w:bookmarkStart w:id="303" w:name="sec-s11-2"/>
    <w:p>
      <w:pPr>
        <w:pStyle w:val="Heading2"/>
      </w:pPr>
      <w:r>
        <w:t xml:space="preserve">S1.11.2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302"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35: Sign-type composition of Louvain communities at threshold 0.2. Values show the proportion of sites within each community that have at least one object bearing the sign type. Only sign types present in ≥10% of sites in at least one community are shown.</w:t>
            </w:r>
          </w:p>
          <w:bookmarkEnd w:id="302"/>
        </w:tc>
      </w:tr>
    </w:tbl>
    <w:bookmarkEnd w:id="303"/>
    <w:bookmarkStart w:id="308" w:name="sec-s11-3"/>
    <w:p>
      <w:pPr>
        <w:pStyle w:val="Heading2"/>
      </w:pPr>
      <w:r>
        <w:t xml:space="preserve">S1.11.3 Geographic Distribution</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307" w:name="fig-community-maps"/>
          <w:p>
            <w:pPr>
              <w:pStyle w:val="Compact"/>
              <w:jc w:val="center"/>
            </w:pPr>
            <w:r>
              <w:drawing>
                <wp:inline>
                  <wp:extent cx="5943600" cy="4622800"/>
                  <wp:effectExtent b="0" l="0" r="0" t="0"/>
                  <wp:docPr descr="" title="" id="305" name="Picture"/>
                  <a:graphic>
                    <a:graphicData uri="http://schemas.openxmlformats.org/drawingml/2006/picture">
                      <pic:pic>
                        <pic:nvPicPr>
                          <pic:cNvPr descr="../figures/community-maps.png" id="306" name="Picture"/>
                          <pic:cNvPicPr>
                            <a:picLocks noChangeArrowheads="1" noChangeAspect="1"/>
                          </pic:cNvPicPr>
                        </pic:nvPicPr>
                        <pic:blipFill>
                          <a:blip r:embed="rId304"/>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307"/>
        </w:tc>
      </w:tr>
    </w:tbl>
    <w:bookmarkEnd w:id="308"/>
    <w:bookmarkStart w:id="310" w:name="sec-s11-4"/>
    <w:p>
      <w:pPr>
        <w:pStyle w:val="Heading2"/>
      </w:pPr>
      <w:r>
        <w:t xml:space="preserve">S1.11.4 Cross-Algorithm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309"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36: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309"/>
        </w:tc>
      </w:tr>
    </w:tbl>
    <w:bookmarkEnd w:id="310"/>
    <w:bookmarkStart w:id="311" w:name="sec-s11-5"/>
    <w:p>
      <w:pPr>
        <w:pStyle w:val="Heading2"/>
      </w:pPr>
      <w:r>
        <w:t xml:space="preserve">S1.11.5 Interpretation</w:t>
      </w:r>
    </w:p>
    <w:p>
      <w:pPr>
        <w:pStyle w:val="FirstParagraph"/>
      </w:pP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34</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S 8</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w:t>
      </w:r>
      <w:hyperlink w:anchor="tbl-community-membership">
        <w:r>
          <w:rPr>
            <w:rStyle w:val="Hyperlink"/>
          </w:rPr>
          <w:t xml:space="preserve">Table S 34</w:t>
        </w:r>
      </w:hyperlink>
      <w:r>
        <w:t xml:space="preserve">). With only 9 sites total, the communities are small (1–3 sites each), and the PerMANOVA significance (S1.6.5) likely reflects strong pairwise similarities among a few sites rather than robust multi-site clusters. The geographic map (</w:t>
      </w:r>
      <w:hyperlink w:anchor="fig-community-maps">
        <w:r>
          <w:rPr>
            <w:rStyle w:val="Hyperlink"/>
          </w:rPr>
          <w:t xml:space="preserve">Figure S 8</w:t>
        </w:r>
      </w:hyperlink>
      <w:r>
        <w:t xml:space="preserve">, Aur-P2 facet) shows limited spatial coherence, consistent with the non-significant null-benchmarked modularity (S1.7.1).</w:t>
      </w:r>
    </w:p>
    <w:p>
      <w:pPr>
        <w:pStyle w:val="BodyText"/>
      </w:pPr>
      <w:r>
        <w:rPr>
          <w:bCs/>
          <w:b/>
        </w:rPr>
        <w:t xml:space="preserve">Cross-algorithm consistency.</w:t>
      </w:r>
      <w:r>
        <w:t xml:space="preserve"> </w:t>
      </w:r>
      <w:hyperlink w:anchor="tbl-cross-algorithm-agreement">
        <w:r>
          <w:rPr>
            <w:rStyle w:val="Hyperlink"/>
          </w:rPr>
          <w:t xml:space="preserve">Table S 36</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hyperlink w:anchor="tbl-community-composition">
        <w:r>
          <w:rPr>
            <w:rStyle w:val="Hyperlink"/>
          </w:rPr>
          <w:t xml:space="preserve">Table S 35</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311"/>
    <w:bookmarkEnd w:id="312"/>
    <w:bookmarkStart w:id="369" w:name="sec-s12"/>
    <w:p>
      <w:pPr>
        <w:pStyle w:val="Heading1"/>
      </w:pPr>
      <w:r>
        <w:t xml:space="preserve">S1.12 Object Types and Sampling Intensity</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 S1.10.1.</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12"/>
        </w:numPr>
        <w:pStyle w:val="Compact"/>
      </w:pPr>
      <w:r>
        <w:rPr>
          <w:bCs/>
          <w:b/>
        </w:rPr>
        <w:t xml:space="preserve">(S1.12.2)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(S1.12.3)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(S1.12.4)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(S1.12.5)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(S1.12.7)</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(S1.10.1)</w:t>
      </w:r>
      <w:r>
        <w:t xml:space="preserve"> </w:t>
      </w:r>
      <w:r>
        <w:t xml:space="preserve">Does the restricted/broad pattern survive richness-preserving nulls, and does the manual-group PerMANOVA hold on Simpson turnover dissimilarity, which removes the nestedness component of Jaccard?</w:t>
      </w:r>
    </w:p>
    <w:bookmarkStart w:id="320" w:name="sec-s12-1"/>
    <w:p>
      <w:pPr>
        <w:pStyle w:val="Heading2"/>
      </w:pPr>
      <w:r>
        <w:t xml:space="preserve">S1.12.1 Object-count distribution and feasible common counts</w:t>
      </w:r>
    </w:p>
    <w:bookmarkStart w:id="318" w:name="rationale-17"/>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13"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37: Per-site object counts by phase and manual restricted(1)/broad(2) group.</w:t>
            </w:r>
          </w:p>
          <w:bookmarkEnd w:id="313"/>
        </w:tc>
      </w:tr>
    </w:tbl>
    <w:tbl>
      <w:tblPr>
        <w:tblStyle w:val="Table"/>
        <w:tblW w:type="pct" w:w="5000"/>
        <w:tblLook w:firstRow="0" w:lastRow="0" w:firstColumn="0" w:lastColumn="0" w:noHBand="0" w:noVBand="0" w:val="0000"/>
        <w:jc w:val="start"/>
        <w:tblLayout w:type="fixed"/>
      </w:tblPr>
      <w:tblGrid>
        <w:gridCol w:w="7920"/>
      </w:tblGrid>
      <w:tr>
        <w:tc>
          <w:tcPr/>
          <w:bookmarkStart w:id="317" w:name="fig-s9-objhist"/>
          <w:p>
            <w:pPr>
              <w:pStyle w:val="Compact"/>
              <w:jc w:val="center"/>
            </w:pPr>
            <w:r>
              <w:drawing>
                <wp:inline>
                  <wp:extent cx="5943600" cy="2971800"/>
                  <wp:effectExtent b="0" l="0" r="0" t="0"/>
                  <wp:docPr descr="" title="" id="315" name="Picture"/>
                  <a:graphic>
                    <a:graphicData uri="http://schemas.openxmlformats.org/drawingml/2006/picture">
                      <pic:pic>
                        <pic:nvPicPr>
                          <pic:cNvPr descr="S1-supplement-sensitivity_files/figure-docx/fig-s9-objhist-1.png" id="316" name="Picture"/>
                          <pic:cNvPicPr>
                            <a:picLocks noChangeArrowheads="1" noChangeAspect="1"/>
                          </pic:cNvPicPr>
                        </pic:nvPicPr>
                        <pic:blipFill>
                          <a:blip r:embed="rId31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Distribution of object counts per site by phase. Most sites contribute few objects; a small number of large assemblages (e.g. Vogelherd) dominate the upper tail.</w:t>
            </w:r>
          </w:p>
          <w:bookmarkEnd w:id="317"/>
        </w:tc>
      </w:tr>
    </w:tbl>
    <w:bookmarkEnd w:id="318"/>
    <w:bookmarkStart w:id="319"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19"/>
    <w:bookmarkEnd w:id="320"/>
    <w:bookmarkStart w:id="329" w:name="sec-s12-2"/>
    <w:p>
      <w:pPr>
        <w:pStyle w:val="Heading2"/>
      </w:pPr>
      <w:r>
        <w:t xml:space="preserve">S1.12.2 Object-level downsampling sensitivity</w:t>
      </w:r>
    </w:p>
    <w:bookmarkStart w:id="327" w:name="rationale-18"/>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S1.6.1,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21"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38: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2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22"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39: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22"/>
        </w:tc>
      </w:tr>
    </w:tbl>
    <w:tbl>
      <w:tblPr>
        <w:tblStyle w:val="Table"/>
        <w:tblW w:type="pct" w:w="5000"/>
        <w:tblLook w:firstRow="0" w:lastRow="0" w:firstColumn="0" w:lastColumn="0" w:noHBand="0" w:noVBand="0" w:val="0000"/>
        <w:jc w:val="start"/>
        <w:tblLayout w:type="fixed"/>
      </w:tblPr>
      <w:tblGrid>
        <w:gridCol w:w="7920"/>
      </w:tblGrid>
      <w:tr>
        <w:tc>
          <w:tcPr/>
          <w:bookmarkStart w:id="326" w:name="fig-s9-retention"/>
          <w:p>
            <w:pPr>
              <w:pStyle w:val="Compact"/>
              <w:jc w:val="center"/>
            </w:pPr>
            <w:r>
              <w:drawing>
                <wp:inline>
                  <wp:extent cx="5943600" cy="5943600"/>
                  <wp:effectExtent b="0" l="0" r="0" t="0"/>
                  <wp:docPr descr="" title="" id="324" name="Picture"/>
                  <a:graphic>
                    <a:graphicData uri="http://schemas.openxmlformats.org/drawingml/2006/picture">
                      <pic:pic>
                        <pic:nvPicPr>
                          <pic:cNvPr descr="S1-supplement-sensitivity_files/figure-docx/fig-s9-retention-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26"/>
        </w:tc>
      </w:tr>
    </w:tbl>
    <w:bookmarkEnd w:id="327"/>
    <w:bookmarkStart w:id="328"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28"/>
    <w:bookmarkEnd w:id="329"/>
    <w:bookmarkStart w:id="337" w:name="sec-s12-3"/>
    <w:p>
      <w:pPr>
        <w:pStyle w:val="Heading2"/>
      </w:pPr>
      <w:r>
        <w:t xml:space="preserve">S1.12.3 Coverage-based rarefaction</w:t>
      </w:r>
    </w:p>
    <w:bookmarkStart w:id="335" w:name="rationale-19"/>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[23,24]</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[25]</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30"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40: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30"/>
        </w:tc>
      </w:tr>
    </w:tbl>
    <w:tbl>
      <w:tblPr>
        <w:tblStyle w:val="Table"/>
        <w:tblW w:type="pct" w:w="5000"/>
        <w:tblLook w:firstRow="0" w:lastRow="0" w:firstColumn="0" w:lastColumn="0" w:noHBand="0" w:noVBand="0" w:val="0000"/>
        <w:jc w:val="start"/>
        <w:tblLayout w:type="fixed"/>
      </w:tblPr>
      <w:tblGrid>
        <w:gridCol w:w="7920"/>
      </w:tblGrid>
      <w:tr>
        <w:tc>
          <w:tcPr/>
          <w:bookmarkStart w:id="334" w:name="fig-s9-rarefaction"/>
          <w:p>
            <w:pPr>
              <w:pStyle w:val="Compact"/>
              <w:jc w:val="center"/>
            </w:pPr>
            <w:r>
              <w:drawing>
                <wp:inline>
                  <wp:extent cx="5943600" cy="3396342"/>
                  <wp:effectExtent b="0" l="0" r="0" t="0"/>
                  <wp:docPr descr="" title="" id="332" name="Picture"/>
                  <a:graphic>
                    <a:graphicData uri="http://schemas.openxmlformats.org/drawingml/2006/picture">
                      <pic:pic>
                        <pic:nvPicPr>
                          <pic:cNvPr descr="S1-supplement-sensitivity_files/figure-docx/fig-s9-rarefaction-1.png" id="333" name="Picture"/>
                          <pic:cNvPicPr>
                            <a:picLocks noChangeArrowheads="1" noChangeAspect="1"/>
                          </pic:cNvPicPr>
                        </pic:nvPicPr>
                        <pic:blipFill>
                          <a:blip r:embed="rId331"/>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Sign-type richness estimated at target coverage = 0.9 with 95% confidence intervals, by manual group, for sites that reach that coverage. Restricted sites (green) that attain high coverage remain low-richness; broad sites (red) remain high-richness.</w:t>
            </w:r>
          </w:p>
          <w:bookmarkEnd w:id="334"/>
        </w:tc>
      </w:tr>
    </w:tbl>
    <w:bookmarkEnd w:id="335"/>
    <w:bookmarkStart w:id="336"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S1.12.2, approached from the richness axis.</w:t>
      </w:r>
    </w:p>
    <w:bookmarkEnd w:id="336"/>
    <w:bookmarkEnd w:id="337"/>
    <w:bookmarkStart w:id="341" w:name="sec-s12-4"/>
    <w:p>
      <w:pPr>
        <w:pStyle w:val="Heading2"/>
      </w:pPr>
      <w:r>
        <w:t xml:space="preserve">S1.12.4 Negative-binomial regression with object-count covariate</w:t>
      </w:r>
    </w:p>
    <w:bookmarkStart w:id="339" w:name="rationale-20"/>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[24]</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[26]</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38"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41: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38"/>
        </w:tc>
      </w:tr>
    </w:tbl>
    <w:bookmarkEnd w:id="339"/>
    <w:bookmarkStart w:id="340"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S1.12.3,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40"/>
    <w:bookmarkEnd w:id="341"/>
    <w:bookmarkStart w:id="349" w:name="sec-s12-5"/>
    <w:p>
      <w:pPr>
        <w:pStyle w:val="Heading2"/>
      </w:pPr>
      <w:r>
        <w:t xml:space="preserve">S1.12.5 Equal-effort pool comparison (iNEXT)</w:t>
      </w:r>
    </w:p>
    <w:bookmarkStart w:id="347" w:name="rationale-21"/>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[23,25]</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42"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42: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42"/>
        </w:tc>
      </w:tr>
    </w:tbl>
    <w:tbl>
      <w:tblPr>
        <w:tblStyle w:val="Table"/>
        <w:tblW w:type="pct" w:w="5000"/>
        <w:tblLook w:firstRow="0" w:lastRow="0" w:firstColumn="0" w:lastColumn="0" w:noHBand="0" w:noVBand="0" w:val="0000"/>
        <w:jc w:val="start"/>
        <w:tblLayout w:type="fixed"/>
      </w:tblPr>
      <w:tblGrid>
        <w:gridCol w:w="7920"/>
      </w:tblGrid>
      <w:tr>
        <w:tc>
          <w:tcPr/>
          <w:bookmarkStart w:id="346" w:name="fig-s9-pool-inext"/>
          <w:p>
            <w:pPr>
              <w:pStyle w:val="Compact"/>
              <w:jc w:val="center"/>
            </w:pPr>
            <w:r>
              <w:drawing>
                <wp:inline>
                  <wp:extent cx="5943600" cy="3566160"/>
                  <wp:effectExtent b="0" l="0" r="0" t="0"/>
                  <wp:docPr descr="" title="" id="344" name="Picture"/>
                  <a:graphic>
                    <a:graphicData uri="http://schemas.openxmlformats.org/drawingml/2006/picture">
                      <pic:pic>
                        <pic:nvPicPr>
                          <pic:cNvPr descr="S1-supplement-sensitivity_files/figure-docx/fig-s9-pool-inext-1.png" id="345" name="Picture"/>
                          <pic:cNvPicPr>
                            <a:picLocks noChangeArrowheads="1" noChangeAspect="1"/>
                          </pic:cNvPicPr>
                        </pic:nvPicPr>
                        <pic:blipFill>
                          <a:blip r:embed="rId34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46"/>
        </w:tc>
      </w:tr>
    </w:tbl>
    <w:bookmarkEnd w:id="347"/>
    <w:bookmarkStart w:id="348"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48"/>
    <w:bookmarkEnd w:id="349"/>
    <w:bookmarkStart w:id="367" w:name="sec-s12-6"/>
    <w:p>
      <w:pPr>
        <w:pStyle w:val="Heading2"/>
      </w:pPr>
      <w:r>
        <w:t xml:space="preserve">S1.12.6 Figurine Exclusion</w:t>
      </w:r>
    </w:p>
    <w:bookmarkStart w:id="350" w:name="rationale-22"/>
    <w:p>
      <w:pPr>
        <w:pStyle w:val="Heading3"/>
      </w:pPr>
      <w:r>
        <w:t xml:space="preserve">Rationale</w:t>
      </w:r>
    </w:p>
    <w:p>
      <w:pPr>
        <w:pStyle w:val="FirstParagraph"/>
      </w:pPr>
      <w:r>
        <w:t xml:space="preserve">[27]</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350"/>
    <w:bookmarkStart w:id="352" w:name="figurine-distribution-in-the-dataset"/>
    <w:p>
      <w:pPr>
        <w:pStyle w:val="Heading3"/>
      </w:pPr>
      <w: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351"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43: Distribution of figurine objects across phases and sites. Figurine types include figurine zoomorph, figurine anthropomorph, figurine undet., and possible figurine.</w:t>
            </w:r>
          </w:p>
          <w:bookmarkEnd w:id="351"/>
        </w:tc>
      </w:tr>
    </w:tbl>
    <w:p>
      <w:pPr>
        <w:pStyle w:val="BodyText"/>
      </w:pPr>
      <w:hyperlink w:anchor="tbl-figurine-count">
        <w:r>
          <w:rPr>
            <w:rStyle w:val="Hyperlink"/>
          </w:rPr>
          <w:t xml:space="preserve">Table S 43</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352"/>
    <w:bookmarkStart w:id="353" w:name="analysis-1-exclude-all-figurines"/>
    <w:p>
      <w:pPr>
        <w:pStyle w:val="Heading3"/>
      </w:pPr>
      <w:r>
        <w:t xml:space="preserve">Analysis 1: Exclude All Figurines</w:t>
      </w:r>
    </w:p>
    <w:bookmarkEnd w:id="353"/>
    <w:bookmarkStart w:id="356"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54"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44: Network statistics before and after excluding all figurine objects (figurine zoomorph, figurine anthropomorph, figurine undet., and possible figurine). Threshold = 0.2, Jaccard similarity.</w:t>
            </w:r>
          </w:p>
          <w:bookmarkEnd w:id="3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55"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45: Number of sites per phase before and after figurine exclusion. Sites are lost when all objects at that site are figurines.</w:t>
            </w:r>
          </w:p>
          <w:bookmarkEnd w:id="355"/>
        </w:tc>
      </w:tr>
    </w:tbl>
    <w:bookmarkEnd w:id="356"/>
    <w:bookmarkStart w:id="357" w:name="interpretation-14"/>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57"/>
    <w:bookmarkStart w:id="358" w:name="Xc06319a9554f6ddf282b3cf388364ef3835d432"/>
    <w:p>
      <w:pPr>
        <w:pStyle w:val="Heading3"/>
      </w:pPr>
      <w:r>
        <w:t xml:space="preserve">Analysis 2: Exclude Vogelherd Figurines Only</w:t>
      </w:r>
    </w:p>
    <w:bookmarkEnd w:id="358"/>
    <w:bookmarkStart w:id="361"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59"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46: Network statistics before and after excluding figurines from Vogelherd only. All other figurines (Hohle Fels, Geissenklösterle, Hohlenstein-Stadel, La Ferrassie) are retained. Threshold = 0.2, Jaccard similarity.</w:t>
            </w:r>
          </w:p>
          <w:bookmarkEnd w:id="35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6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47: Vogelherd object counts before and after removing figurines. Non-figurine objects at Vogelherd (tools, plaquettes, etc.) are retained.</w:t>
            </w:r>
          </w:p>
          <w:bookmarkEnd w:id="360"/>
        </w:tc>
      </w:tr>
    </w:tbl>
    <w:bookmarkEnd w:id="361"/>
    <w:bookmarkStart w:id="362" w:name="interpretation-15"/>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62"/>
    <w:bookmarkStart w:id="364" w:name="joint-comparison"/>
    <w:p>
      <w:pPr>
        <w:pStyle w:val="Heading3"/>
      </w:pPr>
      <w: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363"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48: Side-by-side comparison of network statistics across all conditions: baseline (all objects), exclude all figurines, and exclude Vogelherd figurines only. The rightmost columns show the percentage change in mean degree from baseline.</w:t>
            </w:r>
          </w:p>
          <w:bookmarkEnd w:id="363"/>
        </w:tc>
      </w:tr>
    </w:tbl>
    <w:bookmarkEnd w:id="364"/>
    <w:bookmarkStart w:id="366" w:name="interpretation-16"/>
    <w:p>
      <w:pPr>
        <w:pStyle w:val="Heading3"/>
      </w:pPr>
      <w:r>
        <w:t xml:space="preserve">Interpretation</w:t>
      </w:r>
    </w:p>
    <w:p>
      <w:pPr>
        <w:pStyle w:val="FirstParagraph"/>
      </w:pPr>
      <w:r>
        <w:t xml:space="preserve">The joint comparison in</w:t>
      </w:r>
      <w:r>
        <w:t xml:space="preserve"> </w:t>
      </w:r>
      <w:hyperlink w:anchor="tbl-objtype-joint">
        <w:r>
          <w:rPr>
            <w:rStyle w:val="Hyperlink"/>
          </w:rPr>
          <w:t xml:space="preserve">Table S 48</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65"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49: Mean degree by figurine-exclusion condition, with percentage change from baseline. Reproduced directly from the joint comparison in</w:t>
            </w:r>
            <w:r>
              <w:t xml:space="preserve"> </w:t>
            </w:r>
            <w:hyperlink w:anchor="tbl-objtype-joint">
              <w:r>
                <w:rPr>
                  <w:rStyle w:val="Hyperlink"/>
                </w:rPr>
                <w:t xml:space="preserve">Table S 48</w:t>
              </w:r>
            </w:hyperlink>
            <w:r>
              <w:t xml:space="preserve">.</w:t>
            </w:r>
          </w:p>
          <w:bookmarkEnd w:id="365"/>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[27]</w:t>
      </w:r>
      <w:r>
        <w:t xml:space="preserve"> </w:t>
      </w:r>
      <w:r>
        <w:t xml:space="preserve">argument that figurines carry high-information sign sequences, but the communities themselves are defined by shared sign types across all object types.</w:t>
      </w:r>
    </w:p>
    <w:bookmarkEnd w:id="366"/>
    <w:bookmarkEnd w:id="367"/>
    <w:bookmarkStart w:id="368" w:name="sec-s12-7"/>
    <w:p>
      <w:pPr>
        <w:pStyle w:val="Heading2"/>
      </w:pPr>
      <w:r>
        <w:t xml:space="preserve">S1.12.7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(S1.12.2). (2) Coverage-based rarefaction shows the broad/restricted contrast persists among the sites assessable at equal coverage, but the majority of the smallest sites never reach a comparable coverage, so the method cannot vindicate them (S1.12.3). (3) The offset model’s null group effect was a property of fixing the richness-effort exponent at 1; with the exponent estimated, the group contrast persists, so the gap is not distinguishable from a genuine group difference at saturating effort (S1.12.4). (4) At equal effort with</w:t>
      </w:r>
      <w:r>
        <w:t xml:space="preserve"> </w:t>
      </w:r>
      <w:r>
        <w:rPr>
          <w:rStyle w:val="VerbatimChar"/>
        </w:rPr>
        <w:t xml:space="preserve">iNEXT</w:t>
      </w:r>
      <w:r>
        <w:t xml:space="preserve">, the Aur-P1 vs Aur-P2 sign-type pool difference lies inside sampling variation, even when restricted to shared object types (S1.12.5). (5) Under fixed margins the Jaccard group separation is not distinguished from richness structure alone (Aur-P1 exceeds object-sampling expectation; Aur-P2 does not), while Simpson turnover dissimilarity shows no group separation in either phase (S1.10.1). Figurine exclusion (S1.12.6)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68"/>
    <w:bookmarkEnd w:id="369"/>
    <w:bookmarkStart w:id="425" w:name="sec-s13"/>
    <w:p>
      <w:pPr>
        <w:pStyle w:val="Heading1"/>
      </w:pPr>
      <w:r>
        <w:t xml:space="preserve">S1.13 Overall Synthesis</w:t>
      </w:r>
    </w:p>
    <w:p>
      <w:pPr>
        <w:pStyle w:val="FirstParagraph"/>
      </w:pPr>
      <w:r>
        <w:t xml:space="preserve">All results are conditional on the retained sample in S1.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 S1.2. It holds under Jaccard, Sorensen-Dice, and Simpson in S1.3. It holds under geodesic and Euclidean distance in S1.4, where neither phase shows a geographic correlation. It holds across two, three, and four phase schemes, across date variants, across boundary shifts, and under date-based versus technological assignment in S1.5.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 S1.6 and bootstrap stability in S1.9 show that the restricted versus broad axis is coherent under resampling, most clearly in Aur-P1. Generative modelling in S1.9 does not recover multiple blocks under Bernoulli, Gaussian, or Poisson specifications. Withheld-data validation in S1.10 does not find separation beyond richness structure under the fixed-fixed null, and Simpson turnover shows no separation in either phase. The supported claim is a dominant richness axis that is recoverable from disjoint objects in well sampled sites, not discrete provinces that emerge from an unsupervised generative model.</w:t>
      </w:r>
    </w:p>
    <w:p>
      <w:pPr>
        <w:pStyle w:val="BodyText"/>
      </w:pPr>
      <w:r>
        <w:t xml:space="preserve">Sampling intensity qualifies small-site assignments. Downsampling, coverage, regression with estimated exponent, and equal-effort pool comparison in S1.12 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p>
      <w:pPr>
        <w:pStyle w:val="BodyText"/>
      </w:pPr>
      <w:r>
        <w:t xml:space="preserve">For the main text, report raw degree descriptively and base inference on permutation and withheld-data results. Present the restricted versus broad contrast as a recoverable gradient that is strong for well sampled sites and provisional for small ones. Present Aur-P2 community structure as indicative rather than conclusive. Present the pool contraction as not demonstrated at equal effort, with the sample-difference caveat stated.</w:t>
      </w:r>
    </w:p>
    <w:bookmarkStart w:id="424" w:name="references-cited"/>
    <w:p>
      <w:pPr>
        <w:pStyle w:val="Heading2"/>
      </w:pPr>
      <w:r>
        <w:t xml:space="preserve">References cited</w:t>
      </w:r>
    </w:p>
    <w:bookmarkStart w:id="423" w:name="refs"/>
    <w:bookmarkStart w:id="371"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70">
        <w:r>
          <w:rPr>
            <w:rStyle w:val="Hyperlink"/>
          </w:rPr>
          <w:t xml:space="preserve">https://doi.org/10.18637/jss.v022.i07</w:t>
        </w:r>
      </w:hyperlink>
      <w:r>
        <w:t xml:space="preserve">.</w:t>
      </w:r>
    </w:p>
    <w:bookmarkEnd w:id="371"/>
    <w:bookmarkStart w:id="373" w:name="X68cdd7ba62fc5dd3e1e9b497937717305f7b9a0"/>
    <w:p>
      <w:pPr>
        <w:pStyle w:val="Bibliography"/>
      </w:pPr>
      <w:r>
        <w:t xml:space="preserve">[2]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72">
        <w:r>
          <w:rPr>
            <w:rStyle w:val="Hyperlink"/>
          </w:rPr>
          <w:t xml:space="preserve">https://doi.org/10.1016/j.quascirev.2021.106995</w:t>
        </w:r>
      </w:hyperlink>
      <w:r>
        <w:t xml:space="preserve">.</w:t>
      </w:r>
    </w:p>
    <w:bookmarkEnd w:id="373"/>
    <w:bookmarkStart w:id="375" w:name="ref-teyssandier2018entity"/>
    <w:p>
      <w:pPr>
        <w:pStyle w:val="Bibliography"/>
      </w:pPr>
      <w:r>
        <w:t xml:space="preserve">[3]</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74">
        <w:r>
          <w:rPr>
            <w:rStyle w:val="Hyperlink"/>
          </w:rPr>
          <w:t xml:space="preserve">https://doi.org/10.1007/s41982-017-0004-4</w:t>
        </w:r>
      </w:hyperlink>
      <w:r>
        <w:t xml:space="preserve">.</w:t>
      </w:r>
    </w:p>
    <w:bookmarkEnd w:id="375"/>
    <w:bookmarkStart w:id="377" w:name="ref-Chiotti_2005"/>
    <w:p>
      <w:pPr>
        <w:pStyle w:val="Bibliography"/>
      </w:pPr>
      <w:r>
        <w:t xml:space="preserve">[4]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76">
        <w:r>
          <w:rPr>
            <w:rStyle w:val="Hyperlink"/>
          </w:rPr>
          <w:t xml:space="preserve">https://doi.org/10.30861/9781841718309</w:t>
        </w:r>
      </w:hyperlink>
      <w:r>
        <w:t xml:space="preserve">.</w:t>
      </w:r>
    </w:p>
    <w:bookmarkEnd w:id="377"/>
    <w:bookmarkStart w:id="379" w:name="ref-Higham_Abri_Pataud_2011"/>
    <w:p>
      <w:pPr>
        <w:pStyle w:val="Bibliography"/>
      </w:pPr>
      <w:r>
        <w:t xml:space="preserve">[5]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78">
        <w:r>
          <w:rPr>
            <w:rStyle w:val="Hyperlink"/>
          </w:rPr>
          <w:t xml:space="preserve">https://doi.org/10.1016/j.jhevol.2011.06.005</w:t>
        </w:r>
      </w:hyperlink>
      <w:r>
        <w:t xml:space="preserve">.</w:t>
      </w:r>
    </w:p>
    <w:bookmarkEnd w:id="379"/>
    <w:bookmarkStart w:id="381" w:name="ref-Talamo_La_Ferrassie_2020"/>
    <w:p>
      <w:pPr>
        <w:pStyle w:val="Bibliography"/>
      </w:pPr>
      <w:r>
        <w:t xml:space="preserve">[6]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80">
        <w:r>
          <w:rPr>
            <w:rStyle w:val="Hyperlink"/>
          </w:rPr>
          <w:t xml:space="preserve">https://doi.org/10.1002/jqs.3236</w:t>
        </w:r>
      </w:hyperlink>
      <w:r>
        <w:t xml:space="preserve">.</w:t>
      </w:r>
    </w:p>
    <w:bookmarkEnd w:id="381"/>
    <w:bookmarkStart w:id="382" w:name="ref-Delporte_1984_Ferrassie"/>
    <w:p>
      <w:pPr>
        <w:pStyle w:val="Bibliography"/>
      </w:pPr>
      <w:r>
        <w:t xml:space="preserve">[7]</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82"/>
    <w:bookmarkStart w:id="384" w:name="ref-Oliva_2006"/>
    <w:p>
      <w:pPr>
        <w:pStyle w:val="Bibliography"/>
      </w:pPr>
      <w:r>
        <w:t xml:space="preserve">[8]</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83">
        <w:r>
          <w:rPr>
            <w:rStyle w:val="Hyperlink"/>
          </w:rPr>
          <w:t xml:space="preserve">https://doi.org/10.1007/978-3-211-49294-9_4</w:t>
        </w:r>
      </w:hyperlink>
      <w:r>
        <w:t xml:space="preserve">.</w:t>
      </w:r>
    </w:p>
    <w:bookmarkEnd w:id="384"/>
    <w:bookmarkStart w:id="386" w:name="ref-Wild_et_al_2005"/>
    <w:p>
      <w:pPr>
        <w:pStyle w:val="Bibliography"/>
      </w:pPr>
      <w:r>
        <w:t xml:space="preserve">[9]</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85">
        <w:r>
          <w:rPr>
            <w:rStyle w:val="Hyperlink"/>
          </w:rPr>
          <w:t xml:space="preserve">https://doi.org/10.1038/nature03585</w:t>
        </w:r>
      </w:hyperlink>
      <w:r>
        <w:t xml:space="preserve">.</w:t>
      </w:r>
    </w:p>
    <w:bookmarkEnd w:id="386"/>
    <w:bookmarkStart w:id="38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87">
        <w:r>
          <w:rPr>
            <w:rStyle w:val="Hyperlink"/>
          </w:rPr>
          <w:t xml:space="preserve">https://doi.org/10.1007/s41982-025-00246-x</w:t>
        </w:r>
      </w:hyperlink>
      <w:r>
        <w:t xml:space="preserve">.</w:t>
      </w:r>
    </w:p>
    <w:bookmarkEnd w:id="388"/>
    <w:bookmarkStart w:id="390" w:name="ref-Blondel_2008"/>
    <w:p>
      <w:pPr>
        <w:pStyle w:val="Bibliography"/>
      </w:pPr>
      <w:r>
        <w:t xml:space="preserve">[11]</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89">
        <w:r>
          <w:rPr>
            <w:rStyle w:val="Hyperlink"/>
          </w:rPr>
          <w:t xml:space="preserve">https://doi.org/10.1088/1742-5468/2008/10/P10008</w:t>
        </w:r>
      </w:hyperlink>
      <w:r>
        <w:t xml:space="preserve">.</w:t>
      </w:r>
    </w:p>
    <w:bookmarkEnd w:id="390"/>
    <w:bookmarkStart w:id="392" w:name="ref-newman2004finding"/>
    <w:p>
      <w:pPr>
        <w:pStyle w:val="Bibliography"/>
      </w:pPr>
      <w:r>
        <w:t xml:space="preserve">[12]</w:t>
      </w:r>
      <w:r>
        <w:t xml:space="preserve"> </w:t>
      </w:r>
      <w:r>
        <w:t xml:space="preserve">	</w:t>
      </w:r>
      <w:r>
        <w:t xml:space="preserve">Newman ME, Girvan M. Finding and evaluating community structure in networks. Physical Review E 2004;69:026113.</w:t>
      </w:r>
      <w:r>
        <w:t xml:space="preserve"> </w:t>
      </w:r>
      <w:hyperlink r:id="rId391">
        <w:r>
          <w:rPr>
            <w:rStyle w:val="Hyperlink"/>
          </w:rPr>
          <w:t xml:space="preserve">https://doi.org/10.1103/PhysRevE.69.026113</w:t>
        </w:r>
      </w:hyperlink>
      <w:r>
        <w:t xml:space="preserve">.</w:t>
      </w:r>
    </w:p>
    <w:bookmarkEnd w:id="392"/>
    <w:bookmarkStart w:id="394" w:name="ref-Roberts_2021"/>
    <w:p>
      <w:pPr>
        <w:pStyle w:val="Bibliography"/>
      </w:pPr>
      <w:r>
        <w:t xml:space="preserve">[13]</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93">
        <w:r>
          <w:rPr>
            <w:rStyle w:val="Hyperlink"/>
          </w:rPr>
          <w:t xml:space="preserve">https://doi.org/10.1016/j.socnet.2020.11.005</w:t>
        </w:r>
      </w:hyperlink>
      <w:r>
        <w:t xml:space="preserve">.</w:t>
      </w:r>
    </w:p>
    <w:bookmarkEnd w:id="394"/>
    <w:bookmarkStart w:id="396" w:name="ref-Clarke_Rothery_Raybould_2002"/>
    <w:p>
      <w:pPr>
        <w:pStyle w:val="Bibliography"/>
      </w:pPr>
      <w:r>
        <w:t xml:space="preserve">[14]</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95">
        <w:r>
          <w:rPr>
            <w:rStyle w:val="Hyperlink"/>
          </w:rPr>
          <w:t xml:space="preserve">https://doi.org/10.1198/108571102320</w:t>
        </w:r>
      </w:hyperlink>
      <w:r>
        <w:t xml:space="preserve">.</w:t>
      </w:r>
    </w:p>
    <w:bookmarkEnd w:id="396"/>
    <w:bookmarkStart w:id="398" w:name="ref-Lichstein_2007"/>
    <w:p>
      <w:pPr>
        <w:pStyle w:val="Bibliography"/>
      </w:pPr>
      <w:r>
        <w:t xml:space="preserve">[15]</w:t>
      </w:r>
      <w:r>
        <w:t xml:space="preserve"> </w:t>
      </w:r>
      <w:r>
        <w:t xml:space="preserve">	</w:t>
      </w:r>
      <w:r>
        <w:t xml:space="preserve">Lichstein JW. Multiple regression on distance matrices: A multivariate spatial analysis tool. Plant Ecology 2007;188:117–31.</w:t>
      </w:r>
      <w:r>
        <w:t xml:space="preserve"> </w:t>
      </w:r>
      <w:hyperlink r:id="rId397">
        <w:r>
          <w:rPr>
            <w:rStyle w:val="Hyperlink"/>
          </w:rPr>
          <w:t xml:space="preserve">https://doi.org/10.1007/s11258-006-9126-3</w:t>
        </w:r>
      </w:hyperlink>
      <w:r>
        <w:t xml:space="preserve">.</w:t>
      </w:r>
    </w:p>
    <w:bookmarkEnd w:id="398"/>
    <w:bookmarkStart w:id="400" w:name="ref-Monti_2003"/>
    <w:p>
      <w:pPr>
        <w:pStyle w:val="Bibliography"/>
      </w:pPr>
      <w:r>
        <w:t xml:space="preserve">[16]</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99">
        <w:r>
          <w:rPr>
            <w:rStyle w:val="Hyperlink"/>
          </w:rPr>
          <w:t xml:space="preserve">https://doi.org/10.1023/A:1023949509487</w:t>
        </w:r>
      </w:hyperlink>
      <w:r>
        <w:t xml:space="preserve">.</w:t>
      </w:r>
    </w:p>
    <w:bookmarkEnd w:id="400"/>
    <w:bookmarkStart w:id="402" w:name="ref-Leger_2016"/>
    <w:p>
      <w:pPr>
        <w:pStyle w:val="Bibliography"/>
      </w:pPr>
      <w:r>
        <w:t xml:space="preserve">[17]</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401">
        <w:r>
          <w:rPr>
            <w:rStyle w:val="Hyperlink"/>
          </w:rPr>
          <w:t xml:space="preserve">https://doi.org/10.48550/arXiv.1602.07587</w:t>
        </w:r>
      </w:hyperlink>
      <w:r>
        <w:t xml:space="preserve">.</w:t>
      </w:r>
    </w:p>
    <w:bookmarkEnd w:id="402"/>
    <w:bookmarkStart w:id="404" w:name="ref-Hubert_Arabie_1985"/>
    <w:p>
      <w:pPr>
        <w:pStyle w:val="Bibliography"/>
      </w:pPr>
      <w:r>
        <w:t xml:space="preserve">[18]</w:t>
      </w:r>
      <w:r>
        <w:t xml:space="preserve"> </w:t>
      </w:r>
      <w:r>
        <w:t xml:space="preserve">	</w:t>
      </w:r>
      <w:r>
        <w:t xml:space="preserve">Hubert L, Arabie P. Comparing partitions. Journal of Classification 1985;2:193–218.</w:t>
      </w:r>
      <w:r>
        <w:t xml:space="preserve"> </w:t>
      </w:r>
      <w:hyperlink r:id="rId403">
        <w:r>
          <w:rPr>
            <w:rStyle w:val="Hyperlink"/>
          </w:rPr>
          <w:t xml:space="preserve">https://doi.org/10.1007/BF01908075</w:t>
        </w:r>
      </w:hyperlink>
      <w:r>
        <w:t xml:space="preserve">.</w:t>
      </w:r>
    </w:p>
    <w:bookmarkEnd w:id="404"/>
    <w:bookmarkStart w:id="406" w:name="ref-Gao_Bien_Witten_2022"/>
    <w:p>
      <w:pPr>
        <w:pStyle w:val="Bibliography"/>
      </w:pPr>
      <w:r>
        <w:t xml:space="preserve">[19]</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405">
        <w:r>
          <w:rPr>
            <w:rStyle w:val="Hyperlink"/>
          </w:rPr>
          <w:t xml:space="preserve">https://doi.org/10.1080/01621459.2022.2116331</w:t>
        </w:r>
      </w:hyperlink>
      <w:r>
        <w:t xml:space="preserve">.</w:t>
      </w:r>
    </w:p>
    <w:bookmarkEnd w:id="406"/>
    <w:bookmarkStart w:id="408" w:name="ref-Neufeld_2024"/>
    <w:p>
      <w:pPr>
        <w:pStyle w:val="Bibliography"/>
      </w:pPr>
      <w:r>
        <w:t xml:space="preserve">[20]</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407">
        <w:r>
          <w:rPr>
            <w:rStyle w:val="Hyperlink"/>
          </w:rPr>
          <w:t xml:space="preserve">https://doi.org/10.1093/biostatistics/kxac047</w:t>
        </w:r>
      </w:hyperlink>
      <w:r>
        <w:t xml:space="preserve">.</w:t>
      </w:r>
    </w:p>
    <w:bookmarkEnd w:id="408"/>
    <w:bookmarkStart w:id="410" w:name="ref-Brown_1975"/>
    <w:p>
      <w:pPr>
        <w:pStyle w:val="Bibliography"/>
      </w:pPr>
      <w:r>
        <w:t xml:space="preserve">[21]</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409">
        <w:r>
          <w:rPr>
            <w:rStyle w:val="Hyperlink"/>
          </w:rPr>
          <w:t xml:space="preserve">https://doi.org/10.2307/2529826</w:t>
        </w:r>
      </w:hyperlink>
      <w:r>
        <w:t xml:space="preserve">.</w:t>
      </w:r>
    </w:p>
    <w:bookmarkEnd w:id="410"/>
    <w:bookmarkStart w:id="412" w:name="ref-Poole_2016"/>
    <w:p>
      <w:pPr>
        <w:pStyle w:val="Bibliography"/>
      </w:pPr>
      <w:r>
        <w:t xml:space="preserve">[22]</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411">
        <w:r>
          <w:rPr>
            <w:rStyle w:val="Hyperlink"/>
          </w:rPr>
          <w:t xml:space="preserve">https://doi.org/10.1093/bioinformatics/btw438</w:t>
        </w:r>
      </w:hyperlink>
      <w:r>
        <w:t xml:space="preserve">.</w:t>
      </w:r>
    </w:p>
    <w:bookmarkEnd w:id="412"/>
    <w:bookmarkStart w:id="414" w:name="ref-Chao_Jost_2012"/>
    <w:p>
      <w:pPr>
        <w:pStyle w:val="Bibliography"/>
      </w:pPr>
      <w:r>
        <w:t xml:space="preserve">[23]</w:t>
      </w:r>
      <w:r>
        <w:t xml:space="preserve"> </w:t>
      </w:r>
      <w:r>
        <w:t xml:space="preserve">	</w:t>
      </w:r>
      <w:r>
        <w:t xml:space="preserve">Chao A, Jost L. Coverage-based rarefaction and extrapolation: Standardizing samples by completeness rather than size. Ecology 2012;93:2533–47.</w:t>
      </w:r>
      <w:r>
        <w:t xml:space="preserve"> </w:t>
      </w:r>
      <w:hyperlink r:id="rId413">
        <w:r>
          <w:rPr>
            <w:rStyle w:val="Hyperlink"/>
          </w:rPr>
          <w:t xml:space="preserve">https://doi.org/10.1890/11-1952.1</w:t>
        </w:r>
      </w:hyperlink>
      <w:r>
        <w:t xml:space="preserve">.</w:t>
      </w:r>
    </w:p>
    <w:bookmarkEnd w:id="414"/>
    <w:bookmarkStart w:id="416" w:name="ref-Gotelli_Colwell_2001"/>
    <w:p>
      <w:pPr>
        <w:pStyle w:val="Bibliography"/>
      </w:pPr>
      <w:r>
        <w:t xml:space="preserve">[24]</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15">
        <w:r>
          <w:rPr>
            <w:rStyle w:val="Hyperlink"/>
          </w:rPr>
          <w:t xml:space="preserve">https://doi.org/10.1046/j.1461-0248.2001.00230.x</w:t>
        </w:r>
      </w:hyperlink>
      <w:r>
        <w:t xml:space="preserve">.</w:t>
      </w:r>
    </w:p>
    <w:bookmarkEnd w:id="416"/>
    <w:bookmarkStart w:id="418" w:name="ref-Hsieh_Ma_Chao_2016"/>
    <w:p>
      <w:pPr>
        <w:pStyle w:val="Bibliography"/>
      </w:pPr>
      <w:r>
        <w:t xml:space="preserve">[25]</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7">
        <w:r>
          <w:rPr>
            <w:rStyle w:val="Hyperlink"/>
          </w:rPr>
          <w:t xml:space="preserve">https://doi.org/10.1111/2041-210X.12613</w:t>
        </w:r>
      </w:hyperlink>
      <w:r>
        <w:t xml:space="preserve">.</w:t>
      </w:r>
    </w:p>
    <w:bookmarkEnd w:id="418"/>
    <w:bookmarkStart w:id="420" w:name="ref-Venables_Ripley_2002"/>
    <w:p>
      <w:pPr>
        <w:pStyle w:val="Bibliography"/>
      </w:pPr>
      <w:r>
        <w:t xml:space="preserve">[26]</w:t>
      </w:r>
      <w:r>
        <w:t xml:space="preserve"> </w:t>
      </w:r>
      <w:r>
        <w:t xml:space="preserve">	</w:t>
      </w:r>
      <w:r>
        <w:t xml:space="preserve">Venables WN, Ripley BD. Modern applied statistics with s. Fourth. Springer; 2002.</w:t>
      </w:r>
      <w:r>
        <w:t xml:space="preserve"> </w:t>
      </w:r>
      <w:hyperlink r:id="rId419">
        <w:r>
          <w:rPr>
            <w:rStyle w:val="Hyperlink"/>
          </w:rPr>
          <w:t xml:space="preserve">https://doi.org/10.1007/978-0-387-21706-2</w:t>
        </w:r>
      </w:hyperlink>
      <w:r>
        <w:t xml:space="preserve">.</w:t>
      </w:r>
    </w:p>
    <w:bookmarkEnd w:id="420"/>
    <w:bookmarkStart w:id="422" w:name="ref-Bentz_Dutkiewicz_2026"/>
    <w:p>
      <w:pPr>
        <w:pStyle w:val="Bibliography"/>
      </w:pPr>
      <w:r>
        <w:t xml:space="preserve">[27]</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421">
        <w:r>
          <w:rPr>
            <w:rStyle w:val="Hyperlink"/>
          </w:rPr>
          <w:t xml:space="preserve">https://doi.org/10.1073/pnas.2520385123</w:t>
        </w:r>
      </w:hyperlink>
      <w:r>
        <w:t xml:space="preserve">.</w:t>
      </w:r>
    </w:p>
    <w:bookmarkEnd w:id="422"/>
    <w:bookmarkEnd w:id="423"/>
    <w:bookmarkEnd w:id="424"/>
    <w:bookmarkEnd w:id="42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297" Target="media/rId297.png" /><Relationship Type="http://schemas.openxmlformats.org/officeDocument/2006/relationships/image" Id="rId304" Target="media/rId304.png" /><Relationship Type="http://schemas.openxmlformats.org/officeDocument/2006/relationships/image" Id="rId131" Target="media/rId131.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314" Target="media/rId314.png" /><Relationship Type="http://schemas.openxmlformats.org/officeDocument/2006/relationships/image" Id="rId343" Target="media/rId343.png" /><Relationship Type="http://schemas.openxmlformats.org/officeDocument/2006/relationships/image" Id="rId331" Target="media/rId331.png" /><Relationship Type="http://schemas.openxmlformats.org/officeDocument/2006/relationships/image" Id="rId323" Target="media/rId323.png" /><Relationship Type="http://schemas.openxmlformats.org/officeDocument/2006/relationships/image" Id="rId37" Target="media/rId37.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152" Target="media/rId152.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155" Target="media/rId155.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58" Target="media/rId158.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80" Target="https://doi.org/10.1002/jqs.3236" TargetMode="External" /><Relationship Type="http://schemas.openxmlformats.org/officeDocument/2006/relationships/hyperlink" Id="rId419" Target="https://doi.org/10.1007/978-0-387-21706-2" TargetMode="External" /><Relationship Type="http://schemas.openxmlformats.org/officeDocument/2006/relationships/hyperlink" Id="rId383" Target="https://doi.org/10.1007/978-3-211-49294-9_4" TargetMode="External" /><Relationship Type="http://schemas.openxmlformats.org/officeDocument/2006/relationships/hyperlink" Id="rId403" Target="https://doi.org/10.1007/BF01908075" TargetMode="External" /><Relationship Type="http://schemas.openxmlformats.org/officeDocument/2006/relationships/hyperlink" Id="rId397" Target="https://doi.org/10.1007/s11258-006-9126-3" TargetMode="External" /><Relationship Type="http://schemas.openxmlformats.org/officeDocument/2006/relationships/hyperlink" Id="rId374" Target="https://doi.org/10.1007/s41982-017-0004-4" TargetMode="External" /><Relationship Type="http://schemas.openxmlformats.org/officeDocument/2006/relationships/hyperlink" Id="rId387" Target="https://doi.org/10.1007/s41982-025-00246-x" TargetMode="External" /><Relationship Type="http://schemas.openxmlformats.org/officeDocument/2006/relationships/hyperlink" Id="rId378" Target="https://doi.org/10.1016/j.jhevol.2011.06.005" TargetMode="External" /><Relationship Type="http://schemas.openxmlformats.org/officeDocument/2006/relationships/hyperlink" Id="rId372" Target="https://doi.org/10.1016/j.quascirev.2021.106995" TargetMode="External" /><Relationship Type="http://schemas.openxmlformats.org/officeDocument/2006/relationships/hyperlink" Id="rId393" Target="https://doi.org/10.1016/j.socnet.2020.11.005" TargetMode="External" /><Relationship Type="http://schemas.openxmlformats.org/officeDocument/2006/relationships/hyperlink" Id="rId399" Target="https://doi.org/10.1023/A:1023949509487" TargetMode="External" /><Relationship Type="http://schemas.openxmlformats.org/officeDocument/2006/relationships/hyperlink" Id="rId385" Target="https://doi.org/10.1038/nature03585" TargetMode="External" /><Relationship Type="http://schemas.openxmlformats.org/officeDocument/2006/relationships/hyperlink" Id="rId415" Target="https://doi.org/10.1046/j.1461-0248.2001.00230.x" TargetMode="External" /><Relationship Type="http://schemas.openxmlformats.org/officeDocument/2006/relationships/hyperlink" Id="rId421" Target="https://doi.org/10.1073/pnas.2520385123" TargetMode="External" /><Relationship Type="http://schemas.openxmlformats.org/officeDocument/2006/relationships/hyperlink" Id="rId405" Target="https://doi.org/10.1080/01621459.2022.2116331" TargetMode="External" /><Relationship Type="http://schemas.openxmlformats.org/officeDocument/2006/relationships/hyperlink" Id="rId389" Target="https://doi.org/10.1088/1742-5468/2008/10/P10008" TargetMode="External" /><Relationship Type="http://schemas.openxmlformats.org/officeDocument/2006/relationships/hyperlink" Id="rId411" Target="https://doi.org/10.1093/bioinformatics/btw438" TargetMode="External" /><Relationship Type="http://schemas.openxmlformats.org/officeDocument/2006/relationships/hyperlink" Id="rId407" Target="https://doi.org/10.1093/biostatistics/kxac047" TargetMode="External" /><Relationship Type="http://schemas.openxmlformats.org/officeDocument/2006/relationships/hyperlink" Id="rId391" Target="https://doi.org/10.1103/PhysRevE.69.026113" TargetMode="External" /><Relationship Type="http://schemas.openxmlformats.org/officeDocument/2006/relationships/hyperlink" Id="rId417" Target="https://doi.org/10.1111/2041-210X.12613" TargetMode="External" /><Relationship Type="http://schemas.openxmlformats.org/officeDocument/2006/relationships/hyperlink" Id="rId395" Target="https://doi.org/10.1198/108571102320" TargetMode="External" /><Relationship Type="http://schemas.openxmlformats.org/officeDocument/2006/relationships/hyperlink" Id="rId370" Target="https://doi.org/10.18637/jss.v022.i07" TargetMode="External" /><Relationship Type="http://schemas.openxmlformats.org/officeDocument/2006/relationships/hyperlink" Id="rId413" Target="https://doi.org/10.1890/11-1952.1" TargetMode="External" /><Relationship Type="http://schemas.openxmlformats.org/officeDocument/2006/relationships/hyperlink" Id="rId409" Target="https://doi.org/10.2307/2529826" TargetMode="External" /><Relationship Type="http://schemas.openxmlformats.org/officeDocument/2006/relationships/hyperlink" Id="rId376" Target="https://doi.org/10.30861/9781841718309" TargetMode="External" /><Relationship Type="http://schemas.openxmlformats.org/officeDocument/2006/relationships/hyperlink" Id="rId40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2026-09-05T22:40:40Z</dcterms:created>
  <dcterms:modified xsi:type="dcterms:W3CDTF">2026-09-05T22:40:40Z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