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24.png" ContentType="image/png"/>
  <Override PartName="/word/media/rId37.png" ContentType="image/png"/>
  <Override PartName="/word/media/rId41.png" ContentType="image/png"/>
  <Override PartName="/word/media/rId33.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August</w:t>
      </w:r>
      <w:r>
        <w:t xml:space="preserve"> </w:t>
      </w:r>
      <w:r>
        <w:t xml:space="preserve">3,</w:t>
      </w:r>
      <w:r>
        <w:t xml:space="preserve"> </w:t>
      </w:r>
      <w:r>
        <w:t xml:space="preserve">2026</w:t>
      </w:r>
    </w:p>
    <w:p>
      <w:pPr>
        <w:pStyle w:val="AbstractTitle"/>
      </w:pPr>
      <w:r>
        <w:t xml:space="preserve">Abstract</w:t>
      </w:r>
    </w:p>
    <w:p>
      <w:pPr>
        <w:pStyle w:val="Abstract"/>
      </w:pPr>
      <w:r>
        <w:t xml:space="preserve">The</w:t>
      </w:r>
      <w:r>
        <w:t xml:space="preserve"> </w:t>
      </w:r>
      <w:r>
        <w:t xml:space="preserve">Aurignacian</w:t>
      </w:r>
      <w:r>
        <w:t xml:space="preserve"> </w:t>
      </w:r>
      <w:r>
        <w:t xml:space="preserve">technocomplex</w:t>
      </w:r>
      <w:r>
        <w:t xml:space="preserve"> </w:t>
      </w:r>
      <w:r>
        <w:t xml:space="preserve">(ca.</w:t>
      </w:r>
      <w:r>
        <w:t xml:space="preserve"> </w:t>
      </w:r>
      <w:r>
        <w:t xml:space="preserve">43–30</w:t>
      </w:r>
      <w:r>
        <w:t xml:space="preserve"> </w:t>
      </w:r>
      <w:r>
        <w:t xml:space="preserve">ka</w:t>
      </w:r>
      <w:r>
        <w:t xml:space="preserve"> </w:t>
      </w:r>
      <w:r>
        <w:t xml:space="preserve">BP)</w:t>
      </w:r>
      <w:r>
        <w:t xml:space="preserve"> </w:t>
      </w:r>
      <w:r>
        <w:t xml:space="preserve">marks</w:t>
      </w:r>
      <w:r>
        <w:t xml:space="preserve"> </w:t>
      </w:r>
      <w:r>
        <w:t xml:space="preserve">a</w:t>
      </w:r>
      <w:r>
        <w:t xml:space="preserve"> </w:t>
      </w:r>
      <w:r>
        <w:t xml:space="preserve">pivotal</w:t>
      </w:r>
      <w:r>
        <w:t xml:space="preserve"> </w:t>
      </w:r>
      <w:r>
        <w:t xml:space="preserve">expansion</w:t>
      </w:r>
      <w:r>
        <w:t xml:space="preserve"> </w:t>
      </w:r>
      <w:r>
        <w:t xml:space="preserve">of</w:t>
      </w:r>
      <w:r>
        <w:t xml:space="preserve"> </w:t>
      </w:r>
      <w:r>
        <w:rPr>
          <w:iCs/>
          <w:i/>
        </w:rPr>
        <w:t xml:space="preserve">Homo</w:t>
      </w:r>
      <w:r>
        <w:rPr>
          <w:iCs/>
          <w:i/>
        </w:rPr>
        <w:t xml:space="preserve"> </w:t>
      </w:r>
      <w:r>
        <w:rPr>
          <w:iCs/>
          <w:i/>
        </w:rPr>
        <w:t xml:space="preserve">sapiens</w:t>
      </w:r>
      <w:r>
        <w:t xml:space="preserve"> </w:t>
      </w:r>
      <w:r>
        <w:t xml:space="preserve">into</w:t>
      </w:r>
      <w:r>
        <w:t xml:space="preserve"> </w:t>
      </w:r>
      <w:r>
        <w:t xml:space="preserve">Western</w:t>
      </w:r>
      <w:r>
        <w:t xml:space="preserve"> </w:t>
      </w:r>
      <w:r>
        <w:t xml:space="preserve">Eurasia,</w:t>
      </w:r>
      <w:r>
        <w:t xml:space="preserve"> </w:t>
      </w:r>
      <w:r>
        <w:t xml:space="preserve">yet</w:t>
      </w:r>
      <w:r>
        <w:t xml:space="preserve"> </w:t>
      </w:r>
      <w:r>
        <w:t xml:space="preserve">the</w:t>
      </w:r>
      <w:r>
        <w:t xml:space="preserve"> </w:t>
      </w:r>
      <w:r>
        <w:t xml:space="preserve">evolution</w:t>
      </w:r>
      <w:r>
        <w:t xml:space="preserve"> </w:t>
      </w:r>
      <w:r>
        <w:t xml:space="preserve">of</w:t>
      </w:r>
      <w:r>
        <w:t xml:space="preserve"> </w:t>
      </w:r>
      <w:r>
        <w:t xml:space="preserve">social</w:t>
      </w:r>
      <w:r>
        <w:t xml:space="preserve"> </w:t>
      </w:r>
      <w:r>
        <w:t xml:space="preserve">organization</w:t>
      </w:r>
      <w:r>
        <w:t xml:space="preserve"> </w:t>
      </w:r>
      <w:r>
        <w:t xml:space="preserve">during</w:t>
      </w:r>
      <w:r>
        <w:t xml:space="preserve"> </w:t>
      </w:r>
      <w:r>
        <w:t xml:space="preserve">this</w:t>
      </w:r>
      <w:r>
        <w:t xml:space="preserve"> </w:t>
      </w:r>
      <w:r>
        <w:t xml:space="preserve">transition</w:t>
      </w:r>
      <w:r>
        <w:t xml:space="preserve"> </w:t>
      </w:r>
      <w:r>
        <w:t xml:space="preserve">remains</w:t>
      </w:r>
      <w:r>
        <w:t xml:space="preserve"> </w:t>
      </w:r>
      <w:r>
        <w:t xml:space="preserve">debated.</w:t>
      </w:r>
      <w:r>
        <w:t xml:space="preserve"> </w:t>
      </w:r>
      <w:r>
        <w:t xml:space="preserve">Here</w:t>
      </w:r>
      <w:r>
        <w:t xml:space="preserve"> </w:t>
      </w:r>
      <w:r>
        <w:t xml:space="preserve">we</w:t>
      </w:r>
      <w:r>
        <w:t xml:space="preserve"> </w:t>
      </w:r>
      <w:r>
        <w:t xml:space="preserve">investigate</w:t>
      </w:r>
      <w:r>
        <w:t xml:space="preserve"> </w:t>
      </w:r>
      <w:r>
        <w:t xml:space="preserve">social</w:t>
      </w:r>
      <w:r>
        <w:t xml:space="preserve"> </w:t>
      </w:r>
      <w:r>
        <w:t xml:space="preserve">dynamics</w:t>
      </w:r>
      <w:r>
        <w:t xml:space="preserve"> </w:t>
      </w:r>
      <w:r>
        <w:t xml:space="preserve">through</w:t>
      </w:r>
      <w:r>
        <w:t xml:space="preserve"> </w:t>
      </w:r>
      <w:r>
        <w:t xml:space="preserve">the</w:t>
      </w:r>
      <w:r>
        <w:t xml:space="preserve"> </w:t>
      </w:r>
      <w:r>
        <w:t xml:space="preserve">analysis</w:t>
      </w:r>
      <w:r>
        <w:t xml:space="preserve"> </w:t>
      </w:r>
      <w:r>
        <w:t xml:space="preserve">of</w:t>
      </w:r>
      <w:r>
        <w:t xml:space="preserve"> </w:t>
      </w:r>
      <w:r>
        <w:t xml:space="preserve">geometric</w:t>
      </w:r>
      <w:r>
        <w:t xml:space="preserve"> </w:t>
      </w:r>
      <w:r>
        <w:t xml:space="preserve">signs</w:t>
      </w:r>
      <w:r>
        <w:t xml:space="preserve"> </w:t>
      </w:r>
      <w:r>
        <w:t xml:space="preserve">on</w:t>
      </w:r>
      <w:r>
        <w:t xml:space="preserve"> </w:t>
      </w:r>
      <w:r>
        <w:t xml:space="preserve">mobile</w:t>
      </w:r>
      <w:r>
        <w:t xml:space="preserve"> </w:t>
      </w:r>
      <w:r>
        <w:t xml:space="preserve">objects</w:t>
      </w:r>
      <w:r>
        <w:t xml:space="preserve"> </w:t>
      </w:r>
      <w:r>
        <w:t xml:space="preserve">across</w:t>
      </w:r>
      <w:r>
        <w:t xml:space="preserve"> </w:t>
      </w:r>
      <w:r>
        <w:t xml:space="preserve">three</w:t>
      </w:r>
      <w:r>
        <w:t xml:space="preserve"> </w:t>
      </w:r>
      <w:r>
        <w:t xml:space="preserve">chronological</w:t>
      </w:r>
      <w:r>
        <w:t xml:space="preserve"> </w:t>
      </w:r>
      <w:r>
        <w:t xml:space="preserve">phases.</w:t>
      </w:r>
      <w:r>
        <w:t xml:space="preserve"> </w:t>
      </w:r>
      <w:r>
        <w:t xml:space="preserve">Using</w:t>
      </w:r>
      <w:r>
        <w:t xml:space="preserve"> </w:t>
      </w:r>
      <w:r>
        <w:t xml:space="preserve">seriation</w:t>
      </w:r>
      <w:r>
        <w:t xml:space="preserve"> </w:t>
      </w:r>
      <w:r>
        <w:t xml:space="preserve">and</w:t>
      </w:r>
      <w:r>
        <w:t xml:space="preserve"> </w:t>
      </w:r>
      <w:r>
        <w:t xml:space="preserve">network</w:t>
      </w:r>
      <w:r>
        <w:t xml:space="preserve"> </w:t>
      </w:r>
      <w:r>
        <w:t xml:space="preserve">analysis,</w:t>
      </w:r>
      <w:r>
        <w:t xml:space="preserve"> </w:t>
      </w:r>
      <w:r>
        <w:t xml:space="preserve">we</w:t>
      </w:r>
      <w:r>
        <w:t xml:space="preserve"> </w:t>
      </w:r>
      <w:r>
        <w:t xml:space="preserve">investigate</w:t>
      </w:r>
      <w:r>
        <w:t xml:space="preserve"> </w:t>
      </w:r>
      <w:r>
        <w:t xml:space="preserve">the</w:t>
      </w:r>
      <w:r>
        <w:t xml:space="preserve"> </w:t>
      </w:r>
      <w:r>
        <w:t xml:space="preserve">potential</w:t>
      </w:r>
      <w:r>
        <w:t xml:space="preserve"> </w:t>
      </w:r>
      <w:r>
        <w:t xml:space="preserve">for</w:t>
      </w:r>
      <w:r>
        <w:t xml:space="preserve"> </w:t>
      </w:r>
      <w:r>
        <w:t xml:space="preserve">sign</w:t>
      </w:r>
      <w:r>
        <w:t xml:space="preserve"> </w:t>
      </w:r>
      <w:r>
        <w:t xml:space="preserve">distribution</w:t>
      </w:r>
      <w:r>
        <w:t xml:space="preserve"> </w:t>
      </w:r>
      <w:r>
        <w:t xml:space="preserve">to</w:t>
      </w:r>
      <w:r>
        <w:t xml:space="preserve"> </w:t>
      </w:r>
      <w:r>
        <w:t xml:space="preserve">reflect</w:t>
      </w:r>
      <w:r>
        <w:t xml:space="preserve"> </w:t>
      </w:r>
      <w:r>
        <w:t xml:space="preserve">cultural</w:t>
      </w:r>
      <w:r>
        <w:t xml:space="preserve"> </w:t>
      </w:r>
      <w:r>
        <w:t xml:space="preserve">grouping</w:t>
      </w:r>
      <w:r>
        <w:t xml:space="preserve"> </w:t>
      </w:r>
      <w:r>
        <w:t xml:space="preserve">rather</w:t>
      </w:r>
      <w:r>
        <w:t xml:space="preserve"> </w:t>
      </w:r>
      <w:r>
        <w:t xml:space="preserve">than</w:t>
      </w:r>
      <w:r>
        <w:t xml:space="preserve"> </w:t>
      </w:r>
      <w:r>
        <w:t xml:space="preserve">geographic</w:t>
      </w:r>
      <w:r>
        <w:t xml:space="preserve"> </w:t>
      </w:r>
      <w:r>
        <w:t xml:space="preserve">isolation.</w:t>
      </w:r>
      <w:r>
        <w:t xml:space="preserve"> </w:t>
      </w:r>
      <w:r>
        <w:t xml:space="preserve">We</w:t>
      </w:r>
      <w:r>
        <w:t xml:space="preserve"> </w:t>
      </w:r>
      <w:r>
        <w:t xml:space="preserve">find</w:t>
      </w:r>
      <w:r>
        <w:t xml:space="preserve"> </w:t>
      </w:r>
      <w:r>
        <w:t xml:space="preserve">that</w:t>
      </w:r>
      <w:r>
        <w:t xml:space="preserve"> </w:t>
      </w:r>
      <w:r>
        <w:t xml:space="preserve">the</w:t>
      </w:r>
      <w:r>
        <w:t xml:space="preserve"> </w:t>
      </w:r>
      <w:r>
        <w:t xml:space="preserve">Proto-Aurignacian</w:t>
      </w:r>
      <w:r>
        <w:t xml:space="preserve"> </w:t>
      </w:r>
      <w:r>
        <w:t xml:space="preserve">was</w:t>
      </w:r>
      <w:r>
        <w:t xml:space="preserve"> </w:t>
      </w:r>
      <w:r>
        <w:t xml:space="preserve">characterised</w:t>
      </w:r>
      <w:r>
        <w:t xml:space="preserve"> </w:t>
      </w:r>
      <w:r>
        <w:t xml:space="preserve">by</w:t>
      </w:r>
      <w:r>
        <w:t xml:space="preserve"> </w:t>
      </w:r>
      <w:r>
        <w:t xml:space="preserve">the</w:t>
      </w:r>
      <w:r>
        <w:t xml:space="preserve"> </w:t>
      </w:r>
      <w:r>
        <w:t xml:space="preserve">densest</w:t>
      </w:r>
      <w:r>
        <w:t xml:space="preserve"> </w:t>
      </w:r>
      <w:r>
        <w:t xml:space="preserve">network</w:t>
      </w:r>
      <w:r>
        <w:t xml:space="preserve"> </w:t>
      </w:r>
      <w:r>
        <w:t xml:space="preserve">of</w:t>
      </w:r>
      <w:r>
        <w:t xml:space="preserve"> </w:t>
      </w:r>
      <w:r>
        <w:t xml:space="preserve">social</w:t>
      </w:r>
      <w:r>
        <w:t xml:space="preserve"> </w:t>
      </w:r>
      <w:r>
        <w:t xml:space="preserve">connections,</w:t>
      </w:r>
      <w:r>
        <w:t xml:space="preserve"> </w:t>
      </w:r>
      <w:r>
        <w:t xml:space="preserve">with</w:t>
      </w:r>
      <w:r>
        <w:t xml:space="preserve"> </w:t>
      </w:r>
      <w:r>
        <w:t xml:space="preserve">a</w:t>
      </w:r>
      <w:r>
        <w:t xml:space="preserve"> </w:t>
      </w:r>
      <w:r>
        <w:t xml:space="preserve">hub</w:t>
      </w:r>
      <w:r>
        <w:t xml:space="preserve"> </w:t>
      </w:r>
      <w:r>
        <w:t xml:space="preserve">structure</w:t>
      </w:r>
      <w:r>
        <w:t xml:space="preserve"> </w:t>
      </w:r>
      <w:r>
        <w:t xml:space="preserve">centred</w:t>
      </w:r>
      <w:r>
        <w:t xml:space="preserve"> </w:t>
      </w:r>
      <w:r>
        <w:t xml:space="preserve">on</w:t>
      </w:r>
      <w:r>
        <w:t xml:space="preserve"> </w:t>
      </w:r>
      <w:r>
        <w:t xml:space="preserve">key</w:t>
      </w:r>
      <w:r>
        <w:t xml:space="preserve"> </w:t>
      </w:r>
      <w:r>
        <w:t xml:space="preserve">sites,</w:t>
      </w:r>
      <w:r>
        <w:t xml:space="preserve"> </w:t>
      </w:r>
      <w:r>
        <w:t xml:space="preserve">while</w:t>
      </w:r>
      <w:r>
        <w:t xml:space="preserve"> </w:t>
      </w:r>
      <w:r>
        <w:t xml:space="preserve">subsequent</w:t>
      </w:r>
      <w:r>
        <w:t xml:space="preserve"> </w:t>
      </w:r>
      <w:r>
        <w:t xml:space="preserve">phases</w:t>
      </w:r>
      <w:r>
        <w:t xml:space="preserve"> </w:t>
      </w:r>
      <w:r>
        <w:t xml:space="preserve">show</w:t>
      </w:r>
      <w:r>
        <w:t xml:space="preserve"> </w:t>
      </w:r>
      <w:r>
        <w:t xml:space="preserve">progressively</w:t>
      </w:r>
      <w:r>
        <w:t xml:space="preserve"> </w:t>
      </w:r>
      <w:r>
        <w:t xml:space="preserve">reduced</w:t>
      </w:r>
      <w:r>
        <w:t xml:space="preserve"> </w:t>
      </w:r>
      <w:r>
        <w:t xml:space="preserve">connectivity</w:t>
      </w:r>
      <w:r>
        <w:t xml:space="preserve"> </w:t>
      </w:r>
      <w:r>
        <w:t xml:space="preserve">and</w:t>
      </w:r>
      <w:r>
        <w:t xml:space="preserve"> </w:t>
      </w:r>
      <w:r>
        <w:t xml:space="preserve">more</w:t>
      </w:r>
      <w:r>
        <w:t xml:space="preserve"> </w:t>
      </w:r>
      <w:r>
        <w:t xml:space="preserve">localised</w:t>
      </w:r>
      <w:r>
        <w:t xml:space="preserve"> </w:t>
      </w:r>
      <w:r>
        <w:t xml:space="preserve">interaction.</w:t>
      </w:r>
      <w:r>
        <w:t xml:space="preserve"> </w:t>
      </w:r>
      <w:r>
        <w:t xml:space="preserve">Conversely,</w:t>
      </w:r>
      <w:r>
        <w:t xml:space="preserve"> </w:t>
      </w:r>
      <w:r>
        <w:t xml:space="preserve">Mantel</w:t>
      </w:r>
      <w:r>
        <w:t xml:space="preserve"> </w:t>
      </w:r>
      <w:r>
        <w:t xml:space="preserve">tests</w:t>
      </w:r>
      <w:r>
        <w:t xml:space="preserve"> </w:t>
      </w:r>
      <w:r>
        <w:t xml:space="preserve">indicate</w:t>
      </w:r>
      <w:r>
        <w:t xml:space="preserve"> </w:t>
      </w:r>
      <w:r>
        <w:t xml:space="preserve">that</w:t>
      </w:r>
      <w:r>
        <w:t xml:space="preserve"> </w:t>
      </w:r>
      <w:r>
        <w:t xml:space="preserve">geographic</w:t>
      </w:r>
      <w:r>
        <w:t xml:space="preserve"> </w:t>
      </w:r>
      <w:r>
        <w:t xml:space="preserve">distance</w:t>
      </w:r>
      <w:r>
        <w:t xml:space="preserve"> </w:t>
      </w:r>
      <w:r>
        <w:t xml:space="preserve">alone</w:t>
      </w:r>
      <w:r>
        <w:t xml:space="preserve"> </w:t>
      </w:r>
      <w:r>
        <w:t xml:space="preserve">does</w:t>
      </w:r>
      <w:r>
        <w:t xml:space="preserve"> </w:t>
      </w:r>
      <w:r>
        <w:t xml:space="preserve">not</w:t>
      </w:r>
      <w:r>
        <w:t xml:space="preserve"> </w:t>
      </w:r>
      <w:r>
        <w:t xml:space="preserve">account</w:t>
      </w:r>
      <w:r>
        <w:t xml:space="preserve"> </w:t>
      </w:r>
      <w:r>
        <w:t xml:space="preserve">for</w:t>
      </w:r>
      <w:r>
        <w:t xml:space="preserve"> </w:t>
      </w:r>
      <w:r>
        <w:t xml:space="preserve">the</w:t>
      </w:r>
      <w:r>
        <w:t xml:space="preserve"> </w:t>
      </w:r>
      <w:r>
        <w:t xml:space="preserve">observed</w:t>
      </w:r>
      <w:r>
        <w:t xml:space="preserve"> </w:t>
      </w:r>
      <w:r>
        <w:t xml:space="preserve">patterns,</w:t>
      </w:r>
      <w:r>
        <w:t xml:space="preserve"> </w:t>
      </w:r>
      <w:r>
        <w:t xml:space="preserve">suggesting</w:t>
      </w:r>
      <w:r>
        <w:t xml:space="preserve"> </w:t>
      </w:r>
      <w:r>
        <w:t xml:space="preserve">social</w:t>
      </w:r>
      <w:r>
        <w:t xml:space="preserve"> </w:t>
      </w:r>
      <w:r>
        <w:t xml:space="preserve">processes</w:t>
      </w:r>
      <w:r>
        <w:t xml:space="preserve"> </w:t>
      </w:r>
      <w:r>
        <w:t xml:space="preserve">beyond</w:t>
      </w:r>
      <w:r>
        <w:t xml:space="preserve"> </w:t>
      </w:r>
      <w:r>
        <w:t xml:space="preserve">spatial</w:t>
      </w:r>
      <w:r>
        <w:t xml:space="preserve"> </w:t>
      </w:r>
      <w:r>
        <w:t xml:space="preserve">proximity</w:t>
      </w:r>
      <w:r>
        <w:t xml:space="preserve"> </w:t>
      </w:r>
      <w:r>
        <w:t xml:space="preserve">shaped</w:t>
      </w:r>
      <w:r>
        <w:t xml:space="preserve"> </w:t>
      </w:r>
      <w:r>
        <w:t xml:space="preserve">sign</w:t>
      </w:r>
      <w:r>
        <w:t xml:space="preserve"> </w:t>
      </w:r>
      <w:r>
        <w:t xml:space="preserve">distribution.</w:t>
      </w:r>
      <w:r>
        <w:t xml:space="preserve"> </w:t>
      </w:r>
      <w:r>
        <w:t xml:space="preserve">These</w:t>
      </w:r>
      <w:r>
        <w:t xml:space="preserve"> </w:t>
      </w:r>
      <w:r>
        <w:t xml:space="preserve">results</w:t>
      </w:r>
      <w:r>
        <w:t xml:space="preserve"> </w:t>
      </w:r>
      <w:r>
        <w:t xml:space="preserve">push</w:t>
      </w:r>
      <w:r>
        <w:t xml:space="preserve"> </w:t>
      </w:r>
      <w:r>
        <w:t xml:space="preserve">back</w:t>
      </w:r>
      <w:r>
        <w:t xml:space="preserve"> </w:t>
      </w:r>
      <w:r>
        <w:t xml:space="preserve">the</w:t>
      </w:r>
      <w:r>
        <w:t xml:space="preserve"> </w:t>
      </w:r>
      <w:r>
        <w:t xml:space="preserve">emergence</w:t>
      </w:r>
      <w:r>
        <w:t xml:space="preserve"> </w:t>
      </w:r>
      <w:r>
        <w:t xml:space="preserve">of</w:t>
      </w:r>
      <w:r>
        <w:t xml:space="preserve"> </w:t>
      </w:r>
      <w:r>
        <w:t xml:space="preserve">complex</w:t>
      </w:r>
      <w:r>
        <w:t xml:space="preserve"> </w:t>
      </w:r>
      <w:r>
        <w:t xml:space="preserve">inter-group</w:t>
      </w:r>
      <w:r>
        <w:t xml:space="preserve"> </w:t>
      </w:r>
      <w:r>
        <w:t xml:space="preserve">social</w:t>
      </w:r>
      <w:r>
        <w:t xml:space="preserve"> </w:t>
      </w:r>
      <w:r>
        <w:t xml:space="preserve">networks</w:t>
      </w:r>
      <w:r>
        <w:t xml:space="preserve"> </w:t>
      </w:r>
      <w:r>
        <w:t xml:space="preserve">to</w:t>
      </w:r>
      <w:r>
        <w:t xml:space="preserve"> </w:t>
      </w:r>
      <w:r>
        <w:t xml:space="preserve">approximately</w:t>
      </w:r>
      <w:r>
        <w:t xml:space="preserve"> </w:t>
      </w:r>
      <w:r>
        <w:t xml:space="preserve">41</w:t>
      </w:r>
      <w:r>
        <w:t xml:space="preserve"> </w:t>
      </w:r>
      <w:r>
        <w:t xml:space="preserve">ka</w:t>
      </w:r>
      <w:r>
        <w:t xml:space="preserve"> </w:t>
      </w:r>
      <w:r>
        <w:t xml:space="preserve">BP,</w:t>
      </w:r>
      <w:r>
        <w:t xml:space="preserve"> </w:t>
      </w:r>
      <w:r>
        <w:t xml:space="preserve">earlier</w:t>
      </w:r>
      <w:r>
        <w:t xml:space="preserve"> </w:t>
      </w:r>
      <w:r>
        <w:t xml:space="preserve">than</w:t>
      </w:r>
      <w:r>
        <w:t xml:space="preserve"> </w:t>
      </w:r>
      <w:r>
        <w:t xml:space="preserve">previously</w:t>
      </w:r>
      <w:r>
        <w:t xml:space="preserve"> </w:t>
      </w:r>
      <w:r>
        <w:t xml:space="preserve">proposed,</w:t>
      </w:r>
      <w:r>
        <w:t xml:space="preserve"> </w:t>
      </w:r>
      <w:r>
        <w:t xml:space="preserve">supporting</w:t>
      </w:r>
      <w:r>
        <w:t xml:space="preserve"> </w:t>
      </w:r>
      <w:r>
        <w:t xml:space="preserve">hypotheses</w:t>
      </w:r>
      <w:r>
        <w:t xml:space="preserve"> </w:t>
      </w:r>
      <w:r>
        <w:t xml:space="preserve">that</w:t>
      </w:r>
      <w:r>
        <w:t xml:space="preserve"> </w:t>
      </w:r>
      <w:r>
        <w:t xml:space="preserve">geometric</w:t>
      </w:r>
      <w:r>
        <w:t xml:space="preserve"> </w:t>
      </w:r>
      <w:r>
        <w:t xml:space="preserve">signs</w:t>
      </w:r>
      <w:r>
        <w:t xml:space="preserve"> </w:t>
      </w:r>
      <w:r>
        <w:t xml:space="preserve">may</w:t>
      </w:r>
      <w:r>
        <w:t xml:space="preserve"> </w:t>
      </w:r>
      <w:r>
        <w:t xml:space="preserve">have</w:t>
      </w:r>
      <w:r>
        <w:t xml:space="preserve"> </w:t>
      </w:r>
      <w:r>
        <w:t xml:space="preserve">functioned</w:t>
      </w:r>
      <w:r>
        <w:t xml:space="preserve"> </w:t>
      </w:r>
      <w:r>
        <w:t xml:space="preserve">as</w:t>
      </w:r>
      <w:r>
        <w:t xml:space="preserve"> </w:t>
      </w:r>
      <w:r>
        <w:t xml:space="preserve">information</w:t>
      </w:r>
      <w:r>
        <w:t xml:space="preserve"> </w:t>
      </w:r>
      <w:r>
        <w:t xml:space="preserve">technologies</w:t>
      </w:r>
      <w:r>
        <w:t xml:space="preserve"> </w:t>
      </w:r>
      <w:r>
        <w:t xml:space="preserve">to</w:t>
      </w:r>
      <w:r>
        <w:t xml:space="preserve"> </w:t>
      </w:r>
      <w:r>
        <w:t xml:space="preserve">navigate</w:t>
      </w:r>
      <w:r>
        <w:t xml:space="preserve"> </w:t>
      </w:r>
      <w:r>
        <w:t xml:space="preserve">environmental</w:t>
      </w:r>
      <w:r>
        <w:t xml:space="preserve"> </w:t>
      </w:r>
      <w:r>
        <w:t xml:space="preserve">instability</w:t>
      </w:r>
      <w:r>
        <w:t xml:space="preserve"> </w:t>
      </w:r>
      <w:r>
        <w:t xml:space="preserve">and</w:t>
      </w:r>
      <w:r>
        <w:t xml:space="preserve"> </w:t>
      </w:r>
      <w:r>
        <w:t xml:space="preserve">demographic</w:t>
      </w:r>
      <w:r>
        <w:t xml:space="preserve"> </w:t>
      </w:r>
      <w:r>
        <w:t xml:space="preserve">expansion.</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in order to understand the shifting patterns of social organization and diversity of the Upper Palaeolithic</w:t>
      </w:r>
      <w:r>
        <w:t xml:space="preserve"> </w:t>
      </w:r>
      <w:r>
        <w:t xml:space="preserve">[2–7]</w:t>
      </w:r>
      <w:r>
        <w:t xml:space="preserve">. The Aurignacian technocomplex (ca. 43 - 30 ka BP) is often linked to the dispersal of</w:t>
      </w:r>
      <w:r>
        <w:t xml:space="preserve"> </w:t>
      </w:r>
      <w:r>
        <w:rPr>
          <w:iCs/>
          <w:i/>
        </w:rPr>
        <w:t xml:space="preserve">Homo sapiens</w:t>
      </w:r>
      <w:r>
        <w:t xml:space="preserve"> </w:t>
      </w:r>
      <w:r>
        <w:t xml:space="preserve">across Western Eurasia, and is characterized by lithic and osseus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cultural connectivity during this period. We investigated human social organization dynamics implied by the distribution and variation of geometric sign types found on mobile objects in Europe across three phases of the Aurignacian period.</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understand patterns of cultural groups. Multivariate analyses of beads from the Gravettian technocomplex suggests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w:t>
      </w:r>
    </w:p>
    <w:p>
      <w:pPr>
        <w:pStyle w:val="BodyText"/>
      </w:pPr>
      <w:r>
        <w:t xml:space="preserve">Cultural groups have also been identified from forty-two quadrilateral geometric signs from four cave sites in the Cantabrian region of Spain, likely associated with the Magdalenian period, spanning a distance of 30 kilometers</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In this study, we extend this previous work using geometric signs as identity markers to investigate cultural group dynamics in the Aurignacian period, providing a novel approach to understanding how early groups of</w:t>
      </w:r>
      <w:r>
        <w:t xml:space="preserve"> </w:t>
      </w:r>
      <w:r>
        <w:rPr>
          <w:iCs/>
          <w:i/>
        </w:rPr>
        <w:t xml:space="preserve">Homo sapiens</w:t>
      </w:r>
      <w:r>
        <w:t xml:space="preserve"> </w:t>
      </w:r>
      <w:r>
        <w:t xml:space="preserve">interacted with each other and their environments. Our archaeological and modelling results support the view that geometric signs are informative proxies for reconstructing past cultural diversity and correlate with past population dynamics.</w:t>
      </w:r>
    </w:p>
    <w:bookmarkEnd w:id="21"/>
    <w:bookmarkStart w:id="23" w:name="periodization-of-the-aurignacian"/>
    <w:p>
      <w:pPr>
        <w:pStyle w:val="Heading2"/>
      </w:pPr>
      <w:r>
        <w:t xml:space="preserve">Periodization of the Aurignacian</w:t>
      </w:r>
    </w:p>
    <w:p>
      <w:pPr>
        <w:pStyle w:val="FirstParagraph"/>
      </w:pPr>
      <w:r>
        <w:t xml:space="preserve">The Aurignacian period (~43-30 ka BP) is largely characterized by material culture indicators such as carinated scrapers, blades and bladelets, and split-based bone and ivory tools</w:t>
      </w:r>
      <w:r>
        <w:t xml:space="preserve"> </w:t>
      </w:r>
      <w:r>
        <w:t xml:space="preserve">[12]</w:t>
      </w:r>
      <w:r>
        <w:t xml:space="preserve">. Periodization of the Aurignacian is complicated by regional variation with phases starting and ending at different times</w:t>
      </w:r>
      <w:r>
        <w:t xml:space="preserve"> </w:t>
      </w:r>
      <w:r>
        <w:t xml:space="preserve">[13,14]</w:t>
      </w:r>
      <w:r>
        <w:t xml:space="preserve">, and a lack of compositional integrity over time</w:t>
      </w:r>
      <w:r>
        <w:t xml:space="preserve"> </w:t>
      </w:r>
      <w:r>
        <w:t xml:space="preserve">[15]</w:t>
      </w:r>
      <w:r>
        <w:t xml:space="preserve">, with supposed index fossils persisting through multiple phases</w:t>
      </w:r>
      <w:r>
        <w:t xml:space="preserve"> </w:t>
      </w:r>
      <w:r>
        <w:t xml:space="preserve">[16]</w:t>
      </w:r>
      <w:r>
        <w:t xml:space="preserve">. While earlier work on the Aquitaine/Périgord sequences proposed as many as five phases</w:t>
      </w:r>
      <w:r>
        <w:t xml:space="preserve"> </w:t>
      </w:r>
      <w:r>
        <w:t xml:space="preserve">[17]</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[18]</w:t>
      </w:r>
      <w:r>
        <w:t xml:space="preserve">. For example,</w:t>
      </w:r>
      <w:r>
        <w:t xml:space="preserve"> </w:t>
      </w:r>
      <w:r>
        <w:t xml:space="preserve">[19]</w:t>
      </w:r>
      <w:r>
        <w:t xml:space="preserve"> </w:t>
      </w:r>
      <w:r>
        <w:t xml:space="preserve">divided the Aurignacian into two main phases, Aur-P1 (Proto/Early, 43–37 ka BP), and Aur-P2 (Evolved/Late, 37-32 ka BP), noting that the technological and chronological differences between the Proto and Early Aurignacian are difficult to distinguish</w:t>
      </w:r>
      <w:r>
        <w:t xml:space="preserve"> </w:t>
      </w:r>
      <w:r>
        <w:t xml:space="preserve">[20]</w:t>
      </w:r>
      <w:r>
        <w:t xml:space="preserve">.</w:t>
      </w:r>
      <w:r>
        <w:t xml:space="preserve"> </w:t>
      </w:r>
      <w:r>
        <w:t xml:space="preserve">[21]</w:t>
      </w:r>
      <w:r>
        <w:t xml:space="preserve"> </w:t>
      </w:r>
      <w:r>
        <w:t xml:space="preserve">used Bayesian modeling methods to estimate the timing of the transition between the Proto and Early Aurignacian, placing the Proto-Aurignacian at 41.5 - 39.9 ka BP, and the early Aurignacian at 39.8 - 37.8 ka BP. They found that the Proto-Aurignacian occurs during the Greenland Interstadials (GI) 9 and 10, periods of climatic amelioration, while the Early Aurignacian began with the Henrich Stadial, which is characterized by dry and arid conditions, and ends with GI 8. The chronological and technological distinctness of the Proto and Early Aurignacian has been questioned, with some analyses suggesting they may represent coexisting facies rather than successive phases</w:t>
      </w:r>
      <w:r>
        <w:t xml:space="preserve"> </w:t>
      </w:r>
      <w:r>
        <w:t xml:space="preserve">[22]</w:t>
      </w:r>
      <w:r>
        <w:t xml:space="preserve">.</w:t>
      </w:r>
    </w:p>
    <w:p>
      <w:pPr>
        <w:pStyle w:val="BodyText"/>
      </w:pPr>
      <w:r>
        <w:t xml:space="preserve">We adopt a three-phase framework (Proto-Aurignacian, Early Aurignacian, Evolved/Late Aurignacian) as a first-order chronological scaffold</w:t>
      </w:r>
      <w:r>
        <w:t xml:space="preserve"> </w:t>
      </w:r>
      <w:hyperlink w:anchor="tbl-aur-table">
        <w:r>
          <w:rPr>
            <w:rStyle w:val="Hyperlink"/>
          </w:rPr>
          <w:t xml:space="preserve">Table 1</w:t>
        </w:r>
      </w:hyperlink>
      <w:r>
        <w:t xml:space="preserve">. This scheme preserves the two transitions of greatest relevance to our research question: the Proto to Early boundary, which broadly corresponds to the shift from initial dispersal to established populations, and the Early to Evolved/Late boundary, which coincides with the onset of pronounced regional diversification in material culture. We acknowledge that these phases are analytical conveniences rather than discrete cultural entities</w:t>
      </w:r>
      <w:r>
        <w:t xml:space="preserve"> </w:t>
      </w:r>
      <w:r>
        <w:t xml:space="preserve">[15,18]</w:t>
      </w:r>
      <w:r>
        <w:t xml:space="preserve">, and we test the sensitivity of our results to alternative periodisations (two-phase:</w:t>
      </w:r>
      <w:r>
        <w:t xml:space="preserve"> </w:t>
      </w:r>
      <w:r>
        <w:t xml:space="preserve">[19]</w:t>
      </w:r>
      <w:r>
        <w:t xml:space="preserve">; four-phase: Evolved/Late split; Supplement S4), including boundary-shift analyses that perturb the Proto/Early and Early/Evolved thresholds by ±500 and ±1000 years (Supplement S5.5). Phase assignments follow published site attributions, translated from legacy Périgord terminology where necessary.</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337"/>
              <w:gridCol w:w="229"/>
              <w:gridCol w:w="6717"/>
              <w:gridCol w:w="635"/>
            </w:tblGrid>
            <w:tr>
              <w:trPr>
                <w:tblHeader w:val="true"/>
              </w:trPr>
              <w:tc>
                <w:tcPr/>
                <w:p>
                  <w:pPr>
                    <w:pStyle w:val="Compact"/>
                    <w:jc w:val="left"/>
                    <w:jc w:val="center"/>
                  </w:pPr>
                  <w:r>
                    <w:t xml:space="preserve">Time Period Name</w:t>
                  </w:r>
                </w:p>
              </w:tc>
              <w:tc>
                <w:tcPr/>
                <w:p>
                  <w:pPr>
                    <w:pStyle w:val="Compact"/>
                    <w:jc w:val="left"/>
                    <w:jc w:val="center"/>
                  </w:pPr>
                  <w:r>
                    <w:t xml:space="preserve">Dates (k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Protoaurignacian</w:t>
                  </w:r>
                </w:p>
              </w:tc>
              <w:tc>
                <w:tcPr/>
                <w:p>
                  <w:pPr>
                    <w:pStyle w:val="Compact"/>
                    <w:jc w:val="left"/>
                    <w:jc w:val="center"/>
                  </w:pPr>
                  <w:r>
                    <w:t xml:space="preserve">43 - 39.8</w:t>
                  </w:r>
                </w:p>
              </w:tc>
              <w:tc>
                <w:tcPr/>
                <w:p>
                  <w:pPr>
                    <w:pStyle w:val="Compact"/>
                    <w:jc w:val="left"/>
                    <w:jc w:val="center"/>
                  </w:pPr>
                  <w:r>
                    <w:t xml:space="preserve">Blades and bladelets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bone/antler points are absent/very rare</w:t>
                  </w:r>
                </w:p>
              </w:tc>
              <w:tc>
                <w:tcPr/>
                <w:p>
                  <w:pPr>
                    <w:pStyle w:val="Compact"/>
                    <w:jc w:val="left"/>
                    <w:jc w:val="center"/>
                  </w:pPr>
                  <w:r>
                    <w:t xml:space="preserve">Spans Greenland Stadial 12 to GI 10 and 9</w:t>
                  </w:r>
                </w:p>
              </w:tc>
            </w:tr>
            <w:tr>
              <w:tc>
                <w:tcPr/>
                <w:p>
                  <w:pPr>
                    <w:pStyle w:val="Compact"/>
                    <w:jc w:val="left"/>
                    <w:jc w:val="center"/>
                  </w:pPr>
                  <w:r>
                    <w:t xml:space="preserve">Early Aurignacian</w:t>
                  </w:r>
                </w:p>
              </w:tc>
              <w:tc>
                <w:tcPr/>
                <w:p>
                  <w:pPr>
                    <w:pStyle w:val="Compact"/>
                    <w:jc w:val="left"/>
                    <w:jc w:val="center"/>
                  </w:pPr>
                  <w:r>
                    <w:t xml:space="preserve">39.8 - 37.8</w:t>
                  </w:r>
                </w:p>
              </w:tc>
              <w:tc>
                <w:tcPr/>
                <w:p>
                  <w:pPr>
                    <w:pStyle w:val="Compact"/>
                    <w:jc w:val="left"/>
                    <w:jc w:val="center"/>
                  </w:pPr>
                  <w:r>
                    <w:t xml:space="preserve">Blade and bladelet production now run as separate reduction sequences, with carinated and nosed end-scrapers systematically used as bladelet cores; thick blades with invasive, scalar Aurignacian retouch, sometimes waisted/strangled; Dufour bladelets now include the smaller Roc-de-Combe subtype alongside Dufour; split-based antler/bone points (regionally variable)</w:t>
                  </w:r>
                </w:p>
              </w:tc>
              <w:tc>
                <w:tcPr/>
                <w:p>
                  <w:pPr>
                    <w:pStyle w:val="Compact"/>
                    <w:jc w:val="left"/>
                    <w:jc w:val="center"/>
                  </w:pPr>
                  <w:r>
                    <w:t xml:space="preserve">Begins with Heinrich Stadial 4, ends with GI 8</w:t>
                  </w:r>
                </w:p>
              </w:tc>
            </w:tr>
            <w:tr>
              <w:tc>
                <w:tcPr/>
                <w:p>
                  <w:pPr>
                    <w:pStyle w:val="Compact"/>
                    <w:jc w:val="left"/>
                    <w:jc w:val="center"/>
                  </w:pPr>
                  <w:r>
                    <w:t xml:space="preserve">Evolved/Late Aurignacian</w:t>
                  </w:r>
                </w:p>
              </w:tc>
              <w:tc>
                <w:tcPr/>
                <w:p>
                  <w:pPr>
                    <w:pStyle w:val="Compact"/>
                    <w:jc w:val="left"/>
                    <w:jc w:val="center"/>
                  </w:pPr>
                  <w:r>
                    <w:t xml:space="preserve">37.8 - 32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plus bipoint Font-Yves/Krems bladelets; split-based points disappear,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[12,19,21,23]</w:t>
            </w:r>
          </w:p>
          <w:bookmarkEnd w:id="22"/>
        </w:tc>
      </w:tr>
    </w:tbl>
    <w:p>
      <w:pPr>
        <w:pStyle w:val="BodyText"/>
      </w:pPr>
      <w:r>
        <w:t xml:space="preserve">We hypothesize that these phases, and the environmental changes across them, may correspond to changes in dynamics of cultural groups, as represented by patterns in the distribution of geometric signs. We aim to address the following questions: How do grouping dynamics of geometric signs change across the three phases of the Aurignacian? How do the groupings vary in diversity, size, connectivity, and distribution? What do these patterns tell us about dynamics of social organization throughout the Aurignacian? To answer these questions we use seriation analysis, network analysis, and PerMANOVA tests.</w:t>
      </w:r>
    </w:p>
    <w:bookmarkEnd w:id="23"/>
    <w:bookmarkStart w:id="28" w:name="geometric-signs-from-the-aurignacian"/>
    <w:p>
      <w:pPr>
        <w:pStyle w:val="Heading2"/>
      </w:pPr>
      <w:r>
        <w:t xml:space="preserve">Geometric signs from the Aurignacian</w:t>
      </w:r>
    </w:p>
    <w:p>
      <w:pPr>
        <w:pStyle w:val="FirstParagraph"/>
      </w:pPr>
      <w:r>
        <w:t xml:space="preserve">Our data comes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55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seven sites from the sample: only Willendorf (one sign present); Riparo di Fontana Nuova, Muralovka, Shanidar Cave, and Hayonim Cave (extreme geographic distance from the other sites); Grotte De La Princesse Pauline and Šandalja II (dated much later than the rest of the assemblages). This resulted in a sample of 438 objects found at 30 sites in 7 countries, and 54 sign types used in this study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3714749"/>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w:t>
            </w:r>
          </w:p>
          <w:bookmarkEnd w:id="27"/>
        </w:tc>
      </w:tr>
    </w:tbl>
    <w:p>
      <w:pPr>
        <w:pStyle w:val="BodyText"/>
      </w:pPr>
      <w:r>
        <w:t xml:space="preserve">Ages of the objects were determined by calibrating the uncalibrated ages provided by SignBase using the rcarbon package</w:t>
      </w:r>
      <w:r>
        <w:t xml:space="preserve"> </w:t>
      </w:r>
      <w:r>
        <w:t xml:space="preserve">[24]</w:t>
      </w:r>
      <w:r>
        <w:t xml:space="preserve">. The calibrated radiocarbon dates of the sampled data range from approximately 32,893 BP to 44,778 BP, spanning an overall time range of 11,885 years. We assigned each object to a chronological phase following the date ranges recorded in</w:t>
      </w:r>
      <w:r>
        <w:t xml:space="preserve"> </w:t>
      </w:r>
      <w:hyperlink w:anchor="tbl-aur-table">
        <w:r>
          <w:rPr>
            <w:rStyle w:val="Hyperlink"/>
          </w:rPr>
          <w:t xml:space="preserve">Table 1</w:t>
        </w:r>
      </w:hyperlink>
      <w:r>
        <w:t xml:space="preserve">. The Proto-Aurignacian has 15 sites and 24 sign types, the Early Aurignacian has 9 sites and 18 sign types, and the Evolved Aurignacian has 9 sites and 19 sign types. A Mantel test to evaluate the correlation between distance in time and distribution of sign types did not find a statistically significant correlation (R = 0.06, p = 0.01). This suggests that substantial changes in sign types did not occur over time during the Aurignacian period.</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[25]</w:t>
      </w:r>
      <w:r>
        <w:t xml:space="preserve"> </w:t>
      </w:r>
      <w:r>
        <w:t xml:space="preserve">in using presence/absence data for each sign at each site, reducing the effect of variation in object count between sites. We used Mantel tests with a Euclidean object abundance distance matrix and a Jaccard dissimilarity matrix of sign types. The test seeks to determine the level of correspondence between the matrices through permutational evaluation of the null distribution</w:t>
      </w:r>
      <w:r>
        <w:t xml:space="preserve"> </w:t>
      </w:r>
      <w:r>
        <w:t xml:space="preserve">[26]</w:t>
      </w:r>
      <w:r>
        <w:t xml:space="preserve">, (here 1000 permutations), producing a Mantel R statistic and a p-value. The R statistic falls between -1, meaning a strong negative correlation, and 1, meaning a strong positive correlation, while a value of 0 means no correlation. The p-value estimates the probability of obtaining the observed correlation if the null hypothesis of no correlation were true (we use an alpha value of 0.05 for the threshold of statistical significance). The Mantel tests were performed using the vegan package</w:t>
      </w:r>
      <w:r>
        <w:t xml:space="preserve"> </w:t>
      </w:r>
      <w:r>
        <w:t xml:space="preserve">[27]</w:t>
      </w:r>
      <w:r>
        <w:t xml:space="preserve">. The test indicated that there was no significant correlation between object abundance and sign type distribution (R = 0.074, p = 0.09), validating our decision to use presence/absence data.</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[28]</w:t>
      </w:r>
      <w:r>
        <w:t xml:space="preserve">. This relationship can be investigated using the isolation-by-distance framework, which proposes that cultural difference can be primarily explained by geographic distance</w:t>
      </w:r>
      <w:r>
        <w:t xml:space="preserve"> </w:t>
      </w:r>
      <w:r>
        <w:t xml:space="preserve">[25]</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suggesting that isolation by distance alone does not fully account for the observed patterns, although this null result should be interpreted cautiously given the small sample sizes (Supplement S5.8). We further verify these results using geodesic distances in kilometres rather than flat-coordinate Euclidean distances (Supplement S3).</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r>
            <w:tr>
              <w:tc>
                <w:tcPr/>
                <w:p>
                  <w:pPr>
                    <w:pStyle w:val="Compact"/>
                    <w:jc w:val="left"/>
                    <w:jc w:val="center"/>
                  </w:pPr>
                  <w:r>
                    <w:t xml:space="preserve">Proto-Aurignacian</w:t>
                  </w:r>
                </w:p>
              </w:tc>
              <w:tc>
                <w:tcPr/>
                <w:p>
                  <w:pPr>
                    <w:pStyle w:val="Compact"/>
                    <w:jc w:val="right"/>
                    <w:jc w:val="center"/>
                  </w:pPr>
                  <w:r>
                    <w:t xml:space="preserve">0.012</w:t>
                  </w:r>
                </w:p>
              </w:tc>
              <w:tc>
                <w:tcPr/>
                <w:p>
                  <w:pPr>
                    <w:pStyle w:val="Compact"/>
                    <w:jc w:val="right"/>
                    <w:jc w:val="center"/>
                  </w:pPr>
                  <w:r>
                    <w:t xml:space="preserve">0.439</w:t>
                  </w:r>
                </w:p>
              </w:tc>
            </w:tr>
            <w:tr>
              <w:tc>
                <w:tcPr/>
                <w:p>
                  <w:pPr>
                    <w:pStyle w:val="Compact"/>
                    <w:jc w:val="left"/>
                    <w:jc w:val="center"/>
                  </w:pPr>
                  <w:r>
                    <w:t xml:space="preserve">Early Aurignacian</w:t>
                  </w:r>
                </w:p>
              </w:tc>
              <w:tc>
                <w:tcPr/>
                <w:p>
                  <w:pPr>
                    <w:pStyle w:val="Compact"/>
                    <w:jc w:val="right"/>
                    <w:jc w:val="center"/>
                  </w:pPr>
                  <w:r>
                    <w:t xml:space="preserve">0.313</w:t>
                  </w:r>
                </w:p>
              </w:tc>
              <w:tc>
                <w:tcPr/>
                <w:p>
                  <w:pPr>
                    <w:pStyle w:val="Compact"/>
                    <w:jc w:val="right"/>
                    <w:jc w:val="center"/>
                  </w:pPr>
                  <w:r>
                    <w:t xml:space="preserve">0.031</w:t>
                  </w:r>
                </w:p>
              </w:tc>
            </w:tr>
            <w:tr>
              <w:tc>
                <w:tcPr/>
                <w:p>
                  <w:pPr>
                    <w:pStyle w:val="Compact"/>
                    <w:jc w:val="left"/>
                    <w:jc w:val="center"/>
                  </w:pPr>
                  <w:r>
                    <w:t xml:space="preserve">Evolved Aurignacian</w:t>
                  </w:r>
                </w:p>
              </w:tc>
              <w:tc>
                <w:tcPr/>
                <w:p>
                  <w:pPr>
                    <w:pStyle w:val="Compact"/>
                    <w:jc w:val="right"/>
                    <w:jc w:val="center"/>
                  </w:pPr>
                  <w:r>
                    <w:t xml:space="preserve">-0.062</w:t>
                  </w:r>
                </w:p>
              </w:tc>
              <w:tc>
                <w:tcPr/>
                <w:p>
                  <w:pPr>
                    <w:pStyle w:val="Compact"/>
                    <w:jc w:val="right"/>
                    <w:jc w:val="center"/>
                  </w:pPr>
                  <w:r>
                    <w:t xml:space="preserve">0.598</w:t>
                  </w:r>
                </w:p>
              </w:tc>
            </w:tr>
          </w:tbl>
          <w:p>
            <w:pPr>
              <w:jc w:val="center"/>
            </w:pPr>
            <w:pPr>
              <w:jc w:val="start"/>
              <w:spacing w:before="200"/>
              <w:pStyle w:val="ImageCaption"/>
            </w:pPr>
            <w:r>
              <w:t xml:space="preserve">Table 2: Table of the results per phase for the Mantel test between a Jaccard matrix of sign type diversity and a geographic distance matrix</w:t>
            </w:r>
          </w:p>
          <w:bookmarkEnd w:id="29"/>
        </w:tc>
      </w:tr>
    </w:tbl>
    <w:bookmarkStart w:id="30" w:name="X46fb7fbb72b706c03a53d156cc51de5c114d6b9"/>
    <w:p>
      <w:pPr>
        <w:pStyle w:val="Heading2"/>
      </w:pPr>
      <w:r>
        <w:t xml:space="preserve">Cultural Group Detection Using Seriation and Network Analysis</w:t>
      </w:r>
    </w:p>
    <w:p>
      <w:pPr>
        <w:pStyle w:val="FirstParagraph"/>
      </w:pPr>
      <w:r>
        <w:t xml:space="preserve">Seriation analysis is the arrangement of data into a linear order to reveal patterns</w:t>
      </w:r>
      <w:r>
        <w:t xml:space="preserve"> </w:t>
      </w:r>
      <w:r>
        <w:t xml:space="preserve">[29]</w:t>
      </w:r>
      <w:r>
        <w:t xml:space="preserve">. We used the Brower-Kile</w:t>
      </w:r>
      <w:r>
        <w:t xml:space="preserve"> </w:t>
      </w:r>
      <w:r>
        <w:t xml:space="preserve">[30]</w:t>
      </w:r>
      <w:r>
        <w:t xml:space="preserve"> </w:t>
      </w:r>
      <w:r>
        <w:t xml:space="preserve">seriation algorithm from the seriation package</w:t>
      </w:r>
      <w:r>
        <w:t xml:space="preserve"> </w:t>
      </w:r>
      <w:r>
        <w:t xml:space="preserve">[29]</w:t>
      </w:r>
      <w:r>
        <w:t xml:space="preserve">, in which a unidimensional sequence is generated by reordering the rows and columns to group the presences along the diagonal.</w:t>
      </w:r>
    </w:p>
    <w:p>
      <w:pPr>
        <w:pStyle w:val="BodyText"/>
      </w:pPr>
      <w:r>
        <w:t xml:space="preserve">To investigate connectivity among clusters of sites in the seriation solution, we used network analysis to represent and quantify the relationship between sites</w:t>
      </w:r>
      <w:r>
        <w:t xml:space="preserve"> </w:t>
      </w:r>
      <w:r>
        <w:t xml:space="preserve">[31]</w:t>
      </w:r>
      <w:r>
        <w:t xml:space="preserve">. Each node is a site, and each edge is a measure of sign type distribution similarity, each edge weight is the Jaccard similarity (1 − Jaccard dissimilarity).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(Supplement S1, S2, S5.2, S5.6). Results were plotted with the Fruchterman-Reingold layout</w:t>
      </w:r>
      <w:r>
        <w:t xml:space="preserve"> </w:t>
      </w:r>
      <w:r>
        <w:t xml:space="preserve">[32]</w:t>
      </w:r>
      <w:r>
        <w:t xml:space="preserve">, a force-directed graph layout for uniform edge lengths, and network analysis was performed using the vegan</w:t>
      </w:r>
      <w:r>
        <w:t xml:space="preserve"> </w:t>
      </w:r>
      <w:r>
        <w:t xml:space="preserve">[27]</w:t>
      </w:r>
      <w:r>
        <w:t xml:space="preserve">, statnet</w:t>
      </w:r>
      <w:r>
        <w:t xml:space="preserve"> </w:t>
      </w:r>
      <w:r>
        <w:t xml:space="preserve">[33]</w:t>
      </w:r>
      <w:r>
        <w:t xml:space="preserve"> </w:t>
      </w:r>
      <w:r>
        <w:t xml:space="preserve">and igraph</w:t>
      </w:r>
      <w:r>
        <w:t xml:space="preserve"> </w:t>
      </w:r>
      <w:r>
        <w:t xml:space="preserve">[34]</w:t>
      </w:r>
      <w:r>
        <w:t xml:space="preserve"> </w:t>
      </w:r>
      <w:r>
        <w:t xml:space="preserve">packages.</w:t>
      </w:r>
    </w:p>
    <w:bookmarkEnd w:id="30"/>
    <w:bookmarkStart w:id="31" w:name="Xda1c626f4bbd9fdc06551ef7388072be9db3264"/>
    <w:p>
      <w:pPr>
        <w:pStyle w:val="Heading2"/>
      </w:pPr>
      <w:r>
        <w:t xml:space="preserve">PerMANOVA for Cultural Connection Strength</w:t>
      </w:r>
    </w:p>
    <w:p>
      <w:pPr>
        <w:pStyle w:val="FirstParagraph"/>
      </w:pPr>
      <w:r>
        <w:t xml:space="preserve">PerMANOVA quantifies the level of variation between groups versus the level of variation within groups</w:t>
      </w:r>
      <w:r>
        <w:t xml:space="preserve"> </w:t>
      </w:r>
      <w:r>
        <w:t xml:space="preserve">[35,36]</w:t>
      </w:r>
      <w:r>
        <w:t xml:space="preserve">.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[27]</w:t>
      </w:r>
      <w:r>
        <w:t xml:space="preserve"> </w:t>
      </w:r>
      <w:r>
        <w:t xml:space="preserve">and igraph</w:t>
      </w:r>
      <w:r>
        <w:t xml:space="preserve"> </w:t>
      </w:r>
      <w:r>
        <w:t xml:space="preserve">[34]</w:t>
      </w:r>
      <w:r>
        <w:t xml:space="preserve"> </w:t>
      </w:r>
      <w:r>
        <w:t xml:space="preserve">packages. Because the restricted/broad group assignments were derived from visual inspection of the seriation results using the same sign data tested here, we validate these assignments against data-driven Louvain community detection and report the comparison in Supplement S5. We further test the robustness of the partition with bootstrap consensus clustering of sites and with stochastic block models, which select the number of groups model-independently and assign posterior membership probabilities to each site (Supplement S6).</w:t>
      </w:r>
    </w:p>
    <w:bookmarkEnd w:id="31"/>
    <w:bookmarkEnd w:id="32"/>
    <w:bookmarkStart w:id="52" w:name="results"/>
    <w:p>
      <w:pPr>
        <w:pStyle w:val="Heading1"/>
      </w:pPr>
      <w:r>
        <w:t xml:space="preserve">Results</w:t>
      </w:r>
    </w:p>
    <w:bookmarkStart w:id="49" w:name="cultural-group-detection"/>
    <w:p>
      <w:pPr>
        <w:pStyle w:val="Heading2"/>
      </w:pPr>
      <w:r>
        <w:t xml:space="preserve">Cultural Group Detection</w:t>
      </w:r>
    </w:p>
    <w:tbl>
      <w:tblPr>
        <w:tblStyle w:val="Table"/>
        <w:tblW w:type="pct" w:w="5000"/>
        <w:tblLook w:firstRow="0" w:lastRow="0" w:firstColumn="0" w:lastColumn="0" w:noHBand="0" w:noVBand="0" w:val="0000"/>
        <w:jc w:val="start"/>
        <w:tblLayout w:type="fixed"/>
      </w:tblPr>
      <w:tblGrid>
        <w:gridCol w:w="7920"/>
      </w:tblGrid>
      <w:tr>
        <w:tc>
          <w:tcPr/>
          <w:bookmarkStart w:id="36" w:name="fig-seriation"/>
          <w:p>
            <w:pPr>
              <w:pStyle w:val="Compact"/>
              <w:jc w:val="center"/>
            </w:pPr>
            <w:r>
              <w:drawing>
                <wp:inline>
                  <wp:extent cx="5504749" cy="9174581"/>
                  <wp:effectExtent b="0" l="0" r="0" t="0"/>
                  <wp:docPr descr="" title="" id="34" name="Picture"/>
                  <a:graphic>
                    <a:graphicData uri="http://schemas.openxmlformats.org/drawingml/2006/picture">
                      <pic:pic>
                        <pic:nvPicPr>
                          <pic:cNvPr descr="../figures/seriation-plot.png" id="35" name="Picture"/>
                          <pic:cNvPicPr>
                            <a:picLocks noChangeArrowheads="1" noChangeAspect="1"/>
                          </pic:cNvPicPr>
                        </pic:nvPicPr>
                        <pic:blipFill>
                          <a:blip r:embed="rId33"/>
                          <a:stretch>
                            <a:fillRect/>
                          </a:stretch>
                        </pic:blipFill>
                        <pic:spPr bwMode="auto">
                          <a:xfrm>
                            <a:off x="0" y="0"/>
                            <a:ext cx="5504749" cy="91745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Seriation reveals recurrent group structure across Upper Palaeolithic phases. Presence–absence matrices of geometric sign types reordered using Brower-Kile seriation algorithm for (A) Proto-Aurignacian, (B) Early Aurignacian, and (C) Evolved Aurignacian phases. Rows represent sites and columns represent sign types. Blocks of co-occurring signs indicate culturally coherent groupings. Despite chronological turnover in specific sign types, two broad classes of assemblages—restricted-range and broad-range—recur across all phases, suggesting persistent structuring in symbolic signaling practices. Restricted group is in yellow, broader group is in blue.</w:t>
            </w:r>
          </w:p>
          <w:bookmarkEnd w:id="36"/>
        </w:tc>
      </w:tr>
    </w:tbl>
    <w:p>
      <w:pPr>
        <w:pStyle w:val="BodyText"/>
      </w:pPr>
      <w:r>
        <w:t xml:space="preserve">For each of the phases, our seriation analysis identifies two groups. One group has a restricted range of sign types (1-3 types), which tend to be visually simpler signs. A second group has a broader range (up to 14 types), which include more complex signs. Simpler signs composed of fewer components, like line and notch, are the most prevalent across all time periods. The number of sites in the restricted range group is less than the number of sites in the broader range group in the Early Aurignacian, while in the Proto- and Evolved Aurignacian the restricted range group is slightly larger. Bootstrap resampling of sites confirms that this two-group structure is stable to sampling variation, and stochastic block models independently select two blocks for the Early and Evolved Aurignacian and three for the Proto-Aurignacian, reproducing the manual restricted/broad split to differing degrees across phases; per-site robustness is quantified in Supplement S6.</w:t>
      </w:r>
    </w:p>
    <w:p>
      <w:pPr>
        <w:pStyle w:val="BodyText"/>
      </w:pPr>
      <w:r>
        <w:t xml:space="preserve">In the Proto-Aurignacian we see a relatively wide range of sign types, with an expansion in the number of sites compared to the earliest material. The restricted range group consists of Abri Pataud, Fumane, and Pod Hradem, which only have a notch, Labeko Koba, which only has a line, and Hohlenstein-Stadel, Mladeč, Gatzarria, and El Castillo, which have a slightly wider range of signs, including the dashline and maccaroni. The broader range group consists of Geissenklösterle, Spy, Vogelherd, Grotte du Renne, Hohle Fels, La Ferrassie, and Les Cottés, where we see a more diverse range of signs. In addition to line and notch, the obline, radial notch (radnotch), cross, hatching, and circumferential notch (circumnotch) are also frequently found in the broader range group. At first glance Les Cottés may appear miss-classified in the broader group with only two sign types, circumnotch and circumspiral. However group assignment is by sign composition as well as type diversity, and these two types are only shared with broader-group sites, justifying the assignment of Les Cottés to the broader group.</w:t>
      </w:r>
    </w:p>
    <w:p>
      <w:pPr>
        <w:pStyle w:val="BodyText"/>
      </w:pPr>
      <w:r>
        <w:t xml:space="preserve">In the Early Aurignacian, we see appearance of completely new sites with no overlap with the Proto-Aurignacian sites, as well as increased diversity of patterns within the groups. The restricted range group consists of Grottes de Fonds-de-Forêt (radnotch and notch), Riparo Bombrini (notch), and Grotte de la Verpillière I (notch and line). The broader range group consists of Solutré, Hohle Fels, Castanet, Cellier, and Blanchard which contain a wide range of signs in a variety of combinations. Trou al’Wesse contains only only type, maccaroni, which is only found in the broader group sites (similar to the situation with Les Cottés in the Proto-Aurignacian). In addition to line and notch, the obline, dot and vulva are also frequently found in the broader range group.</w:t>
      </w:r>
    </w:p>
    <w:p>
      <w:pPr>
        <w:pStyle w:val="BodyText"/>
      </w:pPr>
      <w:r>
        <w:t xml:space="preserve">Finally, in the Evolved Aurignacian, we see slightly more consistent groups, again with new sites with no overlap with the Early Aurignacian sites, except for Hohle Fels, which also appears in the Proto-Aurignacian. Vogelherd also reappears, having appeared earlier in the Proto-Aurignacian. The restricted range group consists of Les Rois, Gargas, La Viña, Sirgenstein Cave, and Vindija Cave, with the line, notch, and obline signs. The broader range group consists of Trou Magrite, Bockstein-Törle, Vogelherd, and Hohle Fels. Along with line, notch, and obline, the hatching, and oblique notch (obnotch) signs are also frequently found in the broader range group. While these seriation results hint at a two-member group structure, network analysis allows us to evaluate how these groups may have been socially connected.</w:t>
      </w:r>
    </w:p>
    <w:tbl>
      <w:tblPr>
        <w:tblStyle w:val="Table"/>
        <w:tblW w:type="pct" w:w="5000"/>
        <w:tblLook w:firstRow="0" w:lastRow="0" w:firstColumn="0" w:lastColumn="0" w:noHBand="0" w:noVBand="0" w:val="0000"/>
        <w:jc w:val="start"/>
        <w:tblLayout w:type="fixed"/>
      </w:tblPr>
      <w:tblGrid>
        <w:gridCol w:w="7920"/>
      </w:tblGrid>
      <w:tr>
        <w:tc>
          <w:tcPr/>
          <w:bookmarkStart w:id="40" w:name="fig-neighbor-net"/>
          <w:p>
            <w:pPr>
              <w:pStyle w:val="Compact"/>
              <w:jc w:val="center"/>
            </w:pPr>
            <w:r>
              <w:drawing>
                <wp:inline>
                  <wp:extent cx="5943600" cy="3566160"/>
                  <wp:effectExtent b="0" l="0" r="0" t="0"/>
                  <wp:docPr descr="" title="" id="38" name="Picture"/>
                  <a:graphic>
                    <a:graphicData uri="http://schemas.openxmlformats.org/drawingml/2006/picture">
                      <pic:pic>
                        <pic:nvPicPr>
                          <pic:cNvPr descr="../figures/network-plot.png" id="39" name="Picture"/>
                          <pic:cNvPicPr>
                            <a:picLocks noChangeArrowheads="1" noChangeAspect="1"/>
                          </pic:cNvPicPr>
                        </pic:nvPicPr>
                        <pic:blipFill>
                          <a:blip r:embed="rId37"/>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cultural similarity among sites for each phase based on Jaccard dissimilarity of geometric sign presence/absence. Nodes represent sites and edges connect pairs with similarity ≥0.2. Node size reflects degree centrality, and edge thickness corresponds to similarity strength. The Early Aurignacian network shows the highest overall connectivity, whereas the Evolved phase exhibits weaker and more fragmented connections. These networks illustrate phase-specific differences in the intensity and configuration of inter-site cultural links.</w:t>
            </w:r>
          </w:p>
          <w:bookmarkEnd w:id="40"/>
        </w:tc>
      </w:tr>
    </w:tbl>
    <w:tbl>
      <w:tblPr>
        <w:tblStyle w:val="Table"/>
        <w:tblW w:type="pct" w:w="5000"/>
        <w:tblLook w:firstRow="0" w:lastRow="0" w:firstColumn="0" w:lastColumn="0" w:noHBand="0" w:noVBand="0" w:val="0000"/>
        <w:jc w:val="start"/>
        <w:tblLayout w:type="fixed"/>
      </w:tblPr>
      <w:tblGrid>
        <w:gridCol w:w="7920"/>
      </w:tblGrid>
      <w:tr>
        <w:tc>
          <w:tcPr/>
          <w:bookmarkStart w:id="44" w:name="fig-neighbor-net-stats"/>
          <w:p>
            <w:pPr>
              <w:pStyle w:val="Compact"/>
              <w:jc w:val="center"/>
            </w:pPr>
            <w:r>
              <w:drawing>
                <wp:inline>
                  <wp:extent cx="5943600" cy="4086225"/>
                  <wp:effectExtent b="0" l="0" r="0" t="0"/>
                  <wp:docPr descr="" title="" id="42" name="Picture"/>
                  <a:graphic>
                    <a:graphicData uri="http://schemas.openxmlformats.org/drawingml/2006/picture">
                      <pic:pic>
                        <pic:nvPicPr>
                          <pic:cNvPr descr="../figures/network-stats-plot.png" id="43" name="Picture"/>
                          <pic:cNvPicPr>
                            <a:picLocks noChangeArrowheads="1" noChangeAspect="1"/>
                          </pic:cNvPicPr>
                        </pic:nvPicPr>
                        <pic:blipFill>
                          <a:blip r:embed="rId41"/>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Networks statistics for the three phases. The grey lines are the null 95% confidence interval, the colored dot is the observed statistic value (orange = p&lt;0.05, blue = not significantly different from a within-phase random distribution). The horizontal brackets at the top of each panel show p-values of pairwise randomisation tests for significant differences in network statistics between phases.</w:t>
            </w:r>
          </w:p>
          <w:bookmarkEnd w:id="44"/>
        </w:tc>
      </w:tr>
    </w:tbl>
    <w:p>
      <w:pPr>
        <w:pStyle w:val="BodyText"/>
      </w:pPr>
      <w:r>
        <w:t xml:space="preserve">The results of the network analysis supports the restricted-broad groupings identified in</w:t>
      </w:r>
      <w:r>
        <w:t xml:space="preserve"> </w:t>
      </w:r>
      <w:hyperlink w:anchor="fig-seriation">
        <w:r>
          <w:rPr>
            <w:rStyle w:val="Hyperlink"/>
          </w:rPr>
          <w:t xml:space="preserve">Figure 2</w:t>
        </w:r>
      </w:hyperlink>
      <w:r>
        <w:t xml:space="preserve">, and provide additional insights into the evolution of connectivity between groups. In the Proto-Aurignacian phase, which here combines the earliest Aurignacian material with the material previously attributed to the Proto-Aurignacian, the network analysis reveals two clearly defined groups. The broader range group consists of Geissenklösterle, Spy, Vogelherd, Grotte du Renne, Hohle Fels, Les Cottés, and La Ferrassie, and the restricted range group consists of Abri Pataud, Fumane, Pod Hradem, Hohlenstein-Stadel, Mladeč, Gatzarria, Labeko Koba, and El Castillo. However, it also displays some connectivity between the two groups of sites, with La Ferrassie connected to both Hohlenstein-Stadel and Mladeč, and Grotte du Renne connected to Labeko Koba. Les Cottés stands out with no connections to either group.</w:t>
      </w:r>
    </w:p>
    <w:p>
      <w:pPr>
        <w:pStyle w:val="BodyText"/>
      </w:pPr>
      <w:r>
        <w:t xml:space="preserve">The Early Aurignacian shows more strongly inter-connected groups – although two main groups remain evident – with Grotte de la Verpillière I in particular having multiple strong connections to both groups. Trou al’Wesse is an outlier, similar to Les Cottés in the Proto-Aurignacian, and similar to how both of these sites appeared in the seriation results.</w:t>
      </w:r>
    </w:p>
    <w:p>
      <w:pPr>
        <w:pStyle w:val="BodyText"/>
      </w:pPr>
      <w:r>
        <w:t xml:space="preserve">Lastly, the Evolved Aurignacian again shows two main groups, although intra-group connectivity has decreased, with the broad range group consisting of Hohle Fels, Trou Magrite, Vogelherd, and Bockstein-Törle, and the restricted range group consisting of Gargas, La Viña, Sirgenstein Cave, Vindija Cave, and Les Rois. As for the Early Aurignacian, inter-connectivity between groups continues to be evident in the Evolved Aurignacian, with connections between Trou Magrite (broad), Gargas (restricted), and Vindija Cave (restricted), and Bockstein-Törle (broad) and Gargas, however the strength of inter-connectivity is weaker than in the Early Aurignacian.</w:t>
      </w:r>
    </w:p>
    <w:p>
      <w:pPr>
        <w:pStyle w:val="BodyText"/>
      </w:pPr>
      <w:hyperlink w:anchor="fig-neighbor-net-stats">
        <w:r>
          <w:rPr>
            <w:rStyle w:val="Hyperlink"/>
          </w:rPr>
          <w:t xml:space="preserve">Figure 4</w:t>
        </w:r>
      </w:hyperlink>
      <w:r>
        <w:t xml:space="preserve"> </w:t>
      </w:r>
      <w:r>
        <w:t xml:space="preserve">shows the results of permutation tests (n = 10^{4}) to assess if the observed statistic is significantly different from a random distribution within each phase. Edge density, as a measure of overall connectedness in a network, does not significantly differ from random in any phase. Modularity, relating to the restricted/broad two-group split, is 0.3-0.4 in the Proto and Evolved phases, which can be interpreted as moderate community structure</w:t>
      </w:r>
      <w:r>
        <w:t xml:space="preserve"> </w:t>
      </w:r>
      <w:r>
        <w:t xml:space="preserve">[37]</w:t>
      </w:r>
      <w:r>
        <w:t xml:space="preserve">, and is significantly higher than expected from a random distribution of networks. However, null-benchmarked modularity tests indicate that these values do not exceed chance expectations when sign assemblages are randomly permuted across phases (Supplement S5.3), and bootstrap confidence intervals show substantial overlap between phases (Supplement S5.7). Furthermore, size-normalised comparisons using Erdős–Rényi random graphs confirm that the Proto and Evolved modularity values are approximately double the size-matched random expectation, while the Early Aurignacian shows a smaller excess (Supplement S5.9). The high mean betweenness for the Proto phase reflects the hub structures centred on La Ferrassie and Mladeč. The Early Aurignacian shows no network statistic outside of its null distribution, indicating that no values are significantly different from what would be expected by chance. Pairwise permutation tests with Benjamini–Hochberg multiple-testing corrections shows no significant differences in network statistics between the three phases</w:t>
      </w:r>
      <w:r>
        <w:t xml:space="preserve"> </w:t>
      </w:r>
      <w:hyperlink w:anchor="fig-neighbor-net-stats">
        <w:r>
          <w:rPr>
            <w:rStyle w:val="Hyperlink"/>
          </w:rPr>
          <w:t xml:space="preserve">Figure 4</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8" w:name="fig-group-map"/>
          <w:p>
            <w:pPr>
              <w:pStyle w:val="Compact"/>
              <w:jc w:val="center"/>
            </w:pPr>
            <w:r>
              <w:drawing>
                <wp:inline>
                  <wp:extent cx="5943600" cy="4754880"/>
                  <wp:effectExtent b="0" l="0" r="0" t="0"/>
                  <wp:docPr descr="" title="" id="46" name="Picture"/>
                  <a:graphic>
                    <a:graphicData uri="http://schemas.openxmlformats.org/drawingml/2006/picture">
                      <pic:pic>
                        <pic:nvPicPr>
                          <pic:cNvPr descr="paper_files/figure-docx/fig-group-map-1.png" id="47" name="Picture"/>
                          <pic:cNvPicPr>
                            <a:picLocks noChangeArrowheads="1" noChangeAspect="1"/>
                          </pic:cNvPicPr>
                        </pic:nvPicPr>
                        <pic:blipFill>
                          <a:blip r:embed="rId45"/>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Geographic distribution of cultural groups across the three Aurignacian phases. Sites are colored according to their group membership (Restricted-range or Broader range) as identified by seriation and network analysis. The spatial arrangement shows that sites belonging to the same cultural group are not strictly clustered geographically, consistent with the Mantel test results that did not detect a significant correlation between geographic proximity and geometric sign similarity.</w:t>
            </w:r>
          </w:p>
          <w:bookmarkEnd w:id="48"/>
        </w:tc>
      </w:tr>
    </w:tbl>
    <w:p>
      <w:pPr>
        <w:pStyle w:val="BodyText"/>
      </w:pPr>
      <w:r>
        <w:t xml:space="preserve">While the results of the seriation and network analyses point to two main groups of sites within each phase, spatial clusters of sites are not highly evident in these groups, in part due to the small numbers of sites in each phase (</w:t>
      </w:r>
      <w:hyperlink w:anchor="fig-group-map">
        <w:r>
          <w:rPr>
            <w:rStyle w:val="Hyperlink"/>
          </w:rPr>
          <w:t xml:space="preserve">Figure 5</w:t>
        </w:r>
      </w:hyperlink>
      <w:r>
        <w:t xml:space="preserve">). In the Proto-Aurignacian, we see a relatively wide geographic distribution of sites across Western and Central Europe, and some overlapping of sites between groups, which may be associated with the connectivity indicated in the network analysis results. This phase is also associated with an increase in sites and sign types, which may be correlated with the increased proximity and population density. In the Early Aurignacian, we see a reduced distribution, with sites clustered closer together, which may be associated with the increased connectivity in that phase. In the Evolved Aurignacian, we see a wider distribution and more distance between sites, which may be associated with a shift to reduced connectivity seen in that phase.</w:t>
      </w:r>
    </w:p>
    <w:bookmarkEnd w:id="49"/>
    <w:bookmarkStart w:id="51" w:name="cultural-connection-strength"/>
    <w:p>
      <w:pPr>
        <w:pStyle w:val="Heading2"/>
      </w:pPr>
      <w:r>
        <w:t xml:space="preserve">Cultural Connection Strength</w:t>
      </w:r>
    </w:p>
    <w:tbl>
      <w:tblPr>
        <w:tblStyle w:val="Table"/>
        <w:tblW w:type="pct" w:w="5000"/>
        <w:tblLook w:firstRow="0" w:lastRow="0" w:firstColumn="0" w:lastColumn="0" w:noHBand="0" w:noVBand="0" w:val="0000"/>
        <w:jc w:val="start"/>
        <w:tblLayout w:type="fixed"/>
      </w:tblPr>
      <w:tblGrid>
        <w:gridCol w:w="7920"/>
      </w:tblGrid>
      <w:tr>
        <w:tc>
          <w:tcPr/>
          <w:bookmarkStart w:id="50" w:name="tbl-strength-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r>
            <w:tr>
              <w:tc>
                <w:tcPr/>
                <w:p>
                  <w:pPr>
                    <w:pStyle w:val="Compact"/>
                    <w:jc w:val="left"/>
                    <w:jc w:val="center"/>
                  </w:pPr>
                  <w:r>
                    <w:t xml:space="preserve">Proto-Aurignacian</w:t>
                  </w:r>
                </w:p>
              </w:tc>
              <w:tc>
                <w:tcPr/>
                <w:p>
                  <w:pPr>
                    <w:pStyle w:val="Compact"/>
                    <w:jc w:val="right"/>
                    <w:jc w:val="center"/>
                  </w:pPr>
                  <w:r>
                    <w:t xml:space="preserve">0.227</w:t>
                  </w:r>
                </w:p>
              </w:tc>
              <w:tc>
                <w:tcPr/>
                <w:p>
                  <w:pPr>
                    <w:pStyle w:val="Compact"/>
                    <w:jc w:val="right"/>
                    <w:jc w:val="center"/>
                  </w:pPr>
                  <w:r>
                    <w:t xml:space="preserve">3.816</w:t>
                  </w:r>
                </w:p>
              </w:tc>
              <w:tc>
                <w:tcPr/>
                <w:p>
                  <w:pPr>
                    <w:pStyle w:val="Compact"/>
                    <w:jc w:val="right"/>
                    <w:jc w:val="center"/>
                  </w:pPr>
                  <w:r>
                    <w:t xml:space="preserve">0.001</w:t>
                  </w:r>
                </w:p>
              </w:tc>
            </w:tr>
            <w:tr>
              <w:tc>
                <w:tcPr/>
                <w:p>
                  <w:pPr>
                    <w:pStyle w:val="Compact"/>
                    <w:jc w:val="left"/>
                    <w:jc w:val="center"/>
                  </w:pPr>
                  <w:r>
                    <w:t xml:space="preserve">Early Aurignacian</w:t>
                  </w:r>
                </w:p>
              </w:tc>
              <w:tc>
                <w:tcPr/>
                <w:p>
                  <w:pPr>
                    <w:pStyle w:val="Compact"/>
                    <w:jc w:val="right"/>
                    <w:jc w:val="center"/>
                  </w:pPr>
                  <w:r>
                    <w:t xml:space="preserve">0.215</w:t>
                  </w:r>
                </w:p>
              </w:tc>
              <w:tc>
                <w:tcPr/>
                <w:p>
                  <w:pPr>
                    <w:pStyle w:val="Compact"/>
                    <w:jc w:val="right"/>
                    <w:jc w:val="center"/>
                  </w:pPr>
                  <w:r>
                    <w:t xml:space="preserve">1.915</w:t>
                  </w:r>
                </w:p>
              </w:tc>
              <w:tc>
                <w:tcPr/>
                <w:p>
                  <w:pPr>
                    <w:pStyle w:val="Compact"/>
                    <w:jc w:val="right"/>
                    <w:jc w:val="center"/>
                  </w:pPr>
                  <w:r>
                    <w:t xml:space="preserve">0.013</w:t>
                  </w:r>
                </w:p>
              </w:tc>
            </w:tr>
            <w:tr>
              <w:tc>
                <w:tcPr/>
                <w:p>
                  <w:pPr>
                    <w:pStyle w:val="Compact"/>
                    <w:jc w:val="left"/>
                    <w:jc w:val="center"/>
                  </w:pPr>
                  <w:r>
                    <w:t xml:space="preserve">Evolved Aurignacian</w:t>
                  </w:r>
                </w:p>
              </w:tc>
              <w:tc>
                <w:tcPr/>
                <w:p>
                  <w:pPr>
                    <w:pStyle w:val="Compact"/>
                    <w:jc w:val="right"/>
                    <w:jc w:val="center"/>
                  </w:pPr>
                  <w:r>
                    <w:t xml:space="preserve">0.224</w:t>
                  </w:r>
                </w:p>
              </w:tc>
              <w:tc>
                <w:tcPr/>
                <w:p>
                  <w:pPr>
                    <w:pStyle w:val="Compact"/>
                    <w:jc w:val="right"/>
                    <w:jc w:val="center"/>
                  </w:pPr>
                  <w:r>
                    <w:t xml:space="preserve">2.020</w:t>
                  </w:r>
                </w:p>
              </w:tc>
              <w:tc>
                <w:tcPr/>
                <w:p>
                  <w:pPr>
                    <w:pStyle w:val="Compact"/>
                    <w:jc w:val="right"/>
                    <w:jc w:val="center"/>
                  </w:pPr>
                  <w:r>
                    <w:t xml:space="preserve">0.022</w:t>
                  </w:r>
                </w:p>
              </w:tc>
            </w:tr>
          </w:tbl>
          <w:p>
            <w:pPr>
              <w:jc w:val="center"/>
            </w:pPr>
            <w:pPr>
              <w:jc w:val="start"/>
              <w:spacing w:before="200"/>
              <w:pStyle w:val="ImageCaption"/>
            </w:pPr>
            <w:r>
              <w:t xml:space="preserve">Table 3: Table of the results per phase for the perMANOVA</w:t>
            </w:r>
          </w:p>
          <w:bookmarkEnd w:id="50"/>
        </w:tc>
      </w:tr>
    </w:tbl>
    <w:p>
      <w:pPr>
        <w:pStyle w:val="BodyText"/>
      </w:pPr>
      <w:r>
        <w:t xml:space="preserve">The betadisper test for homogeneity of multivariate dispersions shows that group dispersion does not differ significantly between restricted and broad groups in any phase (Proto-Aurignacian: p = 0.485, Early Aurignacian: p = 0.164, Evolved Aurignacian: p = 0.992). This confirms that the perMANOVA results reflect differences in group centroids rather than differences in dispersion.</w:t>
      </w:r>
    </w:p>
    <w:p>
      <w:pPr>
        <w:pStyle w:val="BodyText"/>
      </w:pPr>
      <w:r>
        <w:t xml:space="preserve">The perMANOVA results show that group membership explains approximately 0.227 of the variance in sign composition in the Proto-Aurignacian, compared to 0.215 in the Early Aurignacian and 0.224 in the Evolved Aurignacian (</w:t>
      </w:r>
      <w:hyperlink w:anchor="tbl-strength-table">
        <w:r>
          <w:rPr>
            <w:rStyle w:val="Hyperlink"/>
          </w:rPr>
          <w:t xml:space="preserve">Table 3</w:t>
        </w:r>
      </w:hyperlink>
      <w:r>
        <w:t xml:space="preserve">). While R^2 is stable across phases, the pseudo-F statistic differs markedly: the Proto-Aurignacian shows the greatest group separation (F = 3.816), declining by roughly half in the Early (F = 1.915) and Evolved (F = 2.02) phases. This suggests that although between-group differences account for a consistent share of the variation throughout the Aurignacian, the absolute separation between the restricted- and broad-range assemblages was sharpest during the earliest phase and declined in later phases, as inter-group overlap in sign repertoires increased.</w:t>
      </w:r>
    </w:p>
    <w:bookmarkEnd w:id="51"/>
    <w:bookmarkEnd w:id="52"/>
    <w:bookmarkStart w:id="59" w:name="discussion"/>
    <w:p>
      <w:pPr>
        <w:pStyle w:val="Heading1"/>
      </w:pPr>
      <w:r>
        <w:t xml:space="preserve">Discussion</w:t>
      </w:r>
    </w:p>
    <w:bookmarkStart w:id="57" w:name="X1719d531a7825ea9c928c564d7ba79284b3784c"/>
    <w:p>
      <w:pPr>
        <w:pStyle w:val="Heading2"/>
      </w:pPr>
      <w:r>
        <w:t xml:space="preserve">Group Dynamics Across the Three Phases of the Aurignacian</w:t>
      </w:r>
    </w:p>
    <w:p>
      <w:pPr>
        <w:pStyle w:val="FirstParagraph"/>
      </w:pPr>
      <w:r>
        <w:t xml:space="preserve">Our first aim was to determine how the grouping dynamics of geometric signs changed across three phases of the Aurignacian, specifically in terms of diversity, size, connectivity, and distribution. The results from</w:t>
      </w:r>
      <w:r>
        <w:t xml:space="preserve"> </w:t>
      </w:r>
      <w:hyperlink w:anchor="fig-seriation">
        <w:r>
          <w:rPr>
            <w:rStyle w:val="Hyperlink"/>
          </w:rPr>
          <w:t xml:space="preserve">Figure 2</w:t>
        </w:r>
      </w:hyperlink>
      <w:r>
        <w:t xml:space="preserve"> </w:t>
      </w:r>
      <w:r>
        <w:t xml:space="preserve">show that each phase can be divided into two main cultural groups, with sign type number and diversity serving as the major dividing factor. Group size varied from phase to phase, with the number of sites decreasing from the Proto-Aurignacian to the Early and Evolved Aurignacian. In the Proto-Aurignacian the restricted-range group (eight sites) was slightly larger than the broad-range group (seven sites), whereas in the Early Aurignacian the restricted-range group was considerably smaller than the broad-range group (three vs. six sites), before the two groups became more comparable in size in the Evolved Aurignacian (five vs. four sites).</w:t>
      </w:r>
      <w:r>
        <w:t xml:space="preserve"> </w:t>
      </w:r>
      <w:hyperlink w:anchor="fig-neighbor-net">
        <w:r>
          <w:rPr>
            <w:rStyle w:val="Hyperlink"/>
          </w:rPr>
          <w:t xml:space="preserve">Figure 3</w:t>
        </w:r>
      </w:hyperlink>
      <w:r>
        <w:t xml:space="preserve"> </w:t>
      </w:r>
      <w:r>
        <w:t xml:space="preserve">shows that connectivity also differed between phases, although these contrasts should be interpreted descriptively because pairwise permutation tests found no statistically significant differences in any network statistic between phases after correction for multiple testing. The Proto-Aurignacian network contained the most edges and the highest mean degree, with a hub structure centred on La Ferrassie and Mladeč, and a modularity and mean betweenness significantly higher than expected under a within-phase random null. The Early Aurignacian produced the most cohesive network, with the highest edge density and transitivity, while the Evolved Aurignacian network had the fewest edges, the lowest mean degree, and the lowest transitivity. The perMANOVA tests confirm that the restricted- and broad-range groups within each phase are significantly separated in sign composition, with the strongest separation in the Proto-Aurignacian and the weakest in the Early Aurignacian.</w:t>
      </w:r>
    </w:p>
    <w:p>
      <w:pPr>
        <w:pStyle w:val="BodyText"/>
      </w:pPr>
      <w:r>
        <w:t xml:space="preserve">One consistent grouping dynamic throughout all three phases is the restricted/broader range group divide, which may be influenced by variation in social structure. Variation in hunter-gatherer social structures is well-known from ethnographic and archaeological research</w:t>
      </w:r>
      <w:r>
        <w:t xml:space="preserve"> </w:t>
      </w:r>
      <w:r>
        <w:t xml:space="preserve">[38–45]</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[4,45–56]</w:t>
      </w:r>
      <w:r>
        <w:t xml:space="preserve">. Drawing on this work, we interpret the broader/restricted range grouping in the geometric sign data as consistent with variation in social structure: the broader range groups, with a higher variety of signs and more visually complex signs, plausibly indicate communities with a greater variety of formalized social roles, whereas the sites with a restricted range of signs indicate communities with fewer formalized social roles. Because the number of sign types recorded at a site is bounded by the number of objects recovered, we considered whether this divide is an artefact of sampling effort; across sites, object count and sign-type count are strongly correlated (Spearman ρ = 0.86, p &lt; 0.001). However, node degree within each phase is not correlated with sign-type richness (Supplement S5.4), indicating that the network connectivity patterns are not driven by assemblage size. Two observations argue against sampling effort being the whole explanation. First, group membership is not solely a function of sign-type richness: low-sampling sites such as Les Cottés (two objects) and Trou al’Wesse (one object) fall within the broad-range group because their sign types are shared with broad-range sites, so composition matters as well as richness. Second, the diversity analysis that controls for sample size (</w:t>
      </w:r>
      <w:hyperlink w:anchor="fig-div-plot">
        <w:r>
          <w:rPr>
            <w:rStyle w:val="Hyperlink"/>
          </w:rPr>
          <w:t xml:space="preserve">Figure 6</w:t>
        </w:r>
      </w:hyperlink>
      <w:r>
        <w:t xml:space="preserve">) identifies sites with unusually diverse repertoires in both groups, indicating that richness relative to sampling effort does not map cleanly onto group membership. Nevertheless, because the groups were assigned on the basis of the seriation and network results rather than recovered independently, and because sampling effort remains a plausible partial explanation, we treat this interpretation as provisional. A single larger community could have both of these groups as sub-sets, rather than the restricted/broader range groups being distinct, non-overlapping cultural groups.</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may reflect non-utilitarian mobility among these larger communities.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(Supplement S5.8). If this pattern holds with larger samples, it would suggest that the observed connectivity is not fully attributable to spatial proximity, and may instead reflect social processes such as non-utilitarian mobility. Previous studies have shown a range of variation in magnitudes and types of mobility among hunter-gatherer groups</w:t>
      </w:r>
      <w:r>
        <w:t xml:space="preserve"> </w:t>
      </w:r>
      <w:r>
        <w:t xml:space="preserve">[57]</w:t>
      </w:r>
      <w:r>
        <w:t xml:space="preserve">;</w:t>
      </w:r>
      <w:r>
        <w:t xml:space="preserve"> </w:t>
      </w:r>
      <w:r>
        <w:t xml:space="preserve">[58]</w:t>
      </w:r>
      <w:r>
        <w:t xml:space="preserve">;</w:t>
      </w:r>
      <w:r>
        <w:t xml:space="preserve"> </w:t>
      </w:r>
      <w:r>
        <w:t xml:space="preserve">[43]</w:t>
      </w:r>
      <w:r>
        <w:t xml:space="preserve">;</w:t>
      </w:r>
      <w:r>
        <w:t xml:space="preserve"> </w:t>
      </w:r>
      <w:r>
        <w:t xml:space="preserve">[59]</w:t>
      </w:r>
      <w:r>
        <w:t xml:space="preserve">;</w:t>
      </w:r>
      <w:r>
        <w:t xml:space="preserve"> </w:t>
      </w:r>
      <w:r>
        <w:t xml:space="preserve">[44]</w:t>
      </w:r>
      <w:r>
        <w:t xml:space="preserve">. Non-utilitarian mobility establishes regional social networks which facilitate the spread of information and the survival of hunter-gatherers in uncertain environments</w:t>
      </w:r>
      <w:r>
        <w:t xml:space="preserve"> </w:t>
      </w:r>
      <w:r>
        <w:t xml:space="preserve">[60]</w:t>
      </w:r>
      <w:r>
        <w:t xml:space="preserve">;</w:t>
      </w:r>
      <w:r>
        <w:t xml:space="preserve"> </w:t>
      </w:r>
      <w:r>
        <w:t xml:space="preserve">[61]</w:t>
      </w:r>
      <w:r>
        <w:t xml:space="preserve">;</w:t>
      </w:r>
      <w:r>
        <w:t xml:space="preserve"> </w:t>
      </w:r>
      <w:r>
        <w:t xml:space="preserve">[62]</w:t>
      </w:r>
      <w:r>
        <w:t xml:space="preserve">;</w:t>
      </w:r>
      <w:r>
        <w:t xml:space="preserve"> </w:t>
      </w:r>
      <w:r>
        <w:t xml:space="preserve">[63]</w:t>
      </w:r>
      <w:r>
        <w:t xml:space="preserve">;</w:t>
      </w:r>
      <w:r>
        <w:t xml:space="preserve"> </w:t>
      </w:r>
      <w:r>
        <w:t xml:space="preserve">[64]</w:t>
      </w:r>
      <w:r>
        <w:t xml:space="preserve">. The exchange and production of decorative items, such as objects with geometric signs, has been associated with non-utilitarian mobility and recognized as an indicator of social contact</w:t>
      </w:r>
      <w:r>
        <w:t xml:space="preserve"> </w:t>
      </w:r>
      <w:r>
        <w:t xml:space="preserve">[60]</w:t>
      </w:r>
      <w:r>
        <w:t xml:space="preserve">;</w:t>
      </w:r>
      <w:r>
        <w:t xml:space="preserve"> </w:t>
      </w:r>
      <w:r>
        <w:t xml:space="preserve">[65]</w:t>
      </w:r>
      <w:r>
        <w:t xml:space="preserve">;</w:t>
      </w:r>
      <w:r>
        <w:t xml:space="preserve"> </w:t>
      </w:r>
      <w:r>
        <w:t xml:space="preserve">[66]</w:t>
      </w:r>
      <w:r>
        <w:t xml:space="preserve">;</w:t>
      </w:r>
      <w:r>
        <w:t xml:space="preserve"> </w:t>
      </w:r>
      <w:r>
        <w:t xml:space="preserve">[67]</w:t>
      </w:r>
      <w:r>
        <w:t xml:space="preserve">;</w:t>
      </w:r>
      <w:r>
        <w:t xml:space="preserve"> </w:t>
      </w:r>
      <w:r>
        <w:t xml:space="preserve">[68]</w:t>
      </w:r>
      <w:r>
        <w:t xml:space="preserve">. We stress, however, that connectivity in shared sign types cannot by itself establish the direction or mechanism of contact, which our data do not measure directly.</w:t>
      </w:r>
    </w:p>
    <w:p>
      <w:pPr>
        <w:pStyle w:val="BodyText"/>
      </w:pPr>
      <w:r>
        <w:t xml:space="preserve">Non-utilitarian mobility can be divided into shorter-term information exchange and longer-term residential movement. One form of longer-term residential movement that may be related to non-utilitarian mobility are aggregation/dispersion patterns, which are a type of hunter-gatherer settlement pattern in which groups both break off in dispersed fragments and congregate in large groups, typically for subsistence or social reasons</w:t>
      </w:r>
      <w:r>
        <w:t xml:space="preserve"> </w:t>
      </w:r>
      <w:r>
        <w:t xml:space="preserve">[69]</w:t>
      </w:r>
      <w:r>
        <w:t xml:space="preserve">. Aggregation sites are the places where those group fragments or individuals congregate. In the archaeological literature, aggregation sites are often associated with high degrees of social connectivity and identified by indicators including proximity to certain environmental resources and a more diverse artifact assemblage</w:t>
      </w:r>
      <w:r>
        <w:t xml:space="preserve"> </w:t>
      </w:r>
      <w:r>
        <w:t xml:space="preserve">[69]</w:t>
      </w:r>
      <w:r>
        <w:t xml:space="preserve">, including, in some cases, decorative objects</w:t>
      </w:r>
      <w:r>
        <w:t xml:space="preserve"> </w:t>
      </w:r>
      <w:r>
        <w:t xml:space="preserve">[65]</w:t>
      </w:r>
      <w:r>
        <w:t xml:space="preserve">; of these indicators, only assemblage diversity is testable in our data, which we evaluate below. Notably, our results complicate the association between aggregation and high connectivity: the sites we identify as aggregation candidates on the basis of elevated sign diversity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cultural connectivity, which we discuss further below. Previous studies have also identified evidence of aggregation/dispersion patterns among the early modern humans of the Upper Palaeolithic</w:t>
      </w:r>
      <w:r>
        <w:t xml:space="preserve"> </w:t>
      </w:r>
      <w:r>
        <w:t xml:space="preserve">[2,70–76]</w:t>
      </w:r>
      <w:r>
        <w:t xml:space="preserve">.</w:t>
      </w:r>
    </w:p>
    <w:p>
      <w:pPr>
        <w:pStyle w:val="BodyText"/>
      </w:pPr>
      <w:r>
        <w:t xml:space="preserve">One way to potentially identify aggregation sites is by measuring sign diversity. Sites with a higher than expected sign diversity index may represent diverse groups coming together at a single location. However, a limitation of this approach is that while higher diversity may reflect aggregation,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Shannon-Weaver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[77,78]</w:t>
      </w:r>
      <w:r>
        <w:t xml:space="preserve">. The sign-type pool — the number of distinct geometric signs recovered in each phase — was 24 in the Proto-Aurignacian, 18 in the Early Aurignacian, and 19 in the Evolved Aurignacian, indicating that the total repertoire contracted between the Proto and Early phases before stabilising.</w:t>
      </w:r>
    </w:p>
    <w:p>
      <w:pPr>
        <w:pStyle w:val="BodyText"/>
      </w:pPr>
      <w:r>
        <w:t xml:space="preserve">When each site’s observed diversity is compared with the expectation for its sample size, 5 of 15 Proto-Aurignacian sites, 4 of 9 Early Aurignacian sites, and 3 of 9 Evolved Aurignacian sites exceed their expected diversity (the mean simulated diversity for the equivalent count of sign types). Notably, most of these sites are not shown as having connections between groups in</w:t>
      </w:r>
      <w:r>
        <w:t xml:space="preserve"> </w:t>
      </w:r>
      <w:hyperlink w:anchor="fig-neighbor-net">
        <w:r>
          <w:rPr>
            <w:rStyle w:val="Hyperlink"/>
          </w:rPr>
          <w:t xml:space="preserve">Figure 3</w:t>
        </w:r>
      </w:hyperlink>
      <w:r>
        <w:t xml:space="preserve">, except for La Ferrassie in the Proto-Aurignacian. These temporal dynamics do not track the phase-level pool size: the Evolved Aurignacian shows the largest mean excess of observed over expected diversity (-0.03), the Proto-Aurignacian an intermediate value (-0.13), and the Early Aurignacian the smallest (-0.21), so the sites’ relative diversity fluctuates independently of the shrinking and stabilising sign-type pool. This suggests a distinction between shorter-term information exchange (e.g. the highly interconnected sites in</w:t>
      </w:r>
      <w:r>
        <w:t xml:space="preserve"> </w:t>
      </w:r>
      <w:hyperlink w:anchor="fig-neighbor-net">
        <w:r>
          <w:rPr>
            <w:rStyle w:val="Hyperlink"/>
          </w:rPr>
          <w:t xml:space="preserve">Figure 3</w:t>
        </w:r>
      </w:hyperlink>
      <w:r>
        <w:t xml:space="preserve">) and longer-term residential movement for aggregation (e.g. the sites with higher than expected diversity in</w:t>
      </w:r>
      <w:r>
        <w:t xml:space="preserve"> </w:t>
      </w:r>
      <w:hyperlink w:anchor="fig-div-plot">
        <w:r>
          <w:rPr>
            <w:rStyle w:val="Hyperlink"/>
          </w:rPr>
          <w:t xml:space="preserve">Figure 6</w:t>
        </w:r>
      </w:hyperlink>
      <w:r>
        <w:t xml:space="preserve">). Supporting this distinction, diversity excess (as an indicator of aggregation candidates) showed a significant negative correlation with network degree (ρ = -0.44, p = 0.0095267), indicating that aggregation candidates are less connected rather than merely decoupled from network hubs. The correlation with betweenness was not significant (ρ = -0.31, p = 0.0836175). Object count was unrelated to centrality (degree: ρ = 0.32, p = 0.0722216), suggesting that hubs are not simply well-sampled sites. The elevated diversity identifying aggregation candidates differs significantly between the restricted and broad-range groups (Wilcoxon W = 77.5, p = 0.0340447), confirming that this metric captures variation relevant to the restricted/broad grouping.</w:t>
      </w:r>
    </w:p>
    <w:tbl>
      <w:tblPr>
        <w:tblStyle w:val="Table"/>
        <w:tblW w:type="pct" w:w="5000"/>
        <w:tblLook w:firstRow="0" w:lastRow="0" w:firstColumn="0" w:lastColumn="0" w:noHBand="0" w:noVBand="0" w:val="0000"/>
        <w:jc w:val="start"/>
        <w:tblLayout w:type="fixed"/>
      </w:tblPr>
      <w:tblGrid>
        <w:gridCol w:w="7920"/>
      </w:tblGrid>
      <w:tr>
        <w:tc>
          <w:tcPr/>
          <w:bookmarkStart w:id="56" w:name="fig-div-plot"/>
          <w:p>
            <w:pPr>
              <w:pStyle w:val="Compact"/>
              <w:jc w:val="center"/>
            </w:pPr>
            <w:r>
              <w:drawing>
                <wp:inline>
                  <wp:extent cx="3669832" cy="7339665"/>
                  <wp:effectExtent b="0" l="0" r="0" t="0"/>
                  <wp:docPr descr="" title="" id="54" name="Picture"/>
                  <a:graphic>
                    <a:graphicData uri="http://schemas.openxmlformats.org/drawingml/2006/picture">
                      <pic:pic>
                        <pic:nvPicPr>
                          <pic:cNvPr descr="../figures/diversity-plot.png" id="55" name="Picture"/>
                          <pic:cNvPicPr>
                            <a:picLocks noChangeArrowheads="1" noChangeAspect="1"/>
                          </pic:cNvPicPr>
                        </pic:nvPicPr>
                        <pic:blipFill>
                          <a:blip r:embed="rId53"/>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Aggregation sites identified by elevated sign diversity. Observed geometric sign diversity at each site compared with expectations derived from randomized assemblages controlling for sample size. The blue expectation curve is the mean diversity index per sample size. The red lines enclose a band that is the 95% confidence interval. Sites above the blue expectation curve may be interpreted as aggregation sites, reflecting unusually diverse sign repertoires relative to regional norms.</w:t>
            </w:r>
          </w:p>
          <w:bookmarkEnd w:id="56"/>
        </w:tc>
      </w:tr>
    </w:tbl>
    <w:bookmarkEnd w:id="57"/>
    <w:bookmarkStart w:id="58" w:name="Xebf6942352f41a988f05700517178ca340da310"/>
    <w:p>
      <w:pPr>
        <w:pStyle w:val="Heading2"/>
      </w:pPr>
      <w:r>
        <w:t xml:space="preserve">Interpreting Network Patterns: Population, Transmission, and Social Structure</w:t>
      </w:r>
    </w:p>
    <w:p>
      <w:pPr>
        <w:pStyle w:val="FirstParagraph"/>
      </w:pPr>
      <w:r>
        <w:t xml:space="preserve">The second aim was to determine what these patterns reveal about the dynamics of social organization throughout the Aurignacian. The results suggest that the Proto-Aurignacian, which subsumes the earliest Aurignacian material culture, was characterised by the densest network of social connections, with the highest mean degree and a hub structure centred on key sites such as La Ferrassie and Mladeč. Despite this strong connectivity, geographic distance had the least influence on sign distribution (Mantel R = 0.012;</w:t>
      </w:r>
      <w:r>
        <w:t xml:space="preserve"> </w:t>
      </w:r>
      <w:hyperlink w:anchor="tbl-mantel-table">
        <w:r>
          <w:rPr>
            <w:rStyle w:val="Hyperlink"/>
          </w:rPr>
          <w:t xml:space="preserve">Table 2</w:t>
        </w:r>
      </w:hyperlink>
      <w:r>
        <w:t xml:space="preserve">), indicating that the observed interactions cannot be attributed to spatial proximity alone. The Early Aurignacian shows a shift toward more localised connectivity: mean degree decreases and edge density rises, while geographic distance exerts its strongest (though non-significant after multiple-testing correction) influence on sign distribution (Mantel R = 0.313). The Evolved Aurignacian experiences a further decline in between-group interaction, with the lowest mean degree and fewest edges, yet retains internal community structure as indicated by modularity comparable to the Proto Aurignacian.</w:t>
      </w:r>
    </w:p>
    <w:p>
      <w:pPr>
        <w:pStyle w:val="BodyText"/>
      </w:pPr>
      <w:r>
        <w:t xml:space="preserve">These results are consistent with previous work on the environmental and population change during these phases. From 45 - 43.25 ka BP, the population density in Europe was extremely low, due to the unfavorable environmental conditions of Greenland Stadial 12 (44 ka BP) and the slow westward expansion of early modern humans</w:t>
      </w:r>
      <w:r>
        <w:t xml:space="preserve"> </w:t>
      </w:r>
      <w:r>
        <w:t xml:space="preserve">[79]</w:t>
      </w:r>
      <w:r>
        <w:t xml:space="preserve">. This was followed by rapid expansion from 43.25-41 ka BP (Proto-Aurignacian), with the maximum extent of Proto/Early Aurignacian settlement being reached around 41 ka BP. This rapid population expansion could be what stimulated the emergence of signs as a marker of group membership. Other studies have also found similar associations in other regions and time periods between increases in quantity and diversity of art, and increases in population density</w:t>
      </w:r>
      <w:r>
        <w:t xml:space="preserve"> </w:t>
      </w:r>
      <w:r>
        <w:t xml:space="preserve">[80–88]</w:t>
      </w:r>
      <w:r>
        <w:t xml:space="preserve">. Quantitative demographic reconstructions suggest that western and central European Aurignacian populations numbered approximately 1500 individuals</w:t>
      </w:r>
      <w:r>
        <w:t xml:space="preserve"> </w:t>
      </w:r>
      <w:r>
        <w:t xml:space="preserve">[20]</w:t>
      </w:r>
      <w:r>
        <w:t xml:space="preserve">, a relatively small number that may partly explain why our networks remain small and sparsely connected across all phases.</w:t>
      </w:r>
      <w:r>
        <w:t xml:space="preserve"> </w:t>
      </w:r>
      <w:r>
        <w:t xml:space="preserve">[20]</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where our network hubs are located — notably the Dordogne (La Ferrassie) and Moravia (Mladeč). This Core/Extended framework aligns with our finding that the Proto-Aurignacian hub structure centred on a small number of well-connected sites may reflect aggregation zones where inter-group interactions concentrated, while the lower-connectivity periphery may represent Extended Areas visited periodically. The shift from Proto to Early Aurignacian — with declining mean degree but rising transitivity — is consistent with a transition from wide-ranging interaction centred on Core Areas to more locally bounded, proximity-based interaction as populations consolidated during Heinrich Stadial 4. These demographic conditions have implications for how cultural information flowed through Aurignacian populations, which we explore through the lens of cultural transmission theory.</w:t>
      </w:r>
    </w:p>
    <w:p>
      <w:pPr>
        <w:pStyle w:val="BodyText"/>
      </w:pPr>
      <w:r>
        <w:t xml:space="preserve">Our results partially align with</w:t>
      </w:r>
      <w:r>
        <w:t xml:space="preserve"> </w:t>
      </w:r>
      <w:r>
        <w:t xml:space="preserve">[21]</w:t>
      </w:r>
      <w:r>
        <w:t xml:space="preserve">, who used eco-cultural niche modeling to show that Heinrich Stadial 4 (HS4) at the very beginning of the Early Aurignacian resulted in an expansion of people into new environmental niches, hypothesised to involve an expansion of social networks both within and between populations. Our results do not confirm this hypothesis: rather than an increase, mean degree declines from the Proto-Aurignacian (4.9°) to the Early Aurignacian (3.6°), and edge count drops from 37 to 16. What does increase is local clustering (transitivity rises from 0.706 to 0.75) and the correlation of sign distribution with geographic distance (Mantel R from 0.012 to 0.313), suggesting that Early Aurignacian interaction was more spatially structured and locally concentrated rather than expanding in overall reach. Similarly,</w:t>
      </w:r>
      <w:r>
        <w:t xml:space="preserve"> </w:t>
      </w:r>
      <w:r>
        <w:t xml:space="preserve">[19]</w:t>
      </w:r>
      <w:r>
        <w:t xml:space="preserve"> </w:t>
      </w:r>
      <w:r>
        <w:t xml:space="preserve">developed a human-existence probability model for the Aurignacian, finding an expanded, more dispersed settlement area for the Evolved/Late Aurignacian, and</w:t>
      </w:r>
      <w:r>
        <w:t xml:space="preserve"> </w:t>
      </w:r>
      <w:r>
        <w:t xml:space="preserve">[79]</w:t>
      </w:r>
      <w:r>
        <w:t xml:space="preserve"> </w:t>
      </w:r>
      <w:r>
        <w:t xml:space="preserve">also identifies increased expansion marking the beginning of the Evolved Aurignacian. This geographic expansion may explain our finding of weaker, more dispersed connections in the Evolved Aurignacian (mean degree 3.3°, 15 edges), where wider spatial spread was not accompanied by stronger sign-type sharing. These patterns of connectivity and geographic structure also have implications for understanding how geometric signs functioned as markers of group identity, which we explore next.</w:t>
      </w:r>
    </w:p>
    <w:p>
      <w:pPr>
        <w:pStyle w:val="BodyText"/>
      </w:pPr>
      <w:r>
        <w:t xml:space="preserve">Our results support a general theory of geometric signs as a form of cultural identification and communication during the Palaeolithic, as proposed by previous work</w:t>
      </w:r>
      <w:r>
        <w:t xml:space="preserve"> </w:t>
      </w:r>
      <w:r>
        <w:t xml:space="preserve">[3]</w:t>
      </w:r>
      <w:r>
        <w:t xml:space="preserve">. However, with the exception of a suggestive but non-significant geographic signal in the Early Aurignacian (Mantel R = 0.313, p = 0.186 after Benjamini–Hochberg correction), our results do not identify geographically distinct cultural groups, and so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geographically distinct cultural groups in the Gravettian, as reported by</w:t>
      </w:r>
      <w:r>
        <w:t xml:space="preserve"> </w:t>
      </w:r>
      <w:r>
        <w:t xml:space="preserve">[3]</w:t>
      </w:r>
      <w:r>
        <w:t xml:space="preserve">. We might hypothesize that the distribution found in the Evolved Aurignacian</w:t>
      </w:r>
      <w:r>
        <w:t xml:space="preserve"> </w:t>
      </w:r>
      <w:hyperlink w:anchor="fig-group-map">
        <w:r>
          <w:rPr>
            <w:rStyle w:val="Hyperlink"/>
          </w:rPr>
          <w:t xml:space="preserve">Figure 5</w:t>
        </w:r>
      </w:hyperlink>
      <w:r>
        <w:t xml:space="preserve"> </w:t>
      </w:r>
      <w:r>
        <w:t xml:space="preserve">evolved into the clusters proposed by</w:t>
      </w:r>
      <w:r>
        <w:t xml:space="preserve"> </w:t>
      </w:r>
      <w:r>
        <w:t xml:space="preserve">[3]</w:t>
      </w:r>
      <w:r>
        <w:t xml:space="preserve"> </w:t>
      </w:r>
      <w:r>
        <w:t xml:space="preserve">for the Gravettian period. This transition is consistent with recent evidence for cultural continuity in personal ornaments between these technocomplexes</w:t>
      </w:r>
      <w:r>
        <w:t xml:space="preserve"> </w:t>
      </w:r>
      <w:r>
        <w:t xml:space="preserve">[2]</w:t>
      </w:r>
      <w:r>
        <w:t xml:space="preserve">, though our geometric sign data do not show the same pattern. The data used by</w:t>
      </w:r>
      <w:r>
        <w:t xml:space="preserve"> </w:t>
      </w:r>
      <w:r>
        <w:t xml:space="preserve">[6]</w:t>
      </w:r>
      <w:r>
        <w:t xml:space="preserve"> </w:t>
      </w:r>
      <w:r>
        <w:t xml:space="preserve">was also analyzed by</w:t>
      </w:r>
      <w:r>
        <w:t xml:space="preserve"> </w:t>
      </w:r>
      <w:r>
        <w:t xml:space="preserve">[89]</w:t>
      </w:r>
      <w:r>
        <w:t xml:space="preserve">, who used Approximate Bayesian Computation to simulate and compare Aurignacian personal ornament distribution as a result of structured ethnic identity versus as a result of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[89]</w:t>
      </w:r>
      <w:r>
        <w:t xml:space="preserve"> </w:t>
      </w:r>
      <w:r>
        <w:t xml:space="preserve">complicate claims by</w:t>
      </w:r>
      <w:r>
        <w:t xml:space="preserve"> </w:t>
      </w:r>
      <w:r>
        <w:t xml:space="preserve">[6]</w:t>
      </w:r>
      <w:r>
        <w:t xml:space="preserve"> </w:t>
      </w:r>
      <w:r>
        <w:t xml:space="preserve">for geographically distinct cultural groups in the Aurignacian, and validate our findings. To understand how these patterns of sign sharing might have been produced, we now turn to cultural transmission theory.</w:t>
      </w:r>
    </w:p>
    <w:p>
      <w:pPr>
        <w:pStyle w:val="BodyText"/>
      </w:pPr>
      <w:r>
        <w:t xml:space="preserve">Our results can be interpreted through the lens of cultural transmission theory</w:t>
      </w:r>
      <w:r>
        <w:t xml:space="preserve"> </w:t>
      </w:r>
      <w:r>
        <w:t xml:space="preserve">[90–92]</w:t>
      </w:r>
      <w:r>
        <w:t xml:space="preserve">. Smaller populations are predicted to experience greater drift and reduced capacity to maintain complex cultural repertoires</w:t>
      </w:r>
      <w:r>
        <w:t xml:space="preserve"> </w:t>
      </w:r>
      <w:r>
        <w:t xml:space="preserve">[93]</w:t>
      </w:r>
      <w:r>
        <w:t xml:space="preserve">, which is consistent with our observation that the sign-type pool contracts from the Proto-Aurignacian (24 types) to the Early (18 types) and Evolved (19 types) phases. Network structure also shapes cultural information flow: highly connected networks with hub structures facilitate rapid transmission and reduce drift</w:t>
      </w:r>
      <w:r>
        <w:t xml:space="preserve"> </w:t>
      </w:r>
      <w:r>
        <w:t xml:space="preserve">[94,95]</w:t>
      </w:r>
      <w:r>
        <w:t xml:space="preserve">, while more clustered networks promote localised conformist transmission and differentiation within subgroups</w:t>
      </w:r>
      <w:r>
        <w:t xml:space="preserve"> </w:t>
      </w:r>
      <w:r>
        <w:t xml:space="preserve">[96]</w:t>
      </w:r>
      <w:r>
        <w:t xml:space="preserve">. Our Proto-Aurignacian network, with the highest mean degree (4.93°) and hub structure centred on La Ferrassie and Mladeč, would be expected to show efficient sign-type transmission — consistent with the wide geographic spread of common signs. The Early Aurignacian shows higher transitivity (0.75) and a stronger geographic signal (Mantel R = 0.313, p = 0.031), suggesting more localised, proximity-based transmission. The reduced connectivity in the Early (3.6°) and Evolved (3.3°) phases may reflect population consolidation and more localised social structures. However, the lack of significant geographic structure in the Proto and Evolved phases contradicts simple isolation-by-distance models</w:t>
      </w:r>
      <w:r>
        <w:t xml:space="preserve"> </w:t>
      </w:r>
      <w:r>
        <w:t xml:space="preserve">[93,97]</w:t>
      </w:r>
      <w:r>
        <w:t xml:space="preserve">, suggesting sign transmission may have operated through channels such as ritual gatherings or ceremonial exchange rather than routine mobility alone. These interpretations are speculative: network structure reflects sign-sharing patterns, not direct evidence of social organisation, and simpler sign types may reflect independent invention or functional constraints rather than social transmission.</w:t>
      </w:r>
    </w:p>
    <w:p>
      <w:pPr>
        <w:pStyle w:val="BodyText"/>
      </w:pPr>
      <w:r>
        <w:t xml:space="preserve">The contrast with personal ornaments is informative.</w:t>
      </w:r>
      <w:r>
        <w:t xml:space="preserve"> </w:t>
      </w:r>
      <w:r>
        <w:t xml:space="preserve">[6]</w:t>
      </w:r>
      <w:r>
        <w:t xml:space="preserve"> </w:t>
      </w:r>
      <w:r>
        <w:t xml:space="preserve">identified nine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(except a suggestive Early signal: R = 0.313, p = 0.031). This suggests different material classes encode different identity dimensions: ornaments may signal ethnic affiliation, while geometric signs may serve other functions — speculatively ritual notation, calendrical recording, or information storage — not geographically structured. The decorated ivory pendant from Stajnia Cave</w:t>
      </w:r>
      <w:r>
        <w:t xml:space="preserve"> </w:t>
      </w:r>
      <w:r>
        <w:t xml:space="preserve">[11]</w:t>
      </w:r>
      <w:r>
        <w:t xml:space="preserve"> </w:t>
      </w:r>
      <w:r>
        <w:t xml:space="preserve">exemplifies the rich personal ornament tradition that contrasts with our geometric sign patterns. This aligns with work by</w:t>
      </w:r>
      <w:r>
        <w:t xml:space="preserve"> </w:t>
      </w:r>
      <w:r>
        <w:t xml:space="preserve">[98]</w:t>
      </w:r>
      <w:r>
        <w:t xml:space="preserve"> </w:t>
      </w:r>
      <w:r>
        <w:t xml:space="preserve">(sign sequences having protocuneiform-like information density, suggesting notational function) and</w:t>
      </w:r>
      <w:r>
        <w:t xml:space="preserve"> </w:t>
      </w:r>
      <w:r>
        <w:t xml:space="preserve">[99]</w:t>
      </w:r>
      <w:r>
        <w:t xml:space="preserve"> </w:t>
      </w:r>
      <w:r>
        <w:t xml:space="preserve">(some signs recording seasonal prey information). However, both hypotheses are contested:</w:t>
      </w:r>
      <w:r>
        <w:t xml:space="preserve"> </w:t>
      </w:r>
      <w:r>
        <w:t xml:space="preserve">[100]</w:t>
      </w:r>
      <w:r>
        <w:t xml:space="preserve"> </w:t>
      </w:r>
      <w:r>
        <w:t xml:space="preserve">note methodological issues in Bentz &amp; Dutkiewicz;</w:t>
      </w:r>
      <w:r>
        <w:t xml:space="preserve"> </w:t>
      </w:r>
      <w:r>
        <w:t xml:space="preserve">[101]</w:t>
      </w:r>
      <w:r>
        <w:t xml:space="preserve"> </w:t>
      </w:r>
      <w:r>
        <w:t xml:space="preserve">and</w:t>
      </w:r>
      <w:r>
        <w:t xml:space="preserve"> </w:t>
      </w:r>
      <w:r>
        <w:t xml:space="preserve">[102]</w:t>
      </w:r>
      <w:r>
        <w:t xml:space="preserve"> </w:t>
      </w:r>
      <w:r>
        <w:t xml:space="preserve">argue the lunar calendar hypothesis is untestable, circular, and selectively uses data;</w:t>
      </w:r>
      <w:r>
        <w:t xml:space="preserve"> </w:t>
      </w:r>
      <w:r>
        <w:t xml:space="preserve">[103]</w:t>
      </w:r>
      <w:r>
        <w:t xml:space="preserve"> </w:t>
      </w:r>
      <w:r>
        <w:t xml:space="preserve">finds multiple theoretical weaknesses. Our results neither confirm nor rule out these hypotheses, and sign-type ambiguity remains a limitation.</w:t>
      </w:r>
    </w:p>
    <w:bookmarkEnd w:id="58"/>
    <w:bookmarkEnd w:id="59"/>
    <w:bookmarkStart w:id="60" w:name="conclusion"/>
    <w:p>
      <w:pPr>
        <w:pStyle w:val="Heading1"/>
      </w:pPr>
      <w:r>
        <w:t xml:space="preserve">Conclusion</w:t>
      </w:r>
    </w:p>
    <w:p>
      <w:pPr>
        <w:pStyle w:val="FirstParagraph"/>
      </w:pPr>
      <w:r>
        <w:t xml:space="preserve">This study adds to our knowledge of social networks within the Aurignacian period, as our results document dynamic patterns of social exchange and connection. Previous work</w:t>
      </w:r>
      <w:r>
        <w:t xml:space="preserve"> </w:t>
      </w:r>
      <w:r>
        <w:t xml:space="preserve">[3,71,104–107]</w:t>
      </w:r>
      <w:r>
        <w:t xml:space="preserve"> </w:t>
      </w:r>
      <w:r>
        <w:t xml:space="preserve">has used material culture analysis to reconstruct Upper Palaeolithic social networks, which have been argued to be a driver of cultural and evolutionary change</w:t>
      </w:r>
      <w:r>
        <w:t xml:space="preserve"> </w:t>
      </w:r>
      <w:r>
        <w:t xml:space="preserve">[2,64,108–112]</w:t>
      </w:r>
      <w:r>
        <w:t xml:space="preserve">.</w:t>
      </w:r>
      <w:r>
        <w:t xml:space="preserve"> </w:t>
      </w:r>
      <w:r>
        <w:t xml:space="preserve">[113]</w:t>
      </w:r>
      <w:r>
        <w:t xml:space="preserve"> </w:t>
      </w:r>
      <w:r>
        <w:t xml:space="preserve">places the emergence of complex inter-group connectivity at around 30 ka BP, however, our results show evidence of inter-connectivity beginning at around 41 ka BP, perhaps suggesting an earlier emergence of complex inter-connectivity than previously predicted. We attempted to rectify the low temporal resolution that tends to affect network analysis results when analyzing older, more time-averaged data sets</w:t>
      </w:r>
      <w:r>
        <w:t xml:space="preserve"> </w:t>
      </w:r>
      <w:r>
        <w:t xml:space="preserve">[114]</w:t>
      </w:r>
      <w:r>
        <w:t xml:space="preserve"> </w:t>
      </w:r>
      <w:r>
        <w:t xml:space="preserve">by dividing the data up into smaller time periods. Additionally, by focusing on change over time, we are able to see social networks as fluid and dynamic, rather than static and bounded</w:t>
      </w:r>
      <w:r>
        <w:t xml:space="preserve"> </w:t>
      </w:r>
      <w:r>
        <w:t xml:space="preserve">[70]</w:t>
      </w:r>
      <w:r>
        <w:t xml:space="preserve">.Our results do not support the conclusions drawn in</w:t>
      </w:r>
      <w:r>
        <w:t xml:space="preserve"> </w:t>
      </w:r>
      <w:r>
        <w:t xml:space="preserve">[6]</w:t>
      </w:r>
      <w:r>
        <w:t xml:space="preserve"> </w:t>
      </w:r>
      <w:r>
        <w:t xml:space="preserve">, where Aurignacian artwork is found to be a symbolic marker of structured ethnic identity, but are supported by</w:t>
      </w:r>
      <w:r>
        <w:t xml:space="preserve"> </w:t>
      </w:r>
      <w:r>
        <w:t xml:space="preserve">[89]</w:t>
      </w:r>
      <w:r>
        <w:t xml:space="preserve">, which utilizes the same data as</w:t>
      </w:r>
      <w:r>
        <w:t xml:space="preserve"> </w:t>
      </w:r>
      <w:r>
        <w:t xml:space="preserve">[6]</w:t>
      </w:r>
      <w:r>
        <w:t xml:space="preserve"> </w:t>
      </w:r>
      <w:r>
        <w:t xml:space="preserve">to conclude that cultural identity by-descent with modification is a more likely explanation for the distribution of Aurigancian ornaments.</w:t>
      </w:r>
    </w:p>
    <w:p>
      <w:pPr>
        <w:pStyle w:val="BodyText"/>
      </w:pPr>
      <w:r>
        <w:t xml:space="preserve">One limitation is the potential ambiguity that arises with some of the sign types. While</w:t>
      </w:r>
      <w:r>
        <w:t xml:space="preserve"> </w:t>
      </w:r>
      <w:r>
        <w:t xml:space="preserve">[115]</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cultural connectivity regardless of function, even if it is random copying</w:t>
      </w:r>
      <w:r>
        <w:t xml:space="preserve"> </w:t>
      </w:r>
      <w:r>
        <w:t xml:space="preserve">[116]</w:t>
      </w:r>
      <w:r>
        <w:t xml:space="preserve">, and additionally, greater quantities of included sign types serve to establish stronger connections</w:t>
      </w:r>
      <w:r>
        <w:t xml:space="preserve"> </w:t>
      </w:r>
      <w:r>
        <w:t xml:space="preserve">[114]</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p>
    <w:p>
      <w:pPr>
        <w:pStyle w:val="BodyText"/>
      </w:pPr>
      <w:r>
        <w:t xml:space="preserve">A further limitation concerns the effects of time-averaging on our network reconstructions.</w:t>
      </w:r>
      <w:r>
        <w:t xml:space="preserve"> </w:t>
      </w:r>
      <w:r>
        <w:t xml:space="preserve">[117]</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three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[59]</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interpreting the social organisation patterns discussed above.</w:t>
      </w:r>
    </w:p>
    <w:bookmarkEnd w:id="60"/>
    <w:bookmarkStart w:id="61" w:name="data-availability"/>
    <w:p>
      <w:pPr>
        <w:pStyle w:val="Heading1"/>
      </w:pPr>
      <w:r>
        <w:t xml:space="preserve">Data Availability</w:t>
      </w:r>
    </w:p>
    <w:p>
      <w:pPr>
        <w:pStyle w:val="FirstParagraph"/>
      </w:pPr>
      <w:r>
        <w:t xml:space="preserve">All data and code needed to reproduce the analyses in this paper are publicly available. The entire R code (R Core Team 2024) and data files used for all the analyses and visualizations contained in this article are openly available at in a research compendium archived at https://doi.org/xxx/xxx to enable reuse of materials and improve reproducibility and transparency</w:t>
      </w:r>
      <w:r>
        <w:t xml:space="preserve"> </w:t>
      </w:r>
      <w:r>
        <w:t xml:space="preserve">[</w:t>
      </w:r>
      <w:r>
        <w:rPr>
          <w:bCs/>
          <w:b/>
        </w:rPr>
        <w:t xml:space="preserve">Marwick2017?</w:t>
      </w:r>
      <w:r>
        <w:t xml:space="preserve">]</w:t>
      </w:r>
      <w:r>
        <w:t xml:space="preserve">. All of the figures, tables, and statistical test results presented here can be independently reproduced with the code and data in this repository. The code is released under the MIT license, the data as CC-0, and the figures as CC-BY, to enable maximum reuse. All required R packages and version numbers are recorded in the research compendium. The full analysis pipeline can be reproduced by rendering</w:t>
      </w:r>
      <w:r>
        <w:t xml:space="preserve"> </w:t>
      </w:r>
      <w:r>
        <w:rPr>
          <w:rStyle w:val="VerbatimChar"/>
        </w:rPr>
        <w:t xml:space="preserve">paper.qmd</w:t>
      </w:r>
      <w:r>
        <w:t xml:space="preserve"> </w:t>
      </w:r>
      <w:r>
        <w:t xml:space="preserve">and</w:t>
      </w:r>
      <w:r>
        <w:t xml:space="preserve"> </w:t>
      </w:r>
      <w:r>
        <w:rPr>
          <w:rStyle w:val="VerbatimChar"/>
        </w:rPr>
        <w:t xml:space="preserve">supplement.qmd</w:t>
      </w:r>
      <w:r>
        <w:t xml:space="preserve"> </w:t>
      </w:r>
      <w:r>
        <w:t xml:space="preserve">with Quarto. This computational reproducibility approach follows best practices for transparent and open archaeological science</w:t>
      </w:r>
      <w:r>
        <w:t xml:space="preserve"> </w:t>
      </w:r>
      <w:r>
        <w:t xml:space="preserve">[</w:t>
      </w:r>
      <w:r>
        <w:rPr>
          <w:bCs/>
          <w:b/>
        </w:rPr>
        <w:t xml:space="preserve">Marwick2025?</w:t>
      </w:r>
      <w:r>
        <w:t xml:space="preserve">]</w:t>
      </w:r>
      <w:r>
        <w:t xml:space="preserve">.</w:t>
      </w:r>
    </w:p>
    <w:bookmarkEnd w:id="61"/>
    <w:bookmarkStart w:id="262" w:name="references"/>
    <w:p>
      <w:pPr>
        <w:pStyle w:val="Heading1"/>
      </w:pPr>
      <w:r>
        <w:t xml:space="preserve">References</w:t>
      </w:r>
    </w:p>
    <w:bookmarkStart w:id="261"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 aurignacian and gravettian personal ornaments support cultural continuity in the early upper palaeolithic. PLOS ONE 2025;20:1–24.</w:t>
      </w:r>
      <w:r>
        <w:t xml:space="preserve"> </w:t>
      </w:r>
      <w:hyperlink r:id="rId64">
        <w:r>
          <w:rPr>
            <w:rStyle w:val="Hyperlink"/>
          </w:rPr>
          <w:t xml:space="preserve">https://doi.org/10.1371/journal.pone.0323148</w:t>
        </w:r>
      </w:hyperlink>
      <w:r>
        <w:t xml:space="preserve">.</w:t>
      </w:r>
    </w:p>
    <w:bookmarkEnd w:id="65"/>
    <w:bookmarkStart w:id="66"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 europe. Nature Human Behaviour 2024;8:431–44.</w:t>
      </w:r>
    </w:p>
    <w:bookmarkEnd w:id="66"/>
    <w:bookmarkStart w:id="68"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 cantabrian quadrilateral signs. Quaternary International 2018;491:99–109.</w:t>
      </w:r>
      <w:r>
        <w:t xml:space="preserve"> </w:t>
      </w:r>
      <w:hyperlink r:id="rId67">
        <w:r>
          <w:rPr>
            <w:rStyle w:val="Hyperlink"/>
          </w:rPr>
          <w:t xml:space="preserve">https://doi.org/10.1016/j.quaint.2017.01.039</w:t>
        </w:r>
      </w:hyperlink>
      <w:r>
        <w:t xml:space="preserve">.</w:t>
      </w:r>
    </w:p>
    <w:bookmarkEnd w:id="68"/>
    <w:bookmarkStart w:id="70" w:name="ref-Kuhn_Stiner_2007"/>
    <w:p>
      <w:pPr>
        <w:pStyle w:val="Bibliography"/>
      </w:pPr>
      <w:r>
        <w:t xml:space="preserve">[5]</w:t>
      </w:r>
      <w:r>
        <w:t xml:space="preserve"> </w:t>
      </w:r>
      <w:r>
        <w:t xml:space="preserve">	</w:t>
      </w:r>
      <w:r>
        <w:t xml:space="preserve">Kuhn SL, Stiner MC. Paleolithic ornaments: Implications for cognition, demography and identity. Diogenes 2007;54:40–8.</w:t>
      </w:r>
      <w:r>
        <w:t xml:space="preserve"> </w:t>
      </w:r>
      <w:hyperlink r:id="rId69">
        <w:r>
          <w:rPr>
            <w:rStyle w:val="Hyperlink"/>
          </w:rPr>
          <w:t xml:space="preserve">https://doi.org/10.1177/0392192107076870</w:t>
        </w:r>
      </w:hyperlink>
      <w:r>
        <w:t xml:space="preserve">.</w:t>
      </w:r>
    </w:p>
    <w:bookmarkEnd w:id="70"/>
    <w:bookmarkStart w:id="72" w:name="ref-Vanhaeren_d"/>
    <w:p>
      <w:pPr>
        <w:pStyle w:val="Bibliography"/>
      </w:pPr>
      <w:r>
        <w:t xml:space="preserve">[6]</w:t>
      </w:r>
      <w:r>
        <w:t xml:space="preserve"> </w:t>
      </w:r>
      <w:r>
        <w:t xml:space="preserve">	</w:t>
      </w:r>
      <w:r>
        <w:t xml:space="preserve">Vanhaeren M, d’Errico F. Aurignacian ethno-linguistic geography of europe revealed by personal ornaments. Journal of Archaeological Science 2006;33:1105–28.</w:t>
      </w:r>
      <w:r>
        <w:t xml:space="preserve"> </w:t>
      </w:r>
      <w:hyperlink r:id="rId71">
        <w:r>
          <w:rPr>
            <w:rStyle w:val="Hyperlink"/>
          </w:rPr>
          <w:t xml:space="preserve">https://doi.org/10.1016/j.jas.2005.11.017</w:t>
        </w:r>
      </w:hyperlink>
      <w:r>
        <w:t xml:space="preserve">.</w:t>
      </w:r>
    </w:p>
    <w:bookmarkEnd w:id="72"/>
    <w:bookmarkStart w:id="74" w:name="ref-Fuentes_Lucas_Robert_2019"/>
    <w:p>
      <w:pPr>
        <w:pStyle w:val="Bibliography"/>
      </w:pPr>
      <w:r>
        <w:t xml:space="preserve">[7]</w:t>
      </w:r>
      <w:r>
        <w:t xml:space="preserve"> </w:t>
      </w:r>
      <w:r>
        <w:t xml:space="preserve">	</w:t>
      </w:r>
      <w:r>
        <w:t xml:space="preserve">Fuentes O, Lucas C, Robert E. An approach to palaeolithic networks: The question of symbolic territories and their interpretation through magdalenian art. Quaternary International 2019;503:233–47.</w:t>
      </w:r>
      <w:r>
        <w:t xml:space="preserve"> </w:t>
      </w:r>
      <w:hyperlink r:id="rId73">
        <w:r>
          <w:rPr>
            <w:rStyle w:val="Hyperlink"/>
          </w:rPr>
          <w:t xml:space="preserve">https://doi.org/10.1016/j.quaint.2017.12.017</w:t>
        </w:r>
      </w:hyperlink>
      <w:r>
        <w:t xml:space="preserve">.</w:t>
      </w:r>
    </w:p>
    <w:bookmarkEnd w:id="74"/>
    <w:bookmarkStart w:id="76" w:name="ref-Tejero_Grimaldi_2015"/>
    <w:p>
      <w:pPr>
        <w:pStyle w:val="Bibliography"/>
      </w:pPr>
      <w:r>
        <w:t xml:space="preserve">[8]</w:t>
      </w:r>
      <w:r>
        <w:t xml:space="preserve"> </w:t>
      </w:r>
      <w:r>
        <w:t xml:space="preserve">	</w:t>
      </w:r>
      <w:r>
        <w:t xml:space="preserve">Tejero J-M, Grimaldi S. Assessing bone and antler exploitation at riparo mochi (balzi rossi, italy): Implications for the characterization of the aurignacian in south-western europe. Journal of Archaeological Science 2015;61:59–77.</w:t>
      </w:r>
      <w:r>
        <w:t xml:space="preserve"> </w:t>
      </w:r>
      <w:hyperlink r:id="rId75">
        <w:r>
          <w:rPr>
            <w:rStyle w:val="Hyperlink"/>
          </w:rPr>
          <w:t xml:space="preserve">https://doi.org/10.1016/j.jas.2015.05.003</w:t>
        </w:r>
      </w:hyperlink>
      <w:r>
        <w:t xml:space="preserve">.</w:t>
      </w:r>
    </w:p>
    <w:bookmarkEnd w:id="76"/>
    <w:bookmarkStart w:id="78" w:name="ref-Tartar_2012"/>
    <w:p>
      <w:pPr>
        <w:pStyle w:val="Bibliography"/>
      </w:pPr>
      <w:r>
        <w:t xml:space="preserve">[9]</w:t>
      </w:r>
      <w:r>
        <w:t xml:space="preserve"> </w:t>
      </w:r>
      <w:r>
        <w:t xml:space="preserve">	</w:t>
      </w:r>
      <w:r>
        <w:t xml:space="preserve">Tartar E. The recognition of a new type of bone tools in early aurignacian assemblages: Implications for understanding the appearance of osseous technology in europe. Journal of Archaeological Science 2012;39:2348–60.</w:t>
      </w:r>
      <w:r>
        <w:t xml:space="preserve"> </w:t>
      </w:r>
      <w:hyperlink r:id="rId77">
        <w:r>
          <w:rPr>
            <w:rStyle w:val="Hyperlink"/>
          </w:rPr>
          <w:t xml:space="preserve">https://doi.org/10.1016/j.jas.2012.02.003</w:t>
        </w:r>
      </w:hyperlink>
      <w:r>
        <w:t xml:space="preserve">.</w:t>
      </w:r>
    </w:p>
    <w:bookmarkEnd w:id="78"/>
    <w:bookmarkStart w:id="80" w:name="ref-dutkiewicz2020"/>
    <w:p>
      <w:pPr>
        <w:pStyle w:val="Bibliography"/>
      </w:pPr>
      <w:r>
        <w:t xml:space="preserve">[10]</w:t>
      </w:r>
      <w:r>
        <w:t xml:space="preserve"> </w:t>
      </w:r>
      <w:r>
        <w:t xml:space="preserve">	</w:t>
      </w:r>
      <w:r>
        <w:t xml:space="preserve">Dutkiewicz E, Russo G, Lee S, Bentz C. SignBase, a collection of geometric signs on mobile objects in the paleolithic. Scientific Data 2020;7:364.</w:t>
      </w:r>
      <w:r>
        <w:t xml:space="preserve"> </w:t>
      </w:r>
      <w:hyperlink r:id="rId79">
        <w:r>
          <w:rPr>
            <w:rStyle w:val="Hyperlink"/>
          </w:rPr>
          <w:t xml:space="preserve">https://doi.org/10.1038/s41597-020-00704-x</w:t>
        </w:r>
      </w:hyperlink>
      <w:r>
        <w:t xml:space="preserve">.</w:t>
      </w:r>
    </w:p>
    <w:bookmarkEnd w:id="80"/>
    <w:bookmarkStart w:id="82" w:name="ref-Talamo_2022"/>
    <w:p>
      <w:pPr>
        <w:pStyle w:val="Bibliography"/>
      </w:pPr>
      <w:r>
        <w:t xml:space="preserve">[11]</w:t>
      </w:r>
      <w:r>
        <w:t xml:space="preserve"> </w:t>
      </w:r>
      <w:r>
        <w:t xml:space="preserve">	</w:t>
      </w:r>
      <w:r>
        <w:t xml:space="preserve">Talamo S, Jacobs Z, Conard NJ, Grote K, Grimaldi S, Kirchner L, et al. A 41,500 year-old decorated ivory pendant from stajnia cave (poland). Scientific Reports 2022;12:2031.</w:t>
      </w:r>
      <w:r>
        <w:t xml:space="preserve"> </w:t>
      </w:r>
      <w:hyperlink r:id="rId81">
        <w:r>
          <w:rPr>
            <w:rStyle w:val="Hyperlink"/>
          </w:rPr>
          <w:t xml:space="preserve">https://doi.org/10.1038/s41598-021-01221-6</w:t>
        </w:r>
      </w:hyperlink>
      <w:r>
        <w:t xml:space="preserve">.</w:t>
      </w:r>
    </w:p>
    <w:bookmarkEnd w:id="82"/>
    <w:bookmarkStart w:id="84" w:name="ref-Chu_Richter_2020"/>
    <w:p>
      <w:pPr>
        <w:pStyle w:val="Bibliography"/>
      </w:pPr>
      <w:r>
        <w:t xml:space="preserve">[12]</w:t>
      </w:r>
      <w:r>
        <w:t xml:space="preserve"> </w:t>
      </w:r>
      <w:r>
        <w:t xml:space="preserve">	</w:t>
      </w:r>
      <w:r>
        <w:t xml:space="preserve">Chu W, Richter J. Aurignacian cultural unit. Encyclopedia of global archaeology, Cham: Springer International Publishing; 2020, p. 1–10.</w:t>
      </w:r>
      <w:r>
        <w:t xml:space="preserve"> </w:t>
      </w:r>
      <w:hyperlink r:id="rId83">
        <w:r>
          <w:rPr>
            <w:rStyle w:val="Hyperlink"/>
          </w:rPr>
          <w:t xml:space="preserve">https://doi.org/10.1007/978-3-319-51726-1_3441-1</w:t>
        </w:r>
      </w:hyperlink>
      <w:r>
        <w:t xml:space="preserve">.</w:t>
      </w:r>
    </w:p>
    <w:bookmarkEnd w:id="84"/>
    <w:bookmarkStart w:id="85" w:name="ref-dinnis2019thoughts"/>
    <w:p>
      <w:pPr>
        <w:pStyle w:val="Bibliography"/>
      </w:pPr>
      <w:r>
        <w:t xml:space="preserve">[13]</w:t>
      </w:r>
      <w:r>
        <w:t xml:space="preserve"> </w:t>
      </w:r>
      <w:r>
        <w:t xml:space="preserve">	</w:t>
      </w:r>
      <w:r>
        <w:t xml:space="preserve">Dinnis R, Bessudnov A, Chiotti L, Flas D, Michel A. Thoughts on the structure of the european aurignacian, with particular focus on hohle fels IV. Proceedings of the Prehistoric Society 2019;85:29–60.</w:t>
      </w:r>
    </w:p>
    <w:bookmarkEnd w:id="85"/>
    <w:bookmarkStart w:id="86" w:name="ref-falcucci2020breaking"/>
    <w:p>
      <w:pPr>
        <w:pStyle w:val="Bibliography"/>
      </w:pPr>
      <w:r>
        <w:t xml:space="preserve">[14]</w:t>
      </w:r>
      <w:r>
        <w:t xml:space="preserve"> </w:t>
      </w:r>
      <w:r>
        <w:t xml:space="preserve">	</w:t>
      </w:r>
      <w:r>
        <w:t xml:space="preserve">Falcucci A, Conard NJ, Peresani M, et al. Breaking through the aquitaine frame: A re-evaluation on the significance of regional variants during the aurignacian as seen from a key record in southern europe. Journal of Anthropological Sciences 2020;98:99–140.</w:t>
      </w:r>
    </w:p>
    <w:bookmarkEnd w:id="86"/>
    <w:bookmarkStart w:id="87" w:name="ref-clark200917"/>
    <w:p>
      <w:pPr>
        <w:pStyle w:val="Bibliography"/>
      </w:pPr>
      <w:r>
        <w:t xml:space="preserve">[15]</w:t>
      </w:r>
      <w:r>
        <w:t xml:space="preserve"> </w:t>
      </w:r>
      <w:r>
        <w:t xml:space="preserve">	</w:t>
      </w:r>
      <w:r>
        <w:t xml:space="preserve">Clark GA, Riel-Salvatore J. What’s in a name? Observations on the compositional integrity of the aurignacian. The mediterranean from 50 000 to 25 000 BP, vol. 323, Oxbow Books; 2009.</w:t>
      </w:r>
    </w:p>
    <w:bookmarkEnd w:id="87"/>
    <w:bookmarkStart w:id="88" w:name="ref-zilhao2024data"/>
    <w:p>
      <w:pPr>
        <w:pStyle w:val="Bibliography"/>
      </w:pPr>
      <w:r>
        <w:t xml:space="preserve">[16]</w:t>
      </w:r>
      <w:r>
        <w:t xml:space="preserve"> </w:t>
      </w:r>
      <w:r>
        <w:t xml:space="preserve">	</w:t>
      </w:r>
      <w:r>
        <w:t xml:space="preserve">Zilhão J, d’Errico F, Banks WE, Teyssandier N. A data-driven paradigm shift for the middle-to-upper palaeolithic transition and the neandertal debate. Quaternary Environments and Humans 2024;2:100037.</w:t>
      </w:r>
    </w:p>
    <w:bookmarkEnd w:id="88"/>
    <w:bookmarkStart w:id="89" w:name="ref-bordes2006news"/>
    <w:p>
      <w:pPr>
        <w:pStyle w:val="Bibliography"/>
      </w:pPr>
      <w:r>
        <w:t xml:space="preserve">[17]</w:t>
      </w:r>
      <w:r>
        <w:t xml:space="preserve"> </w:t>
      </w:r>
      <w:r>
        <w:t xml:space="preserve">	</w:t>
      </w:r>
      <w:r>
        <w:t xml:space="preserve">Bordes J-G. News from the west: A reevaluation of the classical aurignacian sequence of the p</w:t>
      </w:r>
      <w:r>
        <w:t xml:space="preserve">é</w:t>
      </w:r>
      <w:r>
        <w:t xml:space="preserve">rigord. Towards a Definition of the Aurignacian 2006;45:147–71.</w:t>
      </w:r>
    </w:p>
    <w:bookmarkEnd w:id="89"/>
    <w:bookmarkStart w:id="90" w:name="ref-canessa2026unpacking"/>
    <w:p>
      <w:pPr>
        <w:pStyle w:val="Bibliography"/>
      </w:pPr>
      <w:r>
        <w:t xml:space="preserve">[18]</w:t>
      </w:r>
      <w:r>
        <w:t xml:space="preserve"> </w:t>
      </w:r>
      <w:r>
        <w:t xml:space="preserve">	</w:t>
      </w:r>
      <w:r>
        <w:t xml:space="preserve">Canessa T, Peña P de la. Unpacking lithic assemblage variability in the early upper palaeolithic: A multivariate approach to the structure of the iberian aurignacian. Plos One 2026;21:e0345202.</w:t>
      </w:r>
    </w:p>
    <w:bookmarkEnd w:id="90"/>
    <w:bookmarkStart w:id="92" w:name="X68cdd7ba62fc5dd3e1e9b497937717305f7b9a0"/>
    <w:p>
      <w:pPr>
        <w:pStyle w:val="Bibliography"/>
      </w:pPr>
      <w:r>
        <w:t xml:space="preserve">[19]</w:t>
      </w:r>
      <w:r>
        <w:t xml:space="preserve"> </w:t>
      </w:r>
      <w:r>
        <w:t xml:space="preserve">	</w:t>
      </w:r>
      <w:r>
        <w:t xml:space="preserve">Shao Y, Limberg H, Klein K, Wegener C, Schmidt I, Weniger G-C, et al. Human-existence probability of the aurignacian techno-complex under extreme climate conditions. Quaternary Science Reviews 2021;263:106995. https://doi.org/</w:t>
      </w:r>
      <w:hyperlink r:id="rId91">
        <w:r>
          <w:rPr>
            <w:rStyle w:val="Hyperlink"/>
          </w:rPr>
          <w:t xml:space="preserve">https://doi.org/10.1016/j.quascirev.2021.106995</w:t>
        </w:r>
      </w:hyperlink>
      <w:r>
        <w:t xml:space="preserve">.</w:t>
      </w:r>
    </w:p>
    <w:bookmarkEnd w:id="92"/>
    <w:bookmarkStart w:id="94" w:name="ref-Schmidt_Zimmermann_2019"/>
    <w:p>
      <w:pPr>
        <w:pStyle w:val="Bibliography"/>
      </w:pPr>
      <w:r>
        <w:t xml:space="preserve">[20]</w:t>
      </w:r>
      <w:r>
        <w:t xml:space="preserve"> </w:t>
      </w:r>
      <w:r>
        <w:t xml:space="preserve">	</w:t>
      </w:r>
      <w:r>
        <w:t xml:space="preserve">Schmidt I, Zimmermann A. Population dynamics and socio-spatial organization of the aurignacian: Scalable quantitative demographic data for western and central europe. PLoS ONE 2019;14:e0211562.</w:t>
      </w:r>
      <w:r>
        <w:t xml:space="preserve"> </w:t>
      </w:r>
      <w:hyperlink r:id="rId93">
        <w:r>
          <w:rPr>
            <w:rStyle w:val="Hyperlink"/>
          </w:rPr>
          <w:t xml:space="preserve">https://doi.org/10.1371/journal.pone.0211562</w:t>
        </w:r>
      </w:hyperlink>
      <w:r>
        <w:t xml:space="preserve">.</w:t>
      </w:r>
    </w:p>
    <w:bookmarkEnd w:id="94"/>
    <w:bookmarkStart w:id="96" w:name="ref-Banks_dErrico_Zilhao_2013"/>
    <w:p>
      <w:pPr>
        <w:pStyle w:val="Bibliography"/>
      </w:pPr>
      <w:r>
        <w:t xml:space="preserve">[21]</w:t>
      </w:r>
      <w:r>
        <w:t xml:space="preserve"> </w:t>
      </w:r>
      <w:r>
        <w:t xml:space="preserve">	</w:t>
      </w:r>
      <w:r>
        <w:t xml:space="preserve">Banks WE, d’Errico F, Zilhão J. Human–climate interaction during the early upper paleolithic: Testing the hypothesis of an adaptive shift between the proto-aurignacian and the early aurignacian. Journal of Human Evolution 2013;64:39–55. https://doi.org/</w:t>
      </w:r>
      <w:hyperlink r:id="rId95">
        <w:r>
          <w:rPr>
            <w:rStyle w:val="Hyperlink"/>
          </w:rPr>
          <w:t xml:space="preserve">https://doi.org/10.1016/j.jhevol.2012.10.001</w:t>
        </w:r>
      </w:hyperlink>
      <w:r>
        <w:t xml:space="preserve">.</w:t>
      </w:r>
    </w:p>
    <w:bookmarkEnd w:id="96"/>
    <w:bookmarkStart w:id="98" w:name="ref-Falcucci_Peresani_2017"/>
    <w:p>
      <w:pPr>
        <w:pStyle w:val="Bibliography"/>
      </w:pPr>
      <w:r>
        <w:t xml:space="preserve">[22]</w:t>
      </w:r>
      <w:r>
        <w:t xml:space="preserve"> </w:t>
      </w:r>
      <w:r>
        <w:t xml:space="preserve">	</w:t>
      </w:r>
      <w:r>
        <w:t xml:space="preserve">Falcucci A, Conard NJ, Peresani M. A critical assessment of the protoaurignacian lithic technology at fumane cave and its implications for the definition of the earliest aurignacian. PLoS ONE 2017;12:e0189241.</w:t>
      </w:r>
      <w:r>
        <w:t xml:space="preserve"> </w:t>
      </w:r>
      <w:hyperlink r:id="rId97">
        <w:r>
          <w:rPr>
            <w:rStyle w:val="Hyperlink"/>
          </w:rPr>
          <w:t xml:space="preserve">https://doi.org/10.1371/journal.pone.0189241</w:t>
        </w:r>
      </w:hyperlink>
      <w:r>
        <w:t xml:space="preserve">.</w:t>
      </w:r>
    </w:p>
    <w:bookmarkEnd w:id="98"/>
    <w:bookmarkStart w:id="100" w:name="ref-Fletcher_Sánchez"/>
    <w:p>
      <w:pPr>
        <w:pStyle w:val="Bibliography"/>
      </w:pPr>
      <w:r>
        <w:t xml:space="preserve">[23]</w:t>
      </w:r>
      <w:r>
        <w:t xml:space="preserve"> </w:t>
      </w:r>
      <w:r>
        <w:t xml:space="preserve">	</w:t>
      </w:r>
      <w:r>
        <w:t xml:space="preserve">Fletcher WJ, Sánchez Goñi MF, Allen JRM, Cheddadi R, Combourieu-Nebout N, Huntley B, et al. Millennial-scale variability during the last glacial in vegetation records from europe. Quaternary Science Reviews 2010;29:2839–64.</w:t>
      </w:r>
      <w:r>
        <w:t xml:space="preserve"> </w:t>
      </w:r>
      <w:hyperlink r:id="rId99">
        <w:r>
          <w:rPr>
            <w:rStyle w:val="Hyperlink"/>
          </w:rPr>
          <w:t xml:space="preserve">https://doi.org/10.1016/j.quascirev.2009.11.015</w:t>
        </w:r>
      </w:hyperlink>
      <w:r>
        <w:t xml:space="preserve">.</w:t>
      </w:r>
    </w:p>
    <w:bookmarkEnd w:id="100"/>
    <w:bookmarkStart w:id="102" w:name="ref-Crema_Bevan_2021"/>
    <w:p>
      <w:pPr>
        <w:pStyle w:val="Bibliography"/>
      </w:pPr>
      <w:r>
        <w:t xml:space="preserve">[24]</w:t>
      </w:r>
      <w:r>
        <w:t xml:space="preserve"> </w:t>
      </w:r>
      <w:r>
        <w:t xml:space="preserve">	</w:t>
      </w:r>
      <w:r>
        <w:t xml:space="preserve">Crema ER, Bevan A. INFERENCE FROM LARGE SETS OF RADIOCARBON DATES: SOFTWARE AND METHODS. Radiocarbon 2021;63:23–39.</w:t>
      </w:r>
      <w:r>
        <w:t xml:space="preserve"> </w:t>
      </w:r>
      <w:hyperlink r:id="rId101">
        <w:r>
          <w:rPr>
            <w:rStyle w:val="Hyperlink"/>
          </w:rPr>
          <w:t xml:space="preserve">https://doi.org/10.1017/RDC.2020.95</w:t>
        </w:r>
      </w:hyperlink>
      <w:r>
        <w:t xml:space="preserve">.</w:t>
      </w:r>
    </w:p>
    <w:bookmarkEnd w:id="102"/>
    <w:bookmarkStart w:id="104" w:name="ref-Lycett_2019"/>
    <w:p>
      <w:pPr>
        <w:pStyle w:val="Bibliography"/>
      </w:pPr>
      <w:r>
        <w:t xml:space="preserve">[25]</w:t>
      </w:r>
      <w:r>
        <w:t xml:space="preserve"> </w:t>
      </w:r>
      <w:r>
        <w:t xml:space="preserve">	</w:t>
      </w:r>
      <w:r>
        <w:t xml:space="preserve">Lycett SJ. Confirmation of the role of geographic isolation by distance in among-tribe variations in beadwork designs and manufacture on the high plains. Archaeological and Anthropological Sciences 2019;11:2837–47.</w:t>
      </w:r>
      <w:r>
        <w:t xml:space="preserve"> </w:t>
      </w:r>
      <w:hyperlink r:id="rId103">
        <w:r>
          <w:rPr>
            <w:rStyle w:val="Hyperlink"/>
          </w:rPr>
          <w:t xml:space="preserve">https://doi.org/10.1007/s12520-018-0742-3</w:t>
        </w:r>
      </w:hyperlink>
      <w:r>
        <w:t xml:space="preserve">.</w:t>
      </w:r>
    </w:p>
    <w:bookmarkEnd w:id="104"/>
    <w:bookmarkStart w:id="106" w:name="ref-Mantel_Smouse"/>
    <w:p>
      <w:pPr>
        <w:pStyle w:val="Bibliography"/>
      </w:pPr>
      <w:r>
        <w:t xml:space="preserve">[26]</w:t>
      </w:r>
      <w:r>
        <w:t xml:space="preserve"> </w:t>
      </w:r>
      <w:r>
        <w:t xml:space="preserve">	</w:t>
      </w:r>
      <w:r>
        <w:t xml:space="preserve">Smouse PE, Long JC. Matrix correlation analysis in anthropology and genetics. American Journal of Physical Anthropology 1992;35:187–213. https://doi.org/</w:t>
      </w:r>
      <w:hyperlink r:id="rId105">
        <w:r>
          <w:rPr>
            <w:rStyle w:val="Hyperlink"/>
          </w:rPr>
          <w:t xml:space="preserve">https://doi.org/10.1002/ajpa.1330350608</w:t>
        </w:r>
      </w:hyperlink>
      <w:r>
        <w:t xml:space="preserve">.</w:t>
      </w:r>
    </w:p>
    <w:bookmarkEnd w:id="106"/>
    <w:bookmarkStart w:id="108" w:name="ref-Vegan2001"/>
    <w:p>
      <w:pPr>
        <w:pStyle w:val="Bibliography"/>
      </w:pPr>
      <w:r>
        <w:t xml:space="preserve">[27]</w:t>
      </w:r>
      <w:r>
        <w:t xml:space="preserve"> </w:t>
      </w:r>
      <w:r>
        <w:t xml:space="preserve">	</w:t>
      </w:r>
      <w:r>
        <w:t xml:space="preserve">Oksanen J, Simpson GL, Blanchet FG, Kindt R, Legendre P, Minchin PR, et al. Vegan: Community ecology package 2001:25–31.</w:t>
      </w:r>
      <w:r>
        <w:t xml:space="preserve"> </w:t>
      </w:r>
      <w:hyperlink r:id="rId107">
        <w:r>
          <w:rPr>
            <w:rStyle w:val="Hyperlink"/>
          </w:rPr>
          <w:t xml:space="preserve">https://doi.org/10.32614/CRAN.package.vegan</w:t>
        </w:r>
      </w:hyperlink>
      <w:r>
        <w:t xml:space="preserve">.</w:t>
      </w:r>
    </w:p>
    <w:bookmarkEnd w:id="108"/>
    <w:bookmarkStart w:id="110" w:name="ref-Rigaud_dErrico_Vanhaeren_2015"/>
    <w:p>
      <w:pPr>
        <w:pStyle w:val="Bibliography"/>
      </w:pPr>
      <w:r>
        <w:t xml:space="preserve">[28]</w:t>
      </w:r>
      <w:r>
        <w:t xml:space="preserve"> </w:t>
      </w:r>
      <w:r>
        <w:t xml:space="preserve">	</w:t>
      </w:r>
      <w:r>
        <w:t xml:space="preserve">Rigaud S, d’Errico F, Vanhaeren M. Ornaments reveal resistance of north european cultures to the spread of farming. PLOS ONE 2015;10:e0121166.</w:t>
      </w:r>
      <w:r>
        <w:t xml:space="preserve"> </w:t>
      </w:r>
      <w:hyperlink r:id="rId109">
        <w:r>
          <w:rPr>
            <w:rStyle w:val="Hyperlink"/>
          </w:rPr>
          <w:t xml:space="preserve">https://doi.org/10.1371/journal.pone.0121166</w:t>
        </w:r>
      </w:hyperlink>
      <w:r>
        <w:t xml:space="preserve">.</w:t>
      </w:r>
    </w:p>
    <w:bookmarkEnd w:id="110"/>
    <w:bookmarkStart w:id="112" w:name="ref-seriation_pckge"/>
    <w:p>
      <w:pPr>
        <w:pStyle w:val="Bibliography"/>
      </w:pPr>
      <w:r>
        <w:t xml:space="preserve">[29]</w:t>
      </w:r>
      <w:r>
        <w:t xml:space="preserve"> </w:t>
      </w:r>
      <w:r>
        <w:t xml:space="preserve">	</w:t>
      </w:r>
      <w:r>
        <w:t xml:space="preserve">Hahsler M, Hornik K, Buchta C. Getting things in order: An introduction to the r package seriation. Journal of Statistical Software 2008;25:1–34.</w:t>
      </w:r>
      <w:r>
        <w:t xml:space="preserve"> </w:t>
      </w:r>
      <w:hyperlink r:id="rId111">
        <w:r>
          <w:rPr>
            <w:rStyle w:val="Hyperlink"/>
          </w:rPr>
          <w:t xml:space="preserve">https://doi.org/10.18637/jss.v025.i03</w:t>
        </w:r>
      </w:hyperlink>
      <w:r>
        <w:t xml:space="preserve">.</w:t>
      </w:r>
    </w:p>
    <w:bookmarkEnd w:id="112"/>
    <w:bookmarkStart w:id="114" w:name="ref-Brower_Kile_1988"/>
    <w:p>
      <w:pPr>
        <w:pStyle w:val="Bibliography"/>
      </w:pPr>
      <w:r>
        <w:t xml:space="preserve">[30]</w:t>
      </w:r>
      <w:r>
        <w:t xml:space="preserve"> </w:t>
      </w:r>
      <w:r>
        <w:t xml:space="preserve">	</w:t>
      </w:r>
      <w:r>
        <w:t xml:space="preserve">Brower JC, Kile KM. Seriation of an original data matrix as applied to paleoecology. Lethaia 1988;21:79–93.</w:t>
      </w:r>
      <w:r>
        <w:t xml:space="preserve"> </w:t>
      </w:r>
      <w:hyperlink r:id="rId113">
        <w:r>
          <w:rPr>
            <w:rStyle w:val="Hyperlink"/>
          </w:rPr>
          <w:t xml:space="preserve">https://doi.org/10.1111/j.1502-3931.1988.tb01756.x</w:t>
        </w:r>
      </w:hyperlink>
      <w:r>
        <w:t xml:space="preserve">.</w:t>
      </w:r>
    </w:p>
    <w:bookmarkEnd w:id="114"/>
    <w:bookmarkStart w:id="116" w:name="ref-Mills_2017"/>
    <w:p>
      <w:pPr>
        <w:pStyle w:val="Bibliography"/>
      </w:pPr>
      <w:r>
        <w:t xml:space="preserve">[31]</w:t>
      </w:r>
      <w:r>
        <w:t xml:space="preserve"> </w:t>
      </w:r>
      <w:r>
        <w:t xml:space="preserve">	</w:t>
      </w:r>
      <w:r>
        <w:t xml:space="preserve">Mills BJ. Social network analysis in archaeology. Annual Review of Anthropology 2017;46:379–97.</w:t>
      </w:r>
      <w:r>
        <w:t xml:space="preserve"> </w:t>
      </w:r>
      <w:hyperlink r:id="rId115">
        <w:r>
          <w:rPr>
            <w:rStyle w:val="Hyperlink"/>
          </w:rPr>
          <w:t xml:space="preserve">https://doi.org/10.1146/annurev-anthro-102116-041423</w:t>
        </w:r>
      </w:hyperlink>
      <w:r>
        <w:t xml:space="preserve">.</w:t>
      </w:r>
    </w:p>
    <w:bookmarkEnd w:id="116"/>
    <w:bookmarkStart w:id="118" w:name="ref-Fruchterman_Reingold_1991"/>
    <w:p>
      <w:pPr>
        <w:pStyle w:val="Bibliography"/>
      </w:pPr>
      <w:r>
        <w:t xml:space="preserve">[32]</w:t>
      </w:r>
      <w:r>
        <w:t xml:space="preserve"> </w:t>
      </w:r>
      <w:r>
        <w:t xml:space="preserve">	</w:t>
      </w:r>
      <w:r>
        <w:t xml:space="preserve">Fruchterman TMJ, Reingold EM. Graph drawing by force-directed placement. Software: Practice and Experience 1991;21:1129–64.</w:t>
      </w:r>
      <w:r>
        <w:t xml:space="preserve"> </w:t>
      </w:r>
      <w:hyperlink r:id="rId117">
        <w:r>
          <w:rPr>
            <w:rStyle w:val="Hyperlink"/>
          </w:rPr>
          <w:t xml:space="preserve">https://doi.org/10.1002/spe.4380211102</w:t>
        </w:r>
      </w:hyperlink>
      <w:r>
        <w:t xml:space="preserve">.</w:t>
      </w:r>
    </w:p>
    <w:bookmarkEnd w:id="118"/>
    <w:bookmarkStart w:id="120" w:name="ref-statnet_package"/>
    <w:p>
      <w:pPr>
        <w:pStyle w:val="Bibliography"/>
      </w:pPr>
      <w:r>
        <w:t xml:space="preserve">[33]</w:t>
      </w:r>
      <w:r>
        <w:t xml:space="preserve"> </w:t>
      </w:r>
      <w:r>
        <w:t xml:space="preserve">	</w:t>
      </w:r>
      <w:r>
        <w:t xml:space="preserve">Pavel N. Krivitsky MSH, Hunter DR, Butts CT, Bojanowski M, Klumb C, Goodreau SM, et al.</w:t>
      </w:r>
      <w:r>
        <w:t xml:space="preserve"> </w:t>
      </w:r>
      <w:hyperlink r:id="rId119">
        <w:r>
          <w:rPr>
            <w:rStyle w:val="Hyperlink"/>
          </w:rPr>
          <w:t xml:space="preserve">Statnet: Tools for the statistical modeling of network data</w:t>
        </w:r>
      </w:hyperlink>
      <w:r>
        <w:t xml:space="preserve"> </w:t>
      </w:r>
      <w:r>
        <w:t xml:space="preserve">2003–2024.</w:t>
      </w:r>
    </w:p>
    <w:bookmarkEnd w:id="120"/>
    <w:bookmarkStart w:id="122" w:name="ref-igraph_package"/>
    <w:p>
      <w:pPr>
        <w:pStyle w:val="Bibliography"/>
      </w:pPr>
      <w:r>
        <w:t xml:space="preserve">[34]</w:t>
      </w:r>
      <w:r>
        <w:t xml:space="preserve"> </w:t>
      </w:r>
      <w:r>
        <w:t xml:space="preserve">	</w:t>
      </w:r>
      <w:r>
        <w:t xml:space="preserve">Csardi G, Nepusz T.</w:t>
      </w:r>
      <w:r>
        <w:t xml:space="preserve"> </w:t>
      </w:r>
      <w:hyperlink r:id="rId121">
        <w:r>
          <w:rPr>
            <w:rStyle w:val="Hyperlink"/>
          </w:rPr>
          <w:t xml:space="preserve">The igraph software package for complex network research</w:t>
        </w:r>
      </w:hyperlink>
      <w:r>
        <w:t xml:space="preserve">. InterJournal 2006;Complex Systems:1695.</w:t>
      </w:r>
    </w:p>
    <w:bookmarkEnd w:id="122"/>
    <w:bookmarkStart w:id="124" w:name="ref-Anderson_2017"/>
    <w:p>
      <w:pPr>
        <w:pStyle w:val="Bibliography"/>
      </w:pPr>
      <w:r>
        <w:t xml:space="preserve">[35]</w:t>
      </w:r>
      <w:r>
        <w:t xml:space="preserve"> </w:t>
      </w:r>
      <w:r>
        <w:t xml:space="preserve">	</w:t>
      </w:r>
      <w:r>
        <w:t xml:space="preserve">Anderson MJ. Permutational multivariate analysis of variance (PERMANOVA). Wiley StatsRef: Statistics reference online, John Wiley &amp; Sons, Ltd; 2017, p. 1–15.</w:t>
      </w:r>
      <w:r>
        <w:t xml:space="preserve"> </w:t>
      </w:r>
      <w:hyperlink r:id="rId123">
        <w:r>
          <w:rPr>
            <w:rStyle w:val="Hyperlink"/>
          </w:rPr>
          <w:t xml:space="preserve">https://doi.org/10.1002/9781118445112.stat07841</w:t>
        </w:r>
      </w:hyperlink>
      <w:r>
        <w:t xml:space="preserve">.</w:t>
      </w:r>
    </w:p>
    <w:bookmarkEnd w:id="124"/>
    <w:bookmarkStart w:id="126" w:name="ref-Shennan_Crema_Kerig_2015"/>
    <w:p>
      <w:pPr>
        <w:pStyle w:val="Bibliography"/>
      </w:pPr>
      <w:r>
        <w:t xml:space="preserve">[36]</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 neolithic europe. Evolution and Human Behavior 2015;36:103–9.</w:t>
      </w:r>
      <w:r>
        <w:t xml:space="preserve"> </w:t>
      </w:r>
      <w:hyperlink r:id="rId125">
        <w:r>
          <w:rPr>
            <w:rStyle w:val="Hyperlink"/>
          </w:rPr>
          <w:t xml:space="preserve">https://doi.org/10.1016/j.evolhumbehav.2014.09.006</w:t>
        </w:r>
      </w:hyperlink>
      <w:r>
        <w:t xml:space="preserve">.</w:t>
      </w:r>
    </w:p>
    <w:bookmarkEnd w:id="126"/>
    <w:bookmarkStart w:id="127" w:name="ref-newman2004finding"/>
    <w:p>
      <w:pPr>
        <w:pStyle w:val="Bibliography"/>
      </w:pPr>
      <w:r>
        <w:t xml:space="preserve">[37]</w:t>
      </w:r>
      <w:r>
        <w:t xml:space="preserve"> </w:t>
      </w:r>
      <w:r>
        <w:t xml:space="preserve">	</w:t>
      </w:r>
      <w:r>
        <w:t xml:space="preserve">Newman ME, Girvan M. Finding and evaluating community structure in networks. Physical Review E 2004;69:026113.</w:t>
      </w:r>
    </w:p>
    <w:bookmarkEnd w:id="127"/>
    <w:bookmarkStart w:id="129" w:name="ref-Finlayson_Warren_2017"/>
    <w:p>
      <w:pPr>
        <w:pStyle w:val="Bibliography"/>
      </w:pPr>
      <w:r>
        <w:t xml:space="preserve">[38]</w:t>
      </w:r>
      <w:r>
        <w:t xml:space="preserve"> </w:t>
      </w:r>
      <w:r>
        <w:t xml:space="preserve">	</w:t>
      </w:r>
      <w:r>
        <w:t xml:space="preserve">Finlayson B, Warren G.</w:t>
      </w:r>
      <w:r>
        <w:t xml:space="preserve"> </w:t>
      </w:r>
      <w:hyperlink r:id="rId128">
        <w:r>
          <w:rPr>
            <w:rStyle w:val="Hyperlink"/>
          </w:rPr>
          <w:t xml:space="preserve">The diversity of hunter-gatherer pasts: An introduction</w:t>
        </w:r>
      </w:hyperlink>
      <w:r>
        <w:t xml:space="preserve">. In: Finlayson B, Warren G, editors. The diversity of hunter gatherer pasts. 1st ed., Oxbow Books; 2017, p. 1–14.</w:t>
      </w:r>
    </w:p>
    <w:bookmarkEnd w:id="129"/>
    <w:bookmarkStart w:id="131" w:name="ref-Riches_1995"/>
    <w:p>
      <w:pPr>
        <w:pStyle w:val="Bibliography"/>
      </w:pPr>
      <w:r>
        <w:t xml:space="preserve">[39]</w:t>
      </w:r>
      <w:r>
        <w:t xml:space="preserve"> </w:t>
      </w:r>
      <w:r>
        <w:t xml:space="preserve">	</w:t>
      </w:r>
      <w:r>
        <w:t xml:space="preserve">Riches D. Hunter-gatherer structural transformations. The Journal of the Royal Anthropological Institute 1995;1:679–701.</w:t>
      </w:r>
      <w:r>
        <w:t xml:space="preserve"> </w:t>
      </w:r>
      <w:hyperlink r:id="rId130">
        <w:r>
          <w:rPr>
            <w:rStyle w:val="Hyperlink"/>
          </w:rPr>
          <w:t xml:space="preserve">https://doi.org/10.2307/3034956</w:t>
        </w:r>
      </w:hyperlink>
      <w:r>
        <w:t xml:space="preserve">.</w:t>
      </w:r>
    </w:p>
    <w:bookmarkEnd w:id="131"/>
    <w:bookmarkStart w:id="133" w:name="ref-Price_Brown_1985"/>
    <w:p>
      <w:pPr>
        <w:pStyle w:val="Bibliography"/>
      </w:pPr>
      <w:r>
        <w:t xml:space="preserve">[40]</w:t>
      </w:r>
      <w:r>
        <w:t xml:space="preserve"> </w:t>
      </w:r>
      <w:r>
        <w:t xml:space="preserve">	</w:t>
      </w:r>
      <w:r>
        <w:t xml:space="preserve">Price TD, Brown JA. Aspects of hunter–gatherer complexity. In: Price TD, Brown JA, editors. Prehistoric hunters-gatherers, Academic Press; 1985, p. 3–20. https://doi.org/</w:t>
      </w:r>
      <w:hyperlink r:id="rId132">
        <w:r>
          <w:rPr>
            <w:rStyle w:val="Hyperlink"/>
          </w:rPr>
          <w:t xml:space="preserve">https://doi.org/10.1016/B978-0-12-564750-2.50006-8</w:t>
        </w:r>
      </w:hyperlink>
      <w:r>
        <w:t xml:space="preserve">.</w:t>
      </w:r>
    </w:p>
    <w:bookmarkEnd w:id="133"/>
    <w:bookmarkStart w:id="135" w:name="ref-Lane_2017"/>
    <w:p>
      <w:pPr>
        <w:pStyle w:val="Bibliography"/>
      </w:pPr>
      <w:r>
        <w:t xml:space="preserve">[41]</w:t>
      </w:r>
      <w:r>
        <w:t xml:space="preserve"> </w:t>
      </w:r>
      <w:r>
        <w:t xml:space="preserve">	</w:t>
      </w:r>
      <w:r>
        <w:t xml:space="preserve">Lane PJ.</w:t>
      </w:r>
      <w:r>
        <w:t xml:space="preserve"> </w:t>
      </w:r>
      <w:hyperlink r:id="rId134">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35"/>
    <w:bookmarkStart w:id="136" w:name="ref-Pate_2006"/>
    <w:p>
      <w:pPr>
        <w:pStyle w:val="Bibliography"/>
      </w:pPr>
      <w:r>
        <w:t xml:space="preserve">[42]</w:t>
      </w:r>
      <w:r>
        <w:t xml:space="preserve"> </w:t>
      </w:r>
      <w:r>
        <w:t xml:space="preserve">	</w:t>
      </w:r>
      <w:r>
        <w:t xml:space="preserve">Pate F. Hunter-gatherer social complexity at roonka flat, south australia. The social archaeology of australian indigenous societies, Aboriginal Studies Press; 2006, p. 226–41.</w:t>
      </w:r>
    </w:p>
    <w:bookmarkEnd w:id="136"/>
    <w:bookmarkStart w:id="138" w:name="ref-Johnson_2014"/>
    <w:p>
      <w:pPr>
        <w:pStyle w:val="Bibliography"/>
      </w:pPr>
      <w:r>
        <w:t xml:space="preserve">[43]</w:t>
      </w:r>
      <w:r>
        <w:t xml:space="preserve"> </w:t>
      </w:r>
      <w:r>
        <w:t xml:space="preserve">	</w:t>
      </w:r>
      <w:r>
        <w:t xml:space="preserve">Johnson AL. Exploring adaptive variation among hunter-gatherers with binford’s frames of reference. Journal of Archaeological Research 2014;22:1–42.</w:t>
      </w:r>
      <w:r>
        <w:t xml:space="preserve"> </w:t>
      </w:r>
      <w:hyperlink r:id="rId137">
        <w:r>
          <w:rPr>
            <w:rStyle w:val="Hyperlink"/>
          </w:rPr>
          <w:t xml:space="preserve">https://doi.org/10.1007/s10814-013-9068-y</w:t>
        </w:r>
      </w:hyperlink>
      <w:r>
        <w:t xml:space="preserve">.</w:t>
      </w:r>
    </w:p>
    <w:bookmarkEnd w:id="138"/>
    <w:bookmarkStart w:id="140" w:name="ref-Singh_Glowacki_2022"/>
    <w:p>
      <w:pPr>
        <w:pStyle w:val="Bibliography"/>
      </w:pPr>
      <w:r>
        <w:t xml:space="preserve">[44]</w:t>
      </w:r>
      <w:r>
        <w:t xml:space="preserve"> </w:t>
      </w:r>
      <w:r>
        <w:t xml:space="preserve">	</w:t>
      </w:r>
      <w:r>
        <w:t xml:space="preserve">Singh M, Glowacki L. Human social organization during the late pleistocene: Beyond the nomadic-egalitarian model. Evolution and Human Behavior 2022;43:418–31. https://doi.org/</w:t>
      </w:r>
      <w:hyperlink r:id="rId139">
        <w:r>
          <w:rPr>
            <w:rStyle w:val="Hyperlink"/>
          </w:rPr>
          <w:t xml:space="preserve">https://doi.org/10.1016/j.evolhumbehav.2022.07.003</w:t>
        </w:r>
      </w:hyperlink>
      <w:r>
        <w:t xml:space="preserve">.</w:t>
      </w:r>
    </w:p>
    <w:bookmarkEnd w:id="140"/>
    <w:bookmarkStart w:id="142" w:name="ref-Schwendler_2012"/>
    <w:p>
      <w:pPr>
        <w:pStyle w:val="Bibliography"/>
      </w:pPr>
      <w:r>
        <w:t xml:space="preserve">[45]</w:t>
      </w:r>
      <w:r>
        <w:t xml:space="preserve"> </w:t>
      </w:r>
      <w:r>
        <w:t xml:space="preserve">	</w:t>
      </w:r>
      <w:r>
        <w:t xml:space="preserve">Schwendler RH. Diversity in social organization across magdalenian western europe ca. 17–12,000 BP. Quaternary International 2012;272–273:333–53. https://doi.org/</w:t>
      </w:r>
      <w:hyperlink r:id="rId141">
        <w:r>
          <w:rPr>
            <w:rStyle w:val="Hyperlink"/>
          </w:rPr>
          <w:t xml:space="preserve">https://doi.org/10.1016/j.quaint.2012.03.054</w:t>
        </w:r>
      </w:hyperlink>
      <w:r>
        <w:t xml:space="preserve">.</w:t>
      </w:r>
    </w:p>
    <w:bookmarkEnd w:id="142"/>
    <w:bookmarkStart w:id="144" w:name="ref-Morwood_1987"/>
    <w:p>
      <w:pPr>
        <w:pStyle w:val="Bibliography"/>
      </w:pPr>
      <w:r>
        <w:t xml:space="preserve">[46]</w:t>
      </w:r>
      <w:r>
        <w:t xml:space="preserve"> </w:t>
      </w:r>
      <w:r>
        <w:t xml:space="preserve">	</w:t>
      </w:r>
      <w:r>
        <w:t xml:space="preserve">Morwood MJ. The archaeology of social complexity in south-east queensland. Proceedings of the Prehistoric Society 1987;53:337–50.</w:t>
      </w:r>
      <w:r>
        <w:t xml:space="preserve"> </w:t>
      </w:r>
      <w:hyperlink r:id="rId143">
        <w:r>
          <w:rPr>
            <w:rStyle w:val="Hyperlink"/>
          </w:rPr>
          <w:t xml:space="preserve">https://doi.org/10.1017/S0079497X00006265</w:t>
        </w:r>
      </w:hyperlink>
      <w:r>
        <w:t xml:space="preserve">.</w:t>
      </w:r>
    </w:p>
    <w:bookmarkEnd w:id="144"/>
    <w:bookmarkStart w:id="146" w:name="ref-Mattson_2021"/>
    <w:p>
      <w:pPr>
        <w:pStyle w:val="Bibliography"/>
      </w:pPr>
      <w:r>
        <w:t xml:space="preserve">[47]</w:t>
      </w:r>
      <w:r>
        <w:t xml:space="preserve"> </w:t>
      </w:r>
      <w:r>
        <w:t xml:space="preserve">	</w:t>
      </w:r>
      <w:r>
        <w:t xml:space="preserve">Mattson HV. Personal adornment and identity construction in archaeology: In: Mattson HV, editor. Personal adornment and the construction of identity, Oxbow Books; 2021, p. 1–24.</w:t>
      </w:r>
      <w:r>
        <w:t xml:space="preserve"> </w:t>
      </w:r>
      <w:hyperlink r:id="rId145">
        <w:r>
          <w:rPr>
            <w:rStyle w:val="Hyperlink"/>
          </w:rPr>
          <w:t xml:space="preserve">https://doi.org/10.2307/j.ctv24q4z2g.5</w:t>
        </w:r>
      </w:hyperlink>
      <w:r>
        <w:t xml:space="preserve">.</w:t>
      </w:r>
    </w:p>
    <w:bookmarkEnd w:id="146"/>
    <w:bookmarkStart w:id="147" w:name="ref-Larsson_2006"/>
    <w:p>
      <w:pPr>
        <w:pStyle w:val="Bibliography"/>
      </w:pPr>
      <w:r>
        <w:t xml:space="preserve">[48]</w:t>
      </w:r>
      <w:r>
        <w:t xml:space="preserve"> </w:t>
      </w:r>
      <w:r>
        <w:t xml:space="preserve">	</w:t>
      </w:r>
      <w:r>
        <w:t xml:space="preserve">Larsson L. A tooth for a tooth: Tooth ornaments from the graves at the cemeteries of zvejnieki. Back to the origin: New research in the mesolithic-neolithic zvejnieki cemetery and environment, northern latvia, vol. 52, Almqvist &amp; Wiksell International; 2006, p. 253–87.</w:t>
      </w:r>
    </w:p>
    <w:bookmarkEnd w:id="147"/>
    <w:bookmarkStart w:id="149" w:name="ref-Moore_2010"/>
    <w:p>
      <w:pPr>
        <w:pStyle w:val="Bibliography"/>
      </w:pPr>
      <w:r>
        <w:t xml:space="preserve">[49]</w:t>
      </w:r>
      <w:r>
        <w:t xml:space="preserve"> </w:t>
      </w:r>
      <w:r>
        <w:t xml:space="preserve">	</w:t>
      </w:r>
      <w:r>
        <w:t xml:space="preserve">Moore CR. A macroscopic investigation of technological style and the production of middle to late archaic fishhooks at the chiggerville, read, and baker sites, western kentucky. Southeastern Archaeology 2010;29:197–221.</w:t>
      </w:r>
      <w:r>
        <w:t xml:space="preserve"> </w:t>
      </w:r>
      <w:hyperlink r:id="rId148">
        <w:r>
          <w:rPr>
            <w:rStyle w:val="Hyperlink"/>
          </w:rPr>
          <w:t xml:space="preserve">https://doi.org/10.1179/sea.2010.29.1.013</w:t>
        </w:r>
      </w:hyperlink>
      <w:r>
        <w:t xml:space="preserve">.</w:t>
      </w:r>
    </w:p>
    <w:bookmarkEnd w:id="149"/>
    <w:bookmarkStart w:id="151" w:name="ref-Alfonso-Durrruty_Giles_Misarti2015"/>
    <w:p>
      <w:pPr>
        <w:pStyle w:val="Bibliography"/>
      </w:pPr>
      <w:r>
        <w:t xml:space="preserve">[50]</w:t>
      </w:r>
      <w:r>
        <w:t xml:space="preserve"> </w:t>
      </w:r>
      <w:r>
        <w:t xml:space="preserve">	</w:t>
      </w:r>
      <w:r>
        <w:t xml:space="preserve">Alfonso-Durrruty MP, Giles BT, Misarti N, San Roman M, Morello F. Antiquity and geographic distribution of cranial modification among the prehistoric groups of fuego-patagonia, chile. American Journal of Physical Anthropology 2015;158:607–23.</w:t>
      </w:r>
      <w:r>
        <w:t xml:space="preserve"> </w:t>
      </w:r>
      <w:hyperlink r:id="rId150">
        <w:r>
          <w:rPr>
            <w:rStyle w:val="Hyperlink"/>
          </w:rPr>
          <w:t xml:space="preserve">https://doi.org/10.1002/ajpa.22832</w:t>
        </w:r>
      </w:hyperlink>
      <w:r>
        <w:t xml:space="preserve">.</w:t>
      </w:r>
    </w:p>
    <w:bookmarkEnd w:id="151"/>
    <w:bookmarkStart w:id="152" w:name="ref-Vanhaeren_2005"/>
    <w:p>
      <w:pPr>
        <w:pStyle w:val="Bibliography"/>
      </w:pPr>
      <w:r>
        <w:t xml:space="preserve">[51]</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52"/>
    <w:bookmarkStart w:id="154" w:name="ref-Conkey_1985"/>
    <w:p>
      <w:pPr>
        <w:pStyle w:val="Bibliography"/>
      </w:pPr>
      <w:r>
        <w:t xml:space="preserve">[52]</w:t>
      </w:r>
      <w:r>
        <w:t xml:space="preserve"> </w:t>
      </w:r>
      <w:r>
        <w:t xml:space="preserve">	</w:t>
      </w:r>
      <w:r>
        <w:t xml:space="preserve">Conkey M. Ritual communication, social elaboration, and the variable trajectories of paleolithic material culture. In: Price TD, Brown JA, editors. Prehistoric hunters-gatherers, Academic Press; 1985, p. 299–323. https://doi.org/</w:t>
      </w:r>
      <w:hyperlink r:id="rId153">
        <w:r>
          <w:rPr>
            <w:rStyle w:val="Hyperlink"/>
          </w:rPr>
          <w:t xml:space="preserve">https://doi.org/10.1016/B978-0-12-564750-2.50016-0</w:t>
        </w:r>
      </w:hyperlink>
      <w:r>
        <w:t xml:space="preserve">.</w:t>
      </w:r>
    </w:p>
    <w:bookmarkEnd w:id="154"/>
    <w:bookmarkStart w:id="155" w:name="ref-Conkey_1978"/>
    <w:p>
      <w:pPr>
        <w:pStyle w:val="Bibliography"/>
      </w:pPr>
      <w:r>
        <w:t xml:space="preserve">[53]</w:t>
      </w:r>
      <w:r>
        <w:t xml:space="preserve"> </w:t>
      </w:r>
      <w:r>
        <w:t xml:space="preserve">	</w:t>
      </w:r>
      <w:r>
        <w:t xml:space="preserve">Conkey M. Style and information in cultural evolution: Toward a predictive model for the paleolithic. Social archaeology: Beyond subsistence and dating, New York: Academic Press; 1978, p. 61–85.</w:t>
      </w:r>
    </w:p>
    <w:bookmarkEnd w:id="155"/>
    <w:bookmarkStart w:id="157" w:name="ref-Tilley_1982"/>
    <w:p>
      <w:pPr>
        <w:pStyle w:val="Bibliography"/>
      </w:pPr>
      <w:r>
        <w:t xml:space="preserve">[54]</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56">
        <w:r>
          <w:rPr>
            <w:rStyle w:val="Hyperlink"/>
          </w:rPr>
          <w:t xml:space="preserve">https://doi.org/10.1017/CBO9780511558252.004</w:t>
        </w:r>
      </w:hyperlink>
      <w:r>
        <w:t xml:space="preserve">.</w:t>
      </w:r>
    </w:p>
    <w:bookmarkEnd w:id="157"/>
    <w:bookmarkStart w:id="159" w:name="ref-Hodder1979"/>
    <w:p>
      <w:pPr>
        <w:pStyle w:val="Bibliography"/>
      </w:pPr>
      <w:r>
        <w:t xml:space="preserve">[55]</w:t>
      </w:r>
      <w:r>
        <w:t xml:space="preserve"> </w:t>
      </w:r>
      <w:r>
        <w:t xml:space="preserve">	</w:t>
      </w:r>
      <w:r>
        <w:t xml:space="preserve">Hodder I.</w:t>
      </w:r>
      <w:r>
        <w:t xml:space="preserve"> </w:t>
      </w:r>
      <w:hyperlink r:id="rId158">
        <w:r>
          <w:rPr>
            <w:rStyle w:val="Hyperlink"/>
          </w:rPr>
          <w:t xml:space="preserve">Economic and social stress and material culture patterning</w:t>
        </w:r>
      </w:hyperlink>
      <w:r>
        <w:t xml:space="preserve">. American Antiquity 1979;44:446–54.</w:t>
      </w:r>
    </w:p>
    <w:bookmarkEnd w:id="159"/>
    <w:bookmarkStart w:id="161" w:name="ref-Hodder1977"/>
    <w:p>
      <w:pPr>
        <w:pStyle w:val="Bibliography"/>
      </w:pPr>
      <w:r>
        <w:t xml:space="preserve">[56]</w:t>
      </w:r>
      <w:r>
        <w:t xml:space="preserve"> </w:t>
      </w:r>
      <w:r>
        <w:t xml:space="preserve">	</w:t>
      </w:r>
      <w:r>
        <w:t xml:space="preserve">Hodder I.</w:t>
      </w:r>
      <w:r>
        <w:t xml:space="preserve"> </w:t>
      </w:r>
      <w:hyperlink r:id="rId160">
        <w:r>
          <w:rPr>
            <w:rStyle w:val="Hyperlink"/>
          </w:rPr>
          <w:t xml:space="preserve">The distribution of material culture items in the baringo district, western kenya</w:t>
        </w:r>
      </w:hyperlink>
      <w:r>
        <w:t xml:space="preserve">. Man 1977;12:239–69.</w:t>
      </w:r>
    </w:p>
    <w:bookmarkEnd w:id="161"/>
    <w:bookmarkStart w:id="162" w:name="ref-Binford_1990"/>
    <w:p>
      <w:pPr>
        <w:pStyle w:val="Bibliography"/>
      </w:pPr>
      <w:r>
        <w:t xml:space="preserve">[57]</w:t>
      </w:r>
      <w:r>
        <w:t xml:space="preserve"> </w:t>
      </w:r>
      <w:r>
        <w:t xml:space="preserve">	</w:t>
      </w:r>
      <w:r>
        <w:t xml:space="preserve">Binford LR. Mobility, housing, and environment: A comparative study. Journal of Anthropological Research 1990;46:119–52.</w:t>
      </w:r>
    </w:p>
    <w:bookmarkEnd w:id="162"/>
    <w:bookmarkStart w:id="163" w:name="ref-Kelly_1983"/>
    <w:p>
      <w:pPr>
        <w:pStyle w:val="Bibliography"/>
      </w:pPr>
      <w:r>
        <w:t xml:space="preserve">[58]</w:t>
      </w:r>
      <w:r>
        <w:t xml:space="preserve"> </w:t>
      </w:r>
      <w:r>
        <w:t xml:space="preserve">	</w:t>
      </w:r>
      <w:r>
        <w:t xml:space="preserve">Kelly RL. Hunter-gatherer mobility strategies. Journal of Anthropological Research 1983;39:277–306.</w:t>
      </w:r>
    </w:p>
    <w:bookmarkEnd w:id="163"/>
    <w:bookmarkStart w:id="165" w:name="ref-Padilla-Iglesias_Bischoff_2024"/>
    <w:p>
      <w:pPr>
        <w:pStyle w:val="Bibliography"/>
      </w:pPr>
      <w:r>
        <w:t xml:space="preserve">[59]</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 https://doi.org/</w:t>
      </w:r>
      <w:hyperlink r:id="rId164">
        <w:r>
          <w:rPr>
            <w:rStyle w:val="Hyperlink"/>
          </w:rPr>
          <w:t xml:space="preserve">https://doi.org/10.1016/j.jasrep.2024.104798</w:t>
        </w:r>
      </w:hyperlink>
      <w:r>
        <w:t xml:space="preserve">.</w:t>
      </w:r>
    </w:p>
    <w:bookmarkEnd w:id="165"/>
    <w:bookmarkStart w:id="167" w:name="ref-Whallon_2006"/>
    <w:p>
      <w:pPr>
        <w:pStyle w:val="Bibliography"/>
      </w:pPr>
      <w:r>
        <w:t xml:space="preserve">[60]</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66">
        <w:r>
          <w:rPr>
            <w:rStyle w:val="Hyperlink"/>
          </w:rPr>
          <w:t xml:space="preserve">https://doi.org/10.1016/j.jaa.2005.11.004</w:t>
        </w:r>
      </w:hyperlink>
      <w:r>
        <w:t xml:space="preserve">.</w:t>
      </w:r>
    </w:p>
    <w:bookmarkEnd w:id="167"/>
    <w:bookmarkStart w:id="168" w:name="ref-Fitzhugh_Phillips_Gjesfeld_2011"/>
    <w:p>
      <w:pPr>
        <w:pStyle w:val="Bibliography"/>
      </w:pPr>
      <w:r>
        <w:t xml:space="preserve">[61]</w:t>
      </w:r>
      <w:r>
        <w:t xml:space="preserve"> </w:t>
      </w:r>
      <w:r>
        <w:t xml:space="preserve">	</w:t>
      </w:r>
      <w:r>
        <w:t xml:space="preserve">Fitzhugh B, Phillips SC, Gjesfeld E. Modeling hunter-gatherer information networks: An archaeological case study from the kuril islands. Information and its role in hunter-gatherer bands, Cotsen Institute of Archaeology Press at UCLA; 2011, p. 89–115.</w:t>
      </w:r>
    </w:p>
    <w:bookmarkEnd w:id="168"/>
    <w:bookmarkStart w:id="170" w:name="ref-Lovis_Donahue_2011"/>
    <w:p>
      <w:pPr>
        <w:pStyle w:val="Bibliography"/>
      </w:pPr>
      <w:r>
        <w:t xml:space="preserve">[62]</w:t>
      </w:r>
      <w:r>
        <w:t xml:space="preserve"> </w:t>
      </w:r>
      <w:r>
        <w:t xml:space="preserve">	</w:t>
      </w:r>
      <w:r>
        <w:t xml:space="preserve">Lovis WA, Donahue RE. Space, information and knowledge: In: WHALLON R, LOVIS WA, HITCHCOCK RK, editors. Information and its role in hunter-gatherer bands, Cotsen Institute of Archaeology Press at UCLA; 2011, p. 59–84.</w:t>
      </w:r>
      <w:r>
        <w:t xml:space="preserve"> </w:t>
      </w:r>
      <w:hyperlink r:id="rId169">
        <w:r>
          <w:rPr>
            <w:rStyle w:val="Hyperlink"/>
          </w:rPr>
          <w:t xml:space="preserve">https://doi.org/10.2307/j.ctvdmwwz4.7</w:t>
        </w:r>
      </w:hyperlink>
      <w:r>
        <w:t xml:space="preserve">.</w:t>
      </w:r>
    </w:p>
    <w:bookmarkEnd w:id="170"/>
    <w:bookmarkStart w:id="172" w:name="ref-Hitchcock_Ebert_2011"/>
    <w:p>
      <w:pPr>
        <w:pStyle w:val="Bibliography"/>
      </w:pPr>
      <w:r>
        <w:t xml:space="preserve">[63]</w:t>
      </w:r>
      <w:r>
        <w:t xml:space="preserve"> </w:t>
      </w:r>
      <w:r>
        <w:t xml:space="preserve">	</w:t>
      </w:r>
      <w:r>
        <w:t xml:space="preserve">Hitchcock RK, Ebert JI. Where is that job? Hunter-gatherer information systems in complex social environments in the eastern kalahari desert, botswana. In: WHALLON R, LOVIS WA, HITCHCOCK RK, editors. Information and its role in hunter-gatherer bands, Cotsen Institute of Archaeology Press at UCLA; 2011, p. 133–66.</w:t>
      </w:r>
      <w:r>
        <w:t xml:space="preserve"> </w:t>
      </w:r>
      <w:hyperlink r:id="rId171">
        <w:r>
          <w:rPr>
            <w:rStyle w:val="Hyperlink"/>
          </w:rPr>
          <w:t xml:space="preserve">https://doi.org/10.2307/j.ctvdmwwz4.10</w:t>
        </w:r>
      </w:hyperlink>
      <w:r>
        <w:t xml:space="preserve">.</w:t>
      </w:r>
    </w:p>
    <w:bookmarkEnd w:id="172"/>
    <w:bookmarkStart w:id="174" w:name="ref-Romano_Lozano_Fern2022"/>
    <w:p>
      <w:pPr>
        <w:pStyle w:val="Bibliography"/>
      </w:pPr>
      <w:r>
        <w:t xml:space="preserve">[64]</w:t>
      </w:r>
      <w:r>
        <w:t xml:space="preserve"> </w:t>
      </w:r>
      <w:r>
        <w:t xml:space="preserve">	</w:t>
      </w:r>
      <w:r>
        <w:t xml:space="preserve">Romano V, Lozano S, Fernández-López de Pablo J. Reconstructing social networks of late glacial and holocene hunter–gatherers to understand cultural evolution. Philosophical Transactions of the Royal Society B 2022;377. https://doi.org/</w:t>
      </w:r>
      <w:hyperlink r:id="rId173">
        <w:r>
          <w:rPr>
            <w:rStyle w:val="Hyperlink"/>
          </w:rPr>
          <w:t xml:space="preserve">https://doi.org/10.1098/rstb.2020.0318</w:t>
        </w:r>
      </w:hyperlink>
      <w:r>
        <w:t xml:space="preserve">.</w:t>
      </w:r>
    </w:p>
    <w:bookmarkEnd w:id="174"/>
    <w:bookmarkStart w:id="176" w:name="ref-Kelly_2024"/>
    <w:p>
      <w:pPr>
        <w:pStyle w:val="Bibliography"/>
      </w:pPr>
      <w:r>
        <w:t xml:space="preserve">[65]</w:t>
      </w:r>
      <w:r>
        <w:t xml:space="preserve"> </w:t>
      </w:r>
      <w:r>
        <w:t xml:space="preserve">	</w:t>
      </w:r>
      <w:r>
        <w:t xml:space="preserve">Kelly P. Comparing australian message sticks and sequentially marked objects of the upper palaeolithic: Problems and opportunities. Topics in Cognitive Science 2024.</w:t>
      </w:r>
      <w:r>
        <w:t xml:space="preserve"> </w:t>
      </w:r>
      <w:hyperlink r:id="rId175">
        <w:r>
          <w:rPr>
            <w:rStyle w:val="Hyperlink"/>
          </w:rPr>
          <w:t xml:space="preserve">https://doi.org/10.1111/tops.12762</w:t>
        </w:r>
      </w:hyperlink>
      <w:r>
        <w:t xml:space="preserve">.</w:t>
      </w:r>
    </w:p>
    <w:bookmarkEnd w:id="176"/>
    <w:bookmarkStart w:id="178" w:name="ref-Kinahan_2013"/>
    <w:p>
      <w:pPr>
        <w:pStyle w:val="Bibliography"/>
      </w:pPr>
      <w:r>
        <w:t xml:space="preserve">[66]</w:t>
      </w:r>
      <w:r>
        <w:t xml:space="preserve"> </w:t>
      </w:r>
      <w:r>
        <w:t xml:space="preserve">	</w:t>
      </w:r>
      <w:r>
        <w:t xml:space="preserve">Kinahan J. The acquisition of ceramics by hunter-gatherers on the middle zambezi in the first and second millennium AD. Journal of African Archaeology 2013;11:197–209.</w:t>
      </w:r>
      <w:r>
        <w:t xml:space="preserve"> </w:t>
      </w:r>
      <w:hyperlink r:id="rId177">
        <w:r>
          <w:rPr>
            <w:rStyle w:val="Hyperlink"/>
          </w:rPr>
          <w:t xml:space="preserve">https://doi.org/10.3213/2191-5784-10243</w:t>
        </w:r>
      </w:hyperlink>
      <w:r>
        <w:t xml:space="preserve">.</w:t>
      </w:r>
    </w:p>
    <w:bookmarkEnd w:id="178"/>
    <w:bookmarkStart w:id="180" w:name="ref-Newlander_2012"/>
    <w:p>
      <w:pPr>
        <w:pStyle w:val="Bibliography"/>
      </w:pPr>
      <w:r>
        <w:t xml:space="preserve">[67]</w:t>
      </w:r>
      <w:r>
        <w:t xml:space="preserve"> </w:t>
      </w:r>
      <w:r>
        <w:t xml:space="preserve">	</w:t>
      </w:r>
      <w:r>
        <w:t xml:space="preserve">Newlander KS.</w:t>
      </w:r>
      <w:r>
        <w:t xml:space="preserve"> </w:t>
      </w:r>
      <w:hyperlink r:id="rId179">
        <w:r>
          <w:rPr>
            <w:rStyle w:val="Hyperlink"/>
          </w:rPr>
          <w:t xml:space="preserve">Exchange, embedded procurement, and hunter-gatherer mobility: A case study from the north american great basin</w:t>
        </w:r>
      </w:hyperlink>
      <w:r>
        <w:t xml:space="preserve">. Ph.D. University of Michigan, 2012.</w:t>
      </w:r>
    </w:p>
    <w:bookmarkEnd w:id="180"/>
    <w:bookmarkStart w:id="182" w:name="ref-Iizuka_Ferguson_Izuho_2022"/>
    <w:p>
      <w:pPr>
        <w:pStyle w:val="Bibliography"/>
      </w:pPr>
      <w:r>
        <w:t xml:space="preserve">[68]</w:t>
      </w:r>
      <w:r>
        <w:t xml:space="preserve"> </w:t>
      </w:r>
      <w:r>
        <w:t xml:space="preserve">	</w:t>
      </w:r>
      <w:r>
        <w:t xml:space="preserve">Iizuka F, Ferguson JR, Izuho M. Late pleistocene pottery production and exchange: Provenance studies of hunter-gatherer wares from southern kyushu, japan by neutron activation analysis. PLOS ONE 2022;17:e0265329.</w:t>
      </w:r>
      <w:r>
        <w:t xml:space="preserve"> </w:t>
      </w:r>
      <w:hyperlink r:id="rId181">
        <w:r>
          <w:rPr>
            <w:rStyle w:val="Hyperlink"/>
          </w:rPr>
          <w:t xml:space="preserve">https://doi.org/10.1371/journal.pone.0265329</w:t>
        </w:r>
      </w:hyperlink>
      <w:r>
        <w:t xml:space="preserve">.</w:t>
      </w:r>
    </w:p>
    <w:bookmarkEnd w:id="182"/>
    <w:bookmarkStart w:id="184" w:name="ref-conkley_agg"/>
    <w:p>
      <w:pPr>
        <w:pStyle w:val="Bibliography"/>
      </w:pPr>
      <w:r>
        <w:t xml:space="preserve">[69]</w:t>
      </w:r>
      <w:r>
        <w:t xml:space="preserve"> </w:t>
      </w:r>
      <w:r>
        <w:t xml:space="preserve">	</w:t>
      </w:r>
      <w:r>
        <w:t xml:space="preserve">Conkey M, Beltran A, Beltrán A, Clark GA, Echegaray JG, Echegaray JG, et al.</w:t>
      </w:r>
      <w:r>
        <w:t xml:space="preserve"> </w:t>
      </w:r>
      <w:hyperlink r:id="rId183">
        <w:r>
          <w:rPr>
            <w:rStyle w:val="Hyperlink"/>
          </w:rPr>
          <w:t xml:space="preserve">The identification of prehistoric hunter-gatherer aggregation sites: The case of altamira [and comments and reply]</w:t>
        </w:r>
      </w:hyperlink>
      <w:r>
        <w:t xml:space="preserve">. Current Anthropology 1980;21:609–30.</w:t>
      </w:r>
    </w:p>
    <w:bookmarkEnd w:id="184"/>
    <w:bookmarkStart w:id="186" w:name="ref-Maher_Conkey_2019"/>
    <w:p>
      <w:pPr>
        <w:pStyle w:val="Bibliography"/>
      </w:pPr>
      <w:r>
        <w:t xml:space="preserve">[70]</w:t>
      </w:r>
      <w:r>
        <w:t xml:space="preserve"> </w:t>
      </w:r>
      <w:r>
        <w:t xml:space="preserve">	</w:t>
      </w:r>
      <w:r>
        <w:t xml:space="preserve">Maher LA, Conkey M. Homes for hunters?: Exploring the concept of home at hunter-gatherer sites in upper paleolithic europe and epipaleolithic southwest asia. Current Anthropology 2019;60:91–137.</w:t>
      </w:r>
      <w:r>
        <w:t xml:space="preserve"> </w:t>
      </w:r>
      <w:hyperlink r:id="rId185">
        <w:r>
          <w:rPr>
            <w:rStyle w:val="Hyperlink"/>
          </w:rPr>
          <w:t xml:space="preserve">https://doi.org/10.1086/701523</w:t>
        </w:r>
      </w:hyperlink>
      <w:r>
        <w:t xml:space="preserve">.</w:t>
      </w:r>
    </w:p>
    <w:bookmarkEnd w:id="186"/>
    <w:bookmarkStart w:id="187" w:name="ref-bahn1982inter"/>
    <w:p>
      <w:pPr>
        <w:pStyle w:val="Bibliography"/>
      </w:pPr>
      <w:r>
        <w:t xml:space="preserve">[71]</w:t>
      </w:r>
      <w:r>
        <w:t xml:space="preserve"> </w:t>
      </w:r>
      <w:r>
        <w:t xml:space="preserve">	</w:t>
      </w:r>
      <w:r>
        <w:t xml:space="preserve">Bahn PG. Inter-site and inter-regional links during the upper palaeolithic: The pyrenean evidence. Oxford Journal of Archaeology 1982;1:247–68.</w:t>
      </w:r>
    </w:p>
    <w:bookmarkEnd w:id="187"/>
    <w:bookmarkStart w:id="189" w:name="ref-Bourdier_2013"/>
    <w:p>
      <w:pPr>
        <w:pStyle w:val="Bibliography"/>
      </w:pPr>
      <w:r>
        <w:t xml:space="preserve">[72]</w:t>
      </w:r>
      <w:r>
        <w:t xml:space="preserve"> </w:t>
      </w:r>
      <w:r>
        <w:t xml:space="preserve">	</w:t>
      </w:r>
      <w:r>
        <w:t xml:space="preserve">Bourdier C. Rock art and social geography in the upper paleolithic. Contribution to the socio-cultural function of the roc-aux-sorciers rock-shelter (angles-sur-l’anglin, france) from the viewpoint of its sculpted frieze. Journal of Anthropological Archaeology 2013;32:368–82.</w:t>
      </w:r>
      <w:r>
        <w:t xml:space="preserve"> </w:t>
      </w:r>
      <w:hyperlink r:id="rId188">
        <w:r>
          <w:rPr>
            <w:rStyle w:val="Hyperlink"/>
          </w:rPr>
          <w:t xml:space="preserve">https://doi.org/10.1016/j.jaa.2013.05.005</w:t>
        </w:r>
      </w:hyperlink>
      <w:r>
        <w:t xml:space="preserve">.</w:t>
      </w:r>
    </w:p>
    <w:bookmarkEnd w:id="189"/>
    <w:bookmarkStart w:id="191" w:name="ref-Svoboda_2013"/>
    <w:p>
      <w:pPr>
        <w:pStyle w:val="Bibliography"/>
      </w:pPr>
      <w:r>
        <w:t xml:space="preserve">[73]</w:t>
      </w:r>
      <w:r>
        <w:t xml:space="preserve"> </w:t>
      </w:r>
      <w:r>
        <w:t xml:space="preserve">	</w:t>
      </w:r>
      <w:r>
        <w:t xml:space="preserve">Svoboda J. Art gravettien de pavlov i et VI: Comparaison d’un site d’agrégation et d’un site épisodique. Palethnologie Archéologie Et Sciences Humaines 2013.</w:t>
      </w:r>
      <w:r>
        <w:t xml:space="preserve"> </w:t>
      </w:r>
      <w:hyperlink r:id="rId190">
        <w:r>
          <w:rPr>
            <w:rStyle w:val="Hyperlink"/>
          </w:rPr>
          <w:t xml:space="preserve">https://doi.org/10.4000/palethnologie.4945</w:t>
        </w:r>
      </w:hyperlink>
      <w:r>
        <w:t xml:space="preserve">.</w:t>
      </w:r>
    </w:p>
    <w:bookmarkEnd w:id="191"/>
    <w:bookmarkStart w:id="192" w:name="ref-white1992rethinking"/>
    <w:p>
      <w:pPr>
        <w:pStyle w:val="Bibliography"/>
      </w:pPr>
      <w:r>
        <w:t xml:space="preserve">[74]</w:t>
      </w:r>
      <w:r>
        <w:t xml:space="preserve"> </w:t>
      </w:r>
      <w:r>
        <w:t xml:space="preserve">	</w:t>
      </w:r>
      <w:r>
        <w:t xml:space="preserve">White R. Rethinking the middle/upper paleolithic transition. Current Anthropology 1992;33:85–108.</w:t>
      </w:r>
    </w:p>
    <w:bookmarkEnd w:id="192"/>
    <w:bookmarkStart w:id="193" w:name="X79d7c52b9cdbe72fc1b94e51c6ee6057d0c4a50"/>
    <w:p>
      <w:pPr>
        <w:pStyle w:val="Bibliography"/>
      </w:pPr>
      <w:r>
        <w:t xml:space="preserve">[75]</w:t>
      </w:r>
      <w:r>
        <w:t xml:space="preserve"> </w:t>
      </w:r>
      <w:r>
        <w:t xml:space="preserve">	</w:t>
      </w:r>
      <w:r>
        <w:t xml:space="preserve">Soffer O, Adovasio JM, Enloe JG, Audouze F, Zubrow EBW. The roles of perishable technologies in upper paleolithic lives. The magdalenian household, SUNY Press; 2010, p. 235–44.</w:t>
      </w:r>
    </w:p>
    <w:bookmarkEnd w:id="193"/>
    <w:bookmarkStart w:id="195" w:name="ref-montet-white1994"/>
    <w:p>
      <w:pPr>
        <w:pStyle w:val="Bibliography"/>
      </w:pPr>
      <w:r>
        <w:t xml:space="preserve">[76]</w:t>
      </w:r>
      <w:r>
        <w:t xml:space="preserve"> </w:t>
      </w:r>
      <w:r>
        <w:t xml:space="preserve">	</w:t>
      </w:r>
      <w:r>
        <w:t xml:space="preserve">Montet-White A.</w:t>
      </w:r>
      <w:r>
        <w:t xml:space="preserve"> </w:t>
      </w:r>
      <w:hyperlink r:id="rId194">
        <w:r>
          <w:rPr>
            <w:rStyle w:val="Hyperlink"/>
          </w:rPr>
          <w:t xml:space="preserve">Alternative interpretations of the late upper paleolithic in central europe</w:t>
        </w:r>
      </w:hyperlink>
      <w:r>
        <w:t xml:space="preserve">. Annual Review of Anthropology 1994;23:483–508.</w:t>
      </w:r>
    </w:p>
    <w:bookmarkEnd w:id="195"/>
    <w:bookmarkStart w:id="197" w:name="ref-Frerebeau_2025"/>
    <w:p>
      <w:pPr>
        <w:pStyle w:val="Bibliography"/>
      </w:pPr>
      <w:r>
        <w:t xml:space="preserve">[77]</w:t>
      </w:r>
      <w:r>
        <w:t xml:space="preserve"> </w:t>
      </w:r>
      <w:r>
        <w:t xml:space="preserve">	</w:t>
      </w:r>
      <w:r>
        <w:t xml:space="preserve">Frerebeau N. Tabula: Analysis and visualization of archaeological count data 2025.</w:t>
      </w:r>
      <w:r>
        <w:t xml:space="preserve"> </w:t>
      </w:r>
      <w:hyperlink r:id="rId196">
        <w:r>
          <w:rPr>
            <w:rStyle w:val="Hyperlink"/>
          </w:rPr>
          <w:t xml:space="preserve">https://doi.org/10.5281/zenodo.15397990</w:t>
        </w:r>
      </w:hyperlink>
      <w:r>
        <w:t xml:space="preserve">.</w:t>
      </w:r>
    </w:p>
    <w:bookmarkEnd w:id="197"/>
    <w:bookmarkStart w:id="199" w:name="ref-Kintigh_1984"/>
    <w:p>
      <w:pPr>
        <w:pStyle w:val="Bibliography"/>
      </w:pPr>
      <w:r>
        <w:t xml:space="preserve">[78]</w:t>
      </w:r>
      <w:r>
        <w:t xml:space="preserve"> </w:t>
      </w:r>
      <w:r>
        <w:t xml:space="preserve">	</w:t>
      </w:r>
      <w:r>
        <w:t xml:space="preserve">Kintigh KW. Measuring archaeological diversity by comparison with simulated assemblages. American Antiquity 1984;49:44–54.</w:t>
      </w:r>
      <w:r>
        <w:t xml:space="preserve"> </w:t>
      </w:r>
      <w:hyperlink r:id="rId198">
        <w:r>
          <w:rPr>
            <w:rStyle w:val="Hyperlink"/>
          </w:rPr>
          <w:t xml:space="preserve">https://doi.org/10.2307/280511</w:t>
        </w:r>
      </w:hyperlink>
      <w:r>
        <w:t xml:space="preserve">.</w:t>
      </w:r>
    </w:p>
    <w:bookmarkEnd w:id="199"/>
    <w:bookmarkStart w:id="201" w:name="X8c17deb08b87fbfa26556dda630532ff62c8bd1"/>
    <w:p>
      <w:pPr>
        <w:pStyle w:val="Bibliography"/>
      </w:pPr>
      <w:r>
        <w:t xml:space="preserve">[79]</w:t>
      </w:r>
      <w:r>
        <w:t xml:space="preserve"> </w:t>
      </w:r>
      <w:r>
        <w:t xml:space="preserve">	</w:t>
      </w:r>
      <w:r>
        <w:t xml:space="preserve">Shao Y, Wegener C, Klein K, Schmidt I, Weniger G-C. Reconstruction of human dispersal during aurignacian on pan-european scale. Nature Communications 2024;15:7406.</w:t>
      </w:r>
      <w:r>
        <w:t xml:space="preserve"> </w:t>
      </w:r>
      <w:hyperlink r:id="rId200">
        <w:r>
          <w:rPr>
            <w:rStyle w:val="Hyperlink"/>
          </w:rPr>
          <w:t xml:space="preserve">https://doi.org/10.1038/s41467-024-51349-y</w:t>
        </w:r>
      </w:hyperlink>
      <w:r>
        <w:t xml:space="preserve">.</w:t>
      </w:r>
    </w:p>
    <w:bookmarkEnd w:id="201"/>
    <w:bookmarkStart w:id="203" w:name="ref-smith1992Design"/>
    <w:p>
      <w:pPr>
        <w:pStyle w:val="Bibliography"/>
      </w:pPr>
      <w:r>
        <w:t xml:space="preserve">[80]</w:t>
      </w:r>
      <w:r>
        <w:t xml:space="preserve"> </w:t>
      </w:r>
      <w:r>
        <w:t xml:space="preserve">	</w:t>
      </w:r>
      <w:r>
        <w:t xml:space="preserve">Smith C.</w:t>
      </w:r>
      <w:r>
        <w:t xml:space="preserve"> </w:t>
      </w:r>
      <w:hyperlink r:id="rId202">
        <w:r>
          <w:rPr>
            <w:rStyle w:val="Hyperlink"/>
          </w:rPr>
          <w:t xml:space="preserve">Designed dreaming: Assessing the relationship between style, social structure and environment in aboriginal australia</w:t>
        </w:r>
      </w:hyperlink>
      <w:r>
        <w:t xml:space="preserve">. Australian Archaeology 1992:51–1.</w:t>
      </w:r>
    </w:p>
    <w:bookmarkEnd w:id="203"/>
    <w:bookmarkStart w:id="204" w:name="ref-hays1993symbol"/>
    <w:p>
      <w:pPr>
        <w:pStyle w:val="Bibliography"/>
      </w:pPr>
      <w:r>
        <w:t xml:space="preserve">[81]</w:t>
      </w:r>
      <w:r>
        <w:t xml:space="preserve"> </w:t>
      </w:r>
      <w:r>
        <w:t xml:space="preserve">	</w:t>
      </w:r>
      <w:r>
        <w:t xml:space="preserve">Hays KA. When is a symbol archaeologically meaningful? Meaning, function, and prehistoric visual arts. Archaeological Theory: Who Sets the Agenda 1993:81–92.</w:t>
      </w:r>
    </w:p>
    <w:bookmarkEnd w:id="204"/>
    <w:bookmarkStart w:id="205" w:name="ref-McDonald_Veth_Lilley_2006"/>
    <w:p>
      <w:pPr>
        <w:pStyle w:val="Bibliography"/>
      </w:pPr>
      <w:r>
        <w:t xml:space="preserve">[82]</w:t>
      </w:r>
      <w:r>
        <w:t xml:space="preserve"> </w:t>
      </w:r>
      <w:r>
        <w:t xml:space="preserve">	</w:t>
      </w:r>
      <w:r>
        <w:t xml:space="preserve">McDonald J, Veth P, Lilley I. Rock art and social identity: A comparison of holocene graphic systems in arid and fertile environments. Archaeology of oceania: Australia and the pacific islands, Malden, Mass: Blackwell Publishing; 2006, p. 96–115.</w:t>
      </w:r>
    </w:p>
    <w:bookmarkEnd w:id="205"/>
    <w:bookmarkStart w:id="207" w:name="ref-Lourandos_1985"/>
    <w:p>
      <w:pPr>
        <w:pStyle w:val="Bibliography"/>
      </w:pPr>
      <w:r>
        <w:t xml:space="preserve">[83]</w:t>
      </w:r>
      <w:r>
        <w:t xml:space="preserve"> </w:t>
      </w:r>
      <w:r>
        <w:t xml:space="preserve">	</w:t>
      </w:r>
      <w:r>
        <w:t xml:space="preserve">Lourandos H. 15 - intensification and australian prehistory. In: Price TD, Brown JA, editors. Prehistoric hunters-gatherers, Academic Press; 1985, p. 385–423. https://doi.org/</w:t>
      </w:r>
      <w:hyperlink r:id="rId206">
        <w:r>
          <w:rPr>
            <w:rStyle w:val="Hyperlink"/>
          </w:rPr>
          <w:t xml:space="preserve">https://doi.org/10.1016/B978-0-12-564750-2.50020-2</w:t>
        </w:r>
      </w:hyperlink>
      <w:r>
        <w:t xml:space="preserve">.</w:t>
      </w:r>
    </w:p>
    <w:bookmarkEnd w:id="207"/>
    <w:bookmarkStart w:id="209" w:name="ref-barton_clark_cohen1994"/>
    <w:p>
      <w:pPr>
        <w:pStyle w:val="Bibliography"/>
      </w:pPr>
      <w:r>
        <w:t xml:space="preserve">[84]</w:t>
      </w:r>
      <w:r>
        <w:t xml:space="preserve"> </w:t>
      </w:r>
      <w:r>
        <w:t xml:space="preserve">	</w:t>
      </w:r>
      <w:r>
        <w:t xml:space="preserve">Barton CM, Clark GA, Cohen AE.</w:t>
      </w:r>
      <w:r>
        <w:t xml:space="preserve"> </w:t>
      </w:r>
      <w:hyperlink r:id="rId208">
        <w:r>
          <w:rPr>
            <w:rStyle w:val="Hyperlink"/>
          </w:rPr>
          <w:t xml:space="preserve">Art as information: Explaining upper palaeolithic art in western europe</w:t>
        </w:r>
      </w:hyperlink>
      <w:r>
        <w:t xml:space="preserve">. World Archaeology 1994;26:185–207.</w:t>
      </w:r>
    </w:p>
    <w:bookmarkEnd w:id="209"/>
    <w:bookmarkStart w:id="210" w:name="ref-mcdonald2012social"/>
    <w:p>
      <w:pPr>
        <w:pStyle w:val="Bibliography"/>
      </w:pPr>
      <w:r>
        <w:t xml:space="preserve">[85]</w:t>
      </w:r>
      <w:r>
        <w:t xml:space="preserve"> </w:t>
      </w:r>
      <w:r>
        <w:t xml:space="preserve">	</w:t>
      </w:r>
      <w:r>
        <w:t xml:space="preserve">McDonald J, Veth P. The social dynamics of aggregation and dispersal in the western desert. A Companion to Rock Art 2012:90–102.</w:t>
      </w:r>
    </w:p>
    <w:bookmarkEnd w:id="210"/>
    <w:bookmarkStart w:id="211" w:name="ref-bernardini2005reconsidering"/>
    <w:p>
      <w:pPr>
        <w:pStyle w:val="Bibliography"/>
      </w:pPr>
      <w:r>
        <w:t xml:space="preserve">[86]</w:t>
      </w:r>
      <w:r>
        <w:t xml:space="preserve"> </w:t>
      </w:r>
      <w:r>
        <w:t xml:space="preserve">	</w:t>
      </w:r>
      <w:r>
        <w:t xml:space="preserve">Bernardini W. Reconsidering spatial and temporal aspects of prehistoric cultural identity: A case study from the american southwest. American Antiquity 2005;70:31–54.</w:t>
      </w:r>
    </w:p>
    <w:bookmarkEnd w:id="211"/>
    <w:bookmarkStart w:id="212" w:name="ref-wiessner1984reconsidering"/>
    <w:p>
      <w:pPr>
        <w:pStyle w:val="Bibliography"/>
      </w:pPr>
      <w:r>
        <w:t xml:space="preserve">[87]</w:t>
      </w:r>
      <w:r>
        <w:t xml:space="preserve"> </w:t>
      </w:r>
      <w:r>
        <w:t xml:space="preserve">	</w:t>
      </w:r>
      <w:r>
        <w:t xml:space="preserve">Wiessner P. Reconsidering the behavioral basis for style: A case study among the kalahari san. Journal of Anthropological Archaeology 1984;3:190–234.</w:t>
      </w:r>
    </w:p>
    <w:bookmarkEnd w:id="212"/>
    <w:bookmarkStart w:id="214" w:name="ref-smith1992"/>
    <w:p>
      <w:pPr>
        <w:pStyle w:val="Bibliography"/>
      </w:pPr>
      <w:r>
        <w:t xml:space="preserve">[88]</w:t>
      </w:r>
      <w:r>
        <w:t xml:space="preserve"> </w:t>
      </w:r>
      <w:r>
        <w:t xml:space="preserve">	</w:t>
      </w:r>
      <w:r>
        <w:t xml:space="preserve">Smith C.</w:t>
      </w:r>
      <w:r>
        <w:t xml:space="preserve"> </w:t>
      </w:r>
      <w:hyperlink r:id="rId213">
        <w:r>
          <w:rPr>
            <w:rStyle w:val="Hyperlink"/>
          </w:rPr>
          <w:t xml:space="preserve">Colonising with style: Reviewing the nexus between rock art, territorially and the colonisation and occupation of sahul</w:t>
        </w:r>
      </w:hyperlink>
      <w:r>
        <w:t xml:space="preserve">. Australian Archaeology 1992:34–42.</w:t>
      </w:r>
    </w:p>
    <w:bookmarkEnd w:id="214"/>
    <w:bookmarkStart w:id="216" w:name="X4fed35d53d406ce17aea32f9d6f163fcb563519"/>
    <w:p>
      <w:pPr>
        <w:pStyle w:val="Bibliography"/>
      </w:pPr>
      <w:r>
        <w:t xml:space="preserve">[89]</w:t>
      </w:r>
      <w:r>
        <w:t xml:space="preserve"> </w:t>
      </w:r>
      <w:r>
        <w:t xml:space="preserve">	</w:t>
      </w:r>
      <w:r>
        <w:t xml:space="preserve">Kovacevic M, Shennan S, Vanhaeren M, d’Errico F, Thomas MG. Simulating geographical variation in material culture: Were early modern humans in europe ethnically structured? In: Mesoudi A, Aoki K, editors. Learning strategies and cultural evolution during the palaeolithic, Springer Japan; 2015, p. 103–20.</w:t>
      </w:r>
      <w:r>
        <w:t xml:space="preserve"> </w:t>
      </w:r>
      <w:hyperlink r:id="rId215">
        <w:r>
          <w:rPr>
            <w:rStyle w:val="Hyperlink"/>
          </w:rPr>
          <w:t xml:space="preserve">https://doi.org/10.1007/978-4-431-55363-2_8</w:t>
        </w:r>
      </w:hyperlink>
      <w:r>
        <w:t xml:space="preserve">.</w:t>
      </w:r>
    </w:p>
    <w:bookmarkEnd w:id="216"/>
    <w:bookmarkStart w:id="217" w:name="ref-Cavalli_Sforza_Feldman_1981"/>
    <w:p>
      <w:pPr>
        <w:pStyle w:val="Bibliography"/>
      </w:pPr>
      <w:r>
        <w:t xml:space="preserve">[90]</w:t>
      </w:r>
      <w:r>
        <w:t xml:space="preserve"> </w:t>
      </w:r>
      <w:r>
        <w:t xml:space="preserve">	</w:t>
      </w:r>
      <w:r>
        <w:t xml:space="preserve">Cavalli-Sforza LL, Feldman MW. Cultural transmission and evolution: A quantitative approach. Princeton University Press; 1981.</w:t>
      </w:r>
    </w:p>
    <w:bookmarkEnd w:id="217"/>
    <w:bookmarkStart w:id="218" w:name="ref-Boyd_Richerson_1985"/>
    <w:p>
      <w:pPr>
        <w:pStyle w:val="Bibliography"/>
      </w:pPr>
      <w:r>
        <w:t xml:space="preserve">[91]</w:t>
      </w:r>
      <w:r>
        <w:t xml:space="preserve"> </w:t>
      </w:r>
      <w:r>
        <w:t xml:space="preserve">	</w:t>
      </w:r>
      <w:r>
        <w:t xml:space="preserve">Boyd R, Richerson PJ. Culture and the evolutionary process. University of Chicago Press; 1985.</w:t>
      </w:r>
    </w:p>
    <w:bookmarkEnd w:id="218"/>
    <w:bookmarkStart w:id="219" w:name="ref-Richerson_Boyd_2005"/>
    <w:p>
      <w:pPr>
        <w:pStyle w:val="Bibliography"/>
      </w:pPr>
      <w:r>
        <w:t xml:space="preserve">[92]</w:t>
      </w:r>
      <w:r>
        <w:t xml:space="preserve"> </w:t>
      </w:r>
      <w:r>
        <w:t xml:space="preserve">	</w:t>
      </w:r>
      <w:r>
        <w:t xml:space="preserve">Richerson PJ, Boyd R. Not by genes alone: How culture transformed human evolution. University of Chicago Press; 2005.</w:t>
      </w:r>
    </w:p>
    <w:bookmarkEnd w:id="219"/>
    <w:bookmarkStart w:id="220" w:name="ref-Henrich_2004"/>
    <w:p>
      <w:pPr>
        <w:pStyle w:val="Bibliography"/>
      </w:pPr>
      <w:r>
        <w:t xml:space="preserve">[93]</w:t>
      </w:r>
      <w:r>
        <w:t xml:space="preserve"> </w:t>
      </w:r>
      <w:r>
        <w:t xml:space="preserve">	</w:t>
      </w:r>
      <w:r>
        <w:t xml:space="preserve">Henrich J. Demography and cultural evolution: How adaptive cultural processes can produce maladaptive losses—the tasmanian case. American Antiquity 2004;44:185–201.</w:t>
      </w:r>
    </w:p>
    <w:bookmarkEnd w:id="220"/>
    <w:bookmarkStart w:id="221" w:name="ref-Migliano_2020"/>
    <w:p>
      <w:pPr>
        <w:pStyle w:val="Bibliography"/>
      </w:pPr>
      <w:r>
        <w:t xml:space="preserve">[94]</w:t>
      </w:r>
      <w:r>
        <w:t xml:space="preserve"> </w:t>
      </w:r>
      <w:r>
        <w:t xml:space="preserve">	</w:t>
      </w:r>
      <w:r>
        <w:t xml:space="preserve">Migliano AB, Battiston F, Viguier S, Page AE, Dyble M, Schlaepfer R, et al. Hunter-gatherer multilevel sociality accelerates cumulative cultural evolution. Science Advances 2020;6:eaax5913.</w:t>
      </w:r>
    </w:p>
    <w:bookmarkEnd w:id="221"/>
    <w:bookmarkStart w:id="222" w:name="ref-Allen_2020"/>
    <w:p>
      <w:pPr>
        <w:pStyle w:val="Bibliography"/>
      </w:pPr>
      <w:r>
        <w:t xml:space="preserve">[95]</w:t>
      </w:r>
      <w:r>
        <w:t xml:space="preserve"> </w:t>
      </w:r>
      <w:r>
        <w:t xml:space="preserve">	</w:t>
      </w:r>
      <w:r>
        <w:t xml:space="preserve">Allen J. A multilevel analytical framework for studying cultural evolution in prehistoric hunter–gatherer societies. Biological Reviews 2020;59:2527–46.</w:t>
      </w:r>
    </w:p>
    <w:bookmarkEnd w:id="222"/>
    <w:bookmarkStart w:id="223" w:name="ref-Buchanan_Hamilton_2023"/>
    <w:p>
      <w:pPr>
        <w:pStyle w:val="Bibliography"/>
      </w:pPr>
      <w:r>
        <w:t xml:space="preserve">[96]</w:t>
      </w:r>
      <w:r>
        <w:t xml:space="preserve"> </w:t>
      </w:r>
      <w:r>
        <w:t xml:space="preserve">	</w:t>
      </w:r>
      <w:r>
        <w:t xml:space="preserve">Buchanan B, Hamilton MJ. Networks and cultural transmission in hunter-gatherer societies. The oxford handbook of archaeological network research, Oxford University Press; 2023, p. 1–25.</w:t>
      </w:r>
    </w:p>
    <w:bookmarkEnd w:id="223"/>
    <w:bookmarkStart w:id="224" w:name="ref-Eerkens_Lipo_2005"/>
    <w:p>
      <w:pPr>
        <w:pStyle w:val="Bibliography"/>
      </w:pPr>
      <w:r>
        <w:t xml:space="preserve">[97]</w:t>
      </w:r>
      <w:r>
        <w:t xml:space="preserve"> </w:t>
      </w:r>
      <w:r>
        <w:t xml:space="preserve">	</w:t>
      </w:r>
      <w:r>
        <w:t xml:space="preserve">Eerkens JW, Lipo CP. Cultural transmission and the evolution of material culture: Modeling the coefficient of variation. American Antiquity 2005;48:1–21.</w:t>
      </w:r>
    </w:p>
    <w:bookmarkEnd w:id="224"/>
    <w:bookmarkStart w:id="225" w:name="ref-Bentz_Dutkiewicz_2025"/>
    <w:p>
      <w:pPr>
        <w:pStyle w:val="Bibliography"/>
      </w:pPr>
      <w:r>
        <w:t xml:space="preserve">[98]</w:t>
      </w:r>
      <w:r>
        <w:t xml:space="preserve"> </w:t>
      </w:r>
      <w:r>
        <w:t xml:space="preserve">	</w:t>
      </w:r>
      <w:r>
        <w:t xml:space="preserve">Bentz C, Dutkiewicz E. Humans 40,000 y ago developed a system of conventional signs. Proceedings of the National Academy of Sciences 2025:1–8.</w:t>
      </w:r>
    </w:p>
    <w:bookmarkEnd w:id="225"/>
    <w:bookmarkStart w:id="226" w:name="ref-Bacon_2023"/>
    <w:p>
      <w:pPr>
        <w:pStyle w:val="Bibliography"/>
      </w:pPr>
      <w:r>
        <w:t xml:space="preserve">[99]</w:t>
      </w:r>
      <w:r>
        <w:t xml:space="preserve"> </w:t>
      </w:r>
      <w:r>
        <w:t xml:space="preserve">	</w:t>
      </w:r>
      <w:r>
        <w:t xml:space="preserve">Bacon B, Khatiri A, Palmer J, Freeth T, Pettitt P, Kentridge RW. An upper palaeolithic proto-writing system and phenological calendar. Cambridge Archaeological Journal 2023;100:371–89.</w:t>
      </w:r>
    </w:p>
    <w:bookmarkEnd w:id="226"/>
    <w:bookmarkStart w:id="228" w:name="Xa4990169aeb885a690070ab4fd90972c31994f8"/>
    <w:p>
      <w:pPr>
        <w:pStyle w:val="Bibliography"/>
      </w:pPr>
      <w:r>
        <w:t xml:space="preserve">[100]</w:t>
      </w:r>
      <w:r>
        <w:t xml:space="preserve"> </w:t>
      </w:r>
      <w:r>
        <w:t xml:space="preserve">	</w:t>
      </w:r>
      <w:r>
        <w:t xml:space="preserve">d’Errico F, Courtenay LA, Núñez R, Santos da Rosa N, Sproat R, Blasi D. Inferring conventional sign systems from paleolithic engravings: Methodological and theoretical challenges. SSRN Electronic Journal 2026.</w:t>
      </w:r>
      <w:r>
        <w:t xml:space="preserve"> </w:t>
      </w:r>
      <w:hyperlink r:id="rId227">
        <w:r>
          <w:rPr>
            <w:rStyle w:val="Hyperlink"/>
          </w:rPr>
          <w:t xml:space="preserve">https://doi.org/10.2139/ssrn.7053279</w:t>
        </w:r>
      </w:hyperlink>
      <w:r>
        <w:t xml:space="preserve">.</w:t>
      </w:r>
    </w:p>
    <w:bookmarkEnd w:id="228"/>
    <w:bookmarkStart w:id="230" w:name="X8ea620419c64d551554c48b7075c9934881930b"/>
    <w:p>
      <w:pPr>
        <w:pStyle w:val="Bibliography"/>
      </w:pPr>
      <w:r>
        <w:t xml:space="preserve">[101]</w:t>
      </w:r>
      <w:r>
        <w:t xml:space="preserve"> </w:t>
      </w:r>
      <w:r>
        <w:t xml:space="preserve">	</w:t>
      </w:r>
      <w:r>
        <w:t xml:space="preserve">Garcı́a-Bustos M, Rivero O, Sauvet G, Garcı́a-Bustos P. Discussion:</w:t>
      </w:r>
      <w:r>
        <w:t xml:space="preserve"> </w:t>
      </w:r>
      <w:r>
        <w:t xml:space="preserve">“An upper palaeolithic proto-writing system and phenological calendar”</w:t>
      </w:r>
      <w:r>
        <w:t xml:space="preserve"> </w:t>
      </w:r>
      <w:r>
        <w:t xml:space="preserve">by bennett bacon et al. (2023). Journal of Paleolithic Archaeology 2023;6:32.</w:t>
      </w:r>
      <w:r>
        <w:t xml:space="preserve"> </w:t>
      </w:r>
      <w:hyperlink r:id="rId229">
        <w:r>
          <w:rPr>
            <w:rStyle w:val="Hyperlink"/>
          </w:rPr>
          <w:t xml:space="preserve">https://doi.org/10.1007/s41982-023-00158-8</w:t>
        </w:r>
      </w:hyperlink>
      <w:r>
        <w:t xml:space="preserve">.</w:t>
      </w:r>
    </w:p>
    <w:bookmarkEnd w:id="230"/>
    <w:bookmarkStart w:id="232" w:name="ref-Magli_2024"/>
    <w:p>
      <w:pPr>
        <w:pStyle w:val="Bibliography"/>
      </w:pPr>
      <w:r>
        <w:t xml:space="preserve">[102]</w:t>
      </w:r>
      <w:r>
        <w:t xml:space="preserve"> </w:t>
      </w:r>
      <w:r>
        <w:t xml:space="preserve">	</w:t>
      </w:r>
      <w:r>
        <w:t xml:space="preserve">Magli G. The alleged phenological calendar in palaeolithic art: Critical analysis from the viewpoint of statistics and cultural astronomy. Mind 2024;133:1–15.</w:t>
      </w:r>
      <w:r>
        <w:t xml:space="preserve"> </w:t>
      </w:r>
      <w:hyperlink r:id="rId231">
        <w:r>
          <w:rPr>
            <w:rStyle w:val="Hyperlink"/>
          </w:rPr>
          <w:t xml:space="preserve">https://doi.org/10.1093/mind/fzae011</w:t>
        </w:r>
      </w:hyperlink>
      <w:r>
        <w:t xml:space="preserve">.</w:t>
      </w:r>
    </w:p>
    <w:bookmarkEnd w:id="232"/>
    <w:bookmarkStart w:id="234" w:name="ref-Nowell_2024_evidence"/>
    <w:p>
      <w:pPr>
        <w:pStyle w:val="Bibliography"/>
      </w:pPr>
      <w:r>
        <w:t xml:space="preserve">[103]</w:t>
      </w:r>
      <w:r>
        <w:t xml:space="preserve"> </w:t>
      </w:r>
      <w:r>
        <w:t xml:space="preserve">	</w:t>
      </w:r>
      <w:r>
        <w:t xml:space="preserve">Nowell A, Bahn P, Quellec J-L. Evaluating the evidence for lunar calendars in upper palaeolithic parietal art. Cambridge Archaeological Journal 2024:1–18.</w:t>
      </w:r>
      <w:r>
        <w:t xml:space="preserve"> </w:t>
      </w:r>
      <w:hyperlink r:id="rId233">
        <w:r>
          <w:rPr>
            <w:rStyle w:val="Hyperlink"/>
          </w:rPr>
          <w:t xml:space="preserve">https://doi.org/10.1017/S0959774324000155</w:t>
        </w:r>
      </w:hyperlink>
      <w:r>
        <w:t xml:space="preserve">.</w:t>
      </w:r>
    </w:p>
    <w:bookmarkEnd w:id="234"/>
    <w:bookmarkStart w:id="236" w:name="ref-Horiuchi_Takakura_2019"/>
    <w:p>
      <w:pPr>
        <w:pStyle w:val="Bibliography"/>
      </w:pPr>
      <w:r>
        <w:t xml:space="preserve">[104]</w:t>
      </w:r>
      <w:r>
        <w:t xml:space="preserve"> </w:t>
      </w:r>
      <w:r>
        <w:t xml:space="preserve">	</w:t>
      </w:r>
      <w:r>
        <w:t xml:space="preserve">Horiuchi S, Takakura J. Modeling learning strategies and the expansion of the social network in the beginning of upper palaeolithic europe: Analysis by agent-based simulation. In: Nishiaki Y, Jöris O, editors. Learning among neanderthals and palaeolithic modern humans: Archaeological evidence, Springer Nature Singapore; 2019, p. 179–91.</w:t>
      </w:r>
      <w:r>
        <w:t xml:space="preserve"> </w:t>
      </w:r>
      <w:hyperlink r:id="rId235">
        <w:r>
          <w:rPr>
            <w:rStyle w:val="Hyperlink"/>
          </w:rPr>
          <w:t xml:space="preserve">https://doi.org/10.1007/978-981-13-8980-1_12</w:t>
        </w:r>
      </w:hyperlink>
      <w:r>
        <w:t xml:space="preserve">.</w:t>
      </w:r>
    </w:p>
    <w:bookmarkEnd w:id="236"/>
    <w:bookmarkStart w:id="237" w:name="ref-Rogers_2013"/>
    <w:p>
      <w:pPr>
        <w:pStyle w:val="Bibliography"/>
      </w:pPr>
      <w:r>
        <w:t xml:space="preserve">[105]</w:t>
      </w:r>
      <w:r>
        <w:t xml:space="preserve"> </w:t>
      </w:r>
      <w:r>
        <w:t xml:space="preserve">	</w:t>
      </w:r>
      <w:r>
        <w:t xml:space="preserve">Rogers L. Human-material interaction in the aurignacian of europe, 35,000-27,000 BP: An analysis of marine shell ornament distribution. PhD thesis. University of Victoria, 2013.</w:t>
      </w:r>
    </w:p>
    <w:bookmarkEnd w:id="237"/>
    <w:bookmarkStart w:id="239" w:name="X94f875be1b7e5d23641daff5d53857bec24e739"/>
    <w:p>
      <w:pPr>
        <w:pStyle w:val="Bibliography"/>
      </w:pPr>
      <w:r>
        <w:t xml:space="preserve">[106]</w:t>
      </w:r>
      <w:r>
        <w:t xml:space="preserve"> </w:t>
      </w:r>
      <w:r>
        <w:t xml:space="preserve">	</w:t>
      </w:r>
      <w:r>
        <w:t xml:space="preserve">Golovanova LV, Doronichev VB, Doronicheva EV, Sapega VF, Shackley MS. Long-distance contacts and social networks of the upper palaeolithic humans in the north-western caucasus (on data from mezmaiskaya cave, russia). Journal of Archaeological Science: Reports 2021;39:103118. https://doi.org/</w:t>
      </w:r>
      <w:hyperlink r:id="rId238">
        <w:r>
          <w:rPr>
            <w:rStyle w:val="Hyperlink"/>
          </w:rPr>
          <w:t xml:space="preserve">https://doi.org/10.1016/j.jasrep.2021.103118</w:t>
        </w:r>
      </w:hyperlink>
      <w:r>
        <w:t xml:space="preserve">.</w:t>
      </w:r>
    </w:p>
    <w:bookmarkEnd w:id="239"/>
    <w:bookmarkStart w:id="241" w:name="ref-Gamble_1982"/>
    <w:p>
      <w:pPr>
        <w:pStyle w:val="Bibliography"/>
      </w:pPr>
      <w:r>
        <w:t xml:space="preserve">[107]</w:t>
      </w:r>
      <w:r>
        <w:t xml:space="preserve"> </w:t>
      </w:r>
      <w:r>
        <w:t xml:space="preserve">	</w:t>
      </w:r>
      <w:r>
        <w:t xml:space="preserve">Gamble C. Interaction and alliance in palaeolithic society. Man 1982;17:92–107.</w:t>
      </w:r>
      <w:r>
        <w:t xml:space="preserve"> </w:t>
      </w:r>
      <w:hyperlink r:id="rId240">
        <w:r>
          <w:rPr>
            <w:rStyle w:val="Hyperlink"/>
          </w:rPr>
          <w:t xml:space="preserve">https://doi.org/10.2307/2802103</w:t>
        </w:r>
      </w:hyperlink>
      <w:r>
        <w:t xml:space="preserve">.</w:t>
      </w:r>
    </w:p>
    <w:bookmarkEnd w:id="241"/>
    <w:bookmarkStart w:id="243" w:name="Xba346573845225b1b1d5ef358e2fea0d893a789"/>
    <w:p>
      <w:pPr>
        <w:pStyle w:val="Bibliography"/>
      </w:pPr>
      <w:r>
        <w:t xml:space="preserve">[108]</w:t>
      </w:r>
      <w:r>
        <w:t xml:space="preserve"> </w:t>
      </w:r>
      <w:r>
        <w:t xml:space="preserve">	</w:t>
      </w:r>
      <w:r>
        <w:t xml:space="preserve">Greenbaum G, Friesem DE, Hovers E, Feldman MW, Kolodny O. Was inter-population connectivity of neanderthals and modern humans the driver of the upper paleolithic transition rather than its product? Quaternary Science Reviews 2019;217:316–29. https://doi.org/</w:t>
      </w:r>
      <w:hyperlink r:id="rId242">
        <w:r>
          <w:rPr>
            <w:rStyle w:val="Hyperlink"/>
          </w:rPr>
          <w:t xml:space="preserve">https://doi.org/10.1016/j.quascirev.2018.12.011</w:t>
        </w:r>
      </w:hyperlink>
      <w:r>
        <w:t xml:space="preserve">.</w:t>
      </w:r>
    </w:p>
    <w:bookmarkEnd w:id="243"/>
    <w:bookmarkStart w:id="245" w:name="ref-Creanza_Kolodny_Feldman_2017"/>
    <w:p>
      <w:pPr>
        <w:pStyle w:val="Bibliography"/>
      </w:pPr>
      <w:r>
        <w:t xml:space="preserve">[109]</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44">
        <w:r>
          <w:rPr>
            <w:rStyle w:val="Hyperlink"/>
          </w:rPr>
          <w:t xml:space="preserve">https://doi.org/10.1098/rsif.2017.0171</w:t>
        </w:r>
      </w:hyperlink>
      <w:r>
        <w:t xml:space="preserve">.</w:t>
      </w:r>
    </w:p>
    <w:bookmarkEnd w:id="245"/>
    <w:bookmarkStart w:id="247" w:name="ref-Cullen_1996"/>
    <w:p>
      <w:pPr>
        <w:pStyle w:val="Bibliography"/>
      </w:pPr>
      <w:r>
        <w:t xml:space="preserve">[110]</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46">
        <w:r>
          <w:rPr>
            <w:rStyle w:val="Hyperlink"/>
          </w:rPr>
          <w:t xml:space="preserve">https://doi.org/10.1007/978-1-4757-9945-3_4</w:t>
        </w:r>
      </w:hyperlink>
      <w:r>
        <w:t xml:space="preserve">.</w:t>
      </w:r>
    </w:p>
    <w:bookmarkEnd w:id="247"/>
    <w:bookmarkStart w:id="249" w:name="ref-Hill_Wood_Baggio_Hurtado_Boyd_2014"/>
    <w:p>
      <w:pPr>
        <w:pStyle w:val="Bibliography"/>
      </w:pPr>
      <w:r>
        <w:t xml:space="preserve">[111]</w:t>
      </w:r>
      <w:r>
        <w:t xml:space="preserve"> </w:t>
      </w:r>
      <w:r>
        <w:t xml:space="preserve">	</w:t>
      </w:r>
      <w:r>
        <w:t xml:space="preserve">Hill KR, Wood BM, Baggio J, Hurtado AM, Boyd RT. Hunter-gatherer inter-band interaction rates: Implications for cumulative culture. PLOS ONE 2014;9:1–9.</w:t>
      </w:r>
      <w:r>
        <w:t xml:space="preserve"> </w:t>
      </w:r>
      <w:hyperlink r:id="rId248">
        <w:r>
          <w:rPr>
            <w:rStyle w:val="Hyperlink"/>
          </w:rPr>
          <w:t xml:space="preserve">https://doi.org/10.1371/journal.pone.0102806</w:t>
        </w:r>
      </w:hyperlink>
      <w:r>
        <w:t xml:space="preserve">.</w:t>
      </w:r>
    </w:p>
    <w:bookmarkEnd w:id="249"/>
    <w:bookmarkStart w:id="251" w:name="ref-Derex_Boyd_2016"/>
    <w:p>
      <w:pPr>
        <w:pStyle w:val="Bibliography"/>
      </w:pPr>
      <w:r>
        <w:t xml:space="preserve">[112]</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50">
        <w:r>
          <w:rPr>
            <w:rStyle w:val="Hyperlink"/>
          </w:rPr>
          <w:t xml:space="preserve">https://doi.org/10.1073/pnas.1518798113</w:t>
        </w:r>
      </w:hyperlink>
      <w:r>
        <w:t xml:space="preserve">.</w:t>
      </w:r>
    </w:p>
    <w:bookmarkEnd w:id="251"/>
    <w:bookmarkStart w:id="253" w:name="ref-Foley_Gamble_2009"/>
    <w:p>
      <w:pPr>
        <w:pStyle w:val="Bibliography"/>
      </w:pPr>
      <w:r>
        <w:t xml:space="preserve">[113]</w:t>
      </w:r>
      <w:r>
        <w:t xml:space="preserve"> </w:t>
      </w:r>
      <w:r>
        <w:t xml:space="preserve">	</w:t>
      </w:r>
      <w:r>
        <w:t xml:space="preserve">Foley R, Gamble C. The ecology of social transitions in human evolution. Philosophical Transactions of the Royal Society B: Biological Sciences 2009;364:3267–79.</w:t>
      </w:r>
      <w:r>
        <w:t xml:space="preserve"> </w:t>
      </w:r>
      <w:hyperlink r:id="rId252">
        <w:r>
          <w:rPr>
            <w:rStyle w:val="Hyperlink"/>
          </w:rPr>
          <w:t xml:space="preserve">https://doi.org/10.1098/rstb.2009.0136</w:t>
        </w:r>
      </w:hyperlink>
      <w:r>
        <w:t xml:space="preserve">.</w:t>
      </w:r>
    </w:p>
    <w:bookmarkEnd w:id="253"/>
    <w:bookmarkStart w:id="255" w:name="ref-Gravel-Miguel_Coward_2023"/>
    <w:p>
      <w:pPr>
        <w:pStyle w:val="Bibliography"/>
      </w:pPr>
      <w:r>
        <w:t xml:space="preserve">[114]</w:t>
      </w:r>
      <w:r>
        <w:t xml:space="preserve"> </w:t>
      </w:r>
      <w:r>
        <w:t xml:space="preserve">	</w:t>
      </w:r>
      <w:r>
        <w:t xml:space="preserve">Gravel-Miguel C, Coward F. Paleolithic social networks and behavioral modernity. The oxford handbook of archaeological network research, Oxford University Press; 2023.</w:t>
      </w:r>
      <w:r>
        <w:t xml:space="preserve"> </w:t>
      </w:r>
      <w:hyperlink r:id="rId254">
        <w:r>
          <w:rPr>
            <w:rStyle w:val="Hyperlink"/>
          </w:rPr>
          <w:t xml:space="preserve">https://doi.org/10.1093/oxfordhb/9780198854265.013.31</w:t>
        </w:r>
      </w:hyperlink>
      <w:r>
        <w:t xml:space="preserve">.</w:t>
      </w:r>
    </w:p>
    <w:bookmarkEnd w:id="255"/>
    <w:bookmarkStart w:id="256" w:name="ref-Von_Petzinger_2009"/>
    <w:p>
      <w:pPr>
        <w:pStyle w:val="Bibliography"/>
      </w:pPr>
      <w:r>
        <w:t xml:space="preserve">[115]</w:t>
      </w:r>
      <w:r>
        <w:t xml:space="preserve"> </w:t>
      </w:r>
      <w:r>
        <w:t xml:space="preserve">	</w:t>
      </w:r>
      <w:r>
        <w:t xml:space="preserve">Von Petzinger G. Making the abstract concrete: The place of geometric signs in french upper paleolithic parietal art. Master of Arts in Anthropology. University of Victoria, 2009.</w:t>
      </w:r>
    </w:p>
    <w:bookmarkEnd w:id="256"/>
    <w:bookmarkStart w:id="258" w:name="ref-Herskind2023"/>
    <w:p>
      <w:pPr>
        <w:pStyle w:val="Bibliography"/>
      </w:pPr>
      <w:r>
        <w:t xml:space="preserve">[116]</w:t>
      </w:r>
      <w:r>
        <w:t xml:space="preserve"> </w:t>
      </w:r>
      <w:r>
        <w:t xml:space="preserve">	</w:t>
      </w:r>
      <w:r>
        <w:t xml:space="preserve">Platz HLL. A case for idle graffiti. Hunter Gatherer Research 2023;9:59–93.</w:t>
      </w:r>
      <w:r>
        <w:t xml:space="preserve"> </w:t>
      </w:r>
      <w:hyperlink r:id="rId257">
        <w:r>
          <w:rPr>
            <w:rStyle w:val="Hyperlink"/>
          </w:rPr>
          <w:t xml:space="preserve">https://doi.org/10.3828/hgr.2023.12</w:t>
        </w:r>
      </w:hyperlink>
      <w:r>
        <w:t xml:space="preserve">.</w:t>
      </w:r>
    </w:p>
    <w:bookmarkEnd w:id="258"/>
    <w:bookmarkStart w:id="260" w:name="X42e36537dda68556aeacf852410efd6ac3bb1ca"/>
    <w:p>
      <w:pPr>
        <w:pStyle w:val="Bibliography"/>
      </w:pPr>
      <w:r>
        <w:t xml:space="preserve">[117]</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259">
        <w:r>
          <w:rPr>
            <w:rStyle w:val="Hyperlink"/>
          </w:rPr>
          <w:t xml:space="preserve">https://doi.org/10.1007/s10816-023-09608-7</w:t>
        </w:r>
      </w:hyperlink>
      <w:r>
        <w:t xml:space="preserve">.</w:t>
      </w:r>
    </w:p>
    <w:bookmarkEnd w:id="260"/>
    <w:bookmarkEnd w:id="261"/>
    <w:bookmarkEnd w:id="262"/>
    <w:sectPr w:rsidR="005A091B" w:rsidSect="00014752">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95C299B2"/>
    <w:multiLevelType w:val="multilevel"/>
    <w:tmpl w:val="4A32D3E4"/>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A7FBC57F"/>
    <w:multiLevelType w:val="multilevel"/>
    <w:tmpl w:val="313AFBD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E17F69BA"/>
    <w:multiLevelType w:val="multilevel"/>
    <w:tmpl w:val="62AA6D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2"/>
  </w:num>
  <w:num w:numId="2">
    <w:abstractNumId w:val="1"/>
  </w:num>
  <w:num w:numId="3">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6"/>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rPr>
  </w:style>
  <w:style w:styleId="Heading5" w:type="paragraph">
    <w:name w:val="heading 5"/>
    <w:basedOn w:val="Normal"/>
    <w:next w:val="BodyText"/>
    <w:uiPriority w:val="9"/>
    <w:unhideWhenUsed/>
    <w:qFormat/>
    <w:rsid w:val="00884F3F"/>
    <w:pPr>
      <w:keepNext/>
      <w:keepLines/>
      <w:pageBreakBefore/>
      <w:spacing w:after="0" w:before="200" w:line="20" w:lineRule="exact"/>
      <w:outlineLvl w:val="4"/>
    </w:pPr>
    <w:rPr>
      <w:rFonts w:asciiTheme="majorHAnsi" w:cstheme="majorBidi" w:eastAsiaTheme="majorEastAsia" w:hAnsiTheme="majorHAnsi"/>
      <w:i/>
      <w:iCs/>
      <w:color w:themeColor="background1" w:val="FFFFFF"/>
      <w:sz w:val="16"/>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0147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24" Target="media/rId24.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33" Target="media/rId33.png" /><Relationship Type="http://schemas.openxmlformats.org/officeDocument/2006/relationships/image" Id="rId45" Target="media/rId45.png" /><Relationship Type="http://schemas.openxmlformats.org/officeDocument/2006/relationships/hyperlink" Id="rId134" Target="http://www.jstor.org.offcampus.lib.washington.edu/stable/j.ctt1pk86rr.16" TargetMode="External" /><Relationship Type="http://schemas.openxmlformats.org/officeDocument/2006/relationships/hyperlink" Id="rId128" Target="http://www.jstor.org.offcampus.lib.washington.edu/stable/j.ctt1pk86rr.5" TargetMode="External" /><Relationship Type="http://schemas.openxmlformats.org/officeDocument/2006/relationships/hyperlink" Id="rId208" Target="http://www.jstor.org/stable/124852" TargetMode="External" /><Relationship Type="http://schemas.openxmlformats.org/officeDocument/2006/relationships/hyperlink" Id="rId194" Target="http://www.jstor.org/stable/2156023" TargetMode="External" /><Relationship Type="http://schemas.openxmlformats.org/officeDocument/2006/relationships/hyperlink" Id="rId183" Target="http://www.jstor.org/stable/2741828" TargetMode="External" /><Relationship Type="http://schemas.openxmlformats.org/officeDocument/2006/relationships/hyperlink" Id="rId158" Target="http://www.jstor.org/stable/279544" TargetMode="External" /><Relationship Type="http://schemas.openxmlformats.org/officeDocument/2006/relationships/hyperlink" Id="rId160" Target="http://www.jstor.org/stable/2800797" TargetMode="External" /><Relationship Type="http://schemas.openxmlformats.org/officeDocument/2006/relationships/hyperlink" Id="rId213" Target="http://www.jstor.org/stable/40287092" TargetMode="External" /><Relationship Type="http://schemas.openxmlformats.org/officeDocument/2006/relationships/hyperlink" Id="rId202" Target="http://www.jstor.org/stable/40287096" TargetMode="External" /><Relationship Type="http://schemas.openxmlformats.org/officeDocument/2006/relationships/hyperlink" Id="rId62" Target="https://books.google.com/books?id=XmrazQEACAAJ" TargetMode="External" /><Relationship Type="http://schemas.openxmlformats.org/officeDocument/2006/relationships/hyperlink" Id="rId123" Target="https://doi.org/10.1002/9781118445112.stat07841" TargetMode="External" /><Relationship Type="http://schemas.openxmlformats.org/officeDocument/2006/relationships/hyperlink" Id="rId105" Target="https://doi.org/10.1002/ajpa.1330350608" TargetMode="External" /><Relationship Type="http://schemas.openxmlformats.org/officeDocument/2006/relationships/hyperlink" Id="rId150" Target="https://doi.org/10.1002/ajpa.22832" TargetMode="External" /><Relationship Type="http://schemas.openxmlformats.org/officeDocument/2006/relationships/hyperlink" Id="rId117" Target="https://doi.org/10.1002/spe.4380211102" TargetMode="External" /><Relationship Type="http://schemas.openxmlformats.org/officeDocument/2006/relationships/hyperlink" Id="rId246" Target="https://doi.org/10.1007/978-1-4757-9945-3_4" TargetMode="External" /><Relationship Type="http://schemas.openxmlformats.org/officeDocument/2006/relationships/hyperlink" Id="rId83" Target="https://doi.org/10.1007/978-3-319-51726-1_3441-1" TargetMode="External" /><Relationship Type="http://schemas.openxmlformats.org/officeDocument/2006/relationships/hyperlink" Id="rId215" Target="https://doi.org/10.1007/978-4-431-55363-2_8" TargetMode="External" /><Relationship Type="http://schemas.openxmlformats.org/officeDocument/2006/relationships/hyperlink" Id="rId235" Target="https://doi.org/10.1007/978-981-13-8980-1_12" TargetMode="External" /><Relationship Type="http://schemas.openxmlformats.org/officeDocument/2006/relationships/hyperlink" Id="rId137" Target="https://doi.org/10.1007/s10814-013-9068-y" TargetMode="External" /><Relationship Type="http://schemas.openxmlformats.org/officeDocument/2006/relationships/hyperlink" Id="rId259" Target="https://doi.org/10.1007/s10816-023-09608-7" TargetMode="External" /><Relationship Type="http://schemas.openxmlformats.org/officeDocument/2006/relationships/hyperlink" Id="rId103" Target="https://doi.org/10.1007/s12520-018-0742-3" TargetMode="External" /><Relationship Type="http://schemas.openxmlformats.org/officeDocument/2006/relationships/hyperlink" Id="rId229" Target="https://doi.org/10.1007/s41982-023-00158-8" TargetMode="External" /><Relationship Type="http://schemas.openxmlformats.org/officeDocument/2006/relationships/hyperlink" Id="rId132" Target="https://doi.org/10.1016/B978-0-12-564750-2.50006-8" TargetMode="External" /><Relationship Type="http://schemas.openxmlformats.org/officeDocument/2006/relationships/hyperlink" Id="rId153" Target="https://doi.org/10.1016/B978-0-12-564750-2.50016-0" TargetMode="External" /><Relationship Type="http://schemas.openxmlformats.org/officeDocument/2006/relationships/hyperlink" Id="rId206" Target="https://doi.org/10.1016/B978-0-12-564750-2.50020-2" TargetMode="External" /><Relationship Type="http://schemas.openxmlformats.org/officeDocument/2006/relationships/hyperlink" Id="rId125" Target="https://doi.org/10.1016/j.evolhumbehav.2014.09.006" TargetMode="External" /><Relationship Type="http://schemas.openxmlformats.org/officeDocument/2006/relationships/hyperlink" Id="rId139" Target="https://doi.org/10.1016/j.evolhumbehav.2022.07.003" TargetMode="External" /><Relationship Type="http://schemas.openxmlformats.org/officeDocument/2006/relationships/hyperlink" Id="rId166" Target="https://doi.org/10.1016/j.jaa.2005.11.004" TargetMode="External" /><Relationship Type="http://schemas.openxmlformats.org/officeDocument/2006/relationships/hyperlink" Id="rId188" Target="https://doi.org/10.1016/j.jaa.2013.05.005" TargetMode="External" /><Relationship Type="http://schemas.openxmlformats.org/officeDocument/2006/relationships/hyperlink" Id="rId71" Target="https://doi.org/10.1016/j.jas.2005.11.017" TargetMode="External" /><Relationship Type="http://schemas.openxmlformats.org/officeDocument/2006/relationships/hyperlink" Id="rId77" Target="https://doi.org/10.1016/j.jas.2012.02.003" TargetMode="External" /><Relationship Type="http://schemas.openxmlformats.org/officeDocument/2006/relationships/hyperlink" Id="rId75" Target="https://doi.org/10.1016/j.jas.2015.05.003" TargetMode="External" /><Relationship Type="http://schemas.openxmlformats.org/officeDocument/2006/relationships/hyperlink" Id="rId238" Target="https://doi.org/10.1016/j.jasrep.2021.103118" TargetMode="External" /><Relationship Type="http://schemas.openxmlformats.org/officeDocument/2006/relationships/hyperlink" Id="rId164" Target="https://doi.org/10.1016/j.jasrep.2024.104798" TargetMode="External" /><Relationship Type="http://schemas.openxmlformats.org/officeDocument/2006/relationships/hyperlink" Id="rId95" Target="https://doi.org/10.1016/j.jhevol.2012.10.001" TargetMode="External" /><Relationship Type="http://schemas.openxmlformats.org/officeDocument/2006/relationships/hyperlink" Id="rId141" Target="https://doi.org/10.1016/j.quaint.2012.03.054" TargetMode="External" /><Relationship Type="http://schemas.openxmlformats.org/officeDocument/2006/relationships/hyperlink" Id="rId67" Target="https://doi.org/10.1016/j.quaint.2017.01.039" TargetMode="External" /><Relationship Type="http://schemas.openxmlformats.org/officeDocument/2006/relationships/hyperlink" Id="rId73" Target="https://doi.org/10.1016/j.quaint.2017.12.017" TargetMode="External" /><Relationship Type="http://schemas.openxmlformats.org/officeDocument/2006/relationships/hyperlink" Id="rId99" Target="https://doi.org/10.1016/j.quascirev.2009.11.015" TargetMode="External" /><Relationship Type="http://schemas.openxmlformats.org/officeDocument/2006/relationships/hyperlink" Id="rId242" Target="https://doi.org/10.1016/j.quascirev.2018.12.011" TargetMode="External" /><Relationship Type="http://schemas.openxmlformats.org/officeDocument/2006/relationships/hyperlink" Id="rId91" Target="https://doi.org/10.1016/j.quascirev.2021.106995" TargetMode="External" /><Relationship Type="http://schemas.openxmlformats.org/officeDocument/2006/relationships/hyperlink" Id="rId156" Target="https://doi.org/10.1017/CBO9780511558252.004" TargetMode="External" /><Relationship Type="http://schemas.openxmlformats.org/officeDocument/2006/relationships/hyperlink" Id="rId101" Target="https://doi.org/10.1017/RDC.2020.95" TargetMode="External" /><Relationship Type="http://schemas.openxmlformats.org/officeDocument/2006/relationships/hyperlink" Id="rId143" Target="https://doi.org/10.1017/S0079497X00006265" TargetMode="External" /><Relationship Type="http://schemas.openxmlformats.org/officeDocument/2006/relationships/hyperlink" Id="rId233" Target="https://doi.org/10.1017/S0959774324000155" TargetMode="External" /><Relationship Type="http://schemas.openxmlformats.org/officeDocument/2006/relationships/hyperlink" Id="rId200" Target="https://doi.org/10.1038/s41467-024-51349-y" TargetMode="External" /><Relationship Type="http://schemas.openxmlformats.org/officeDocument/2006/relationships/hyperlink" Id="rId79" Target="https://doi.org/10.1038/s41597-020-00704-x" TargetMode="External" /><Relationship Type="http://schemas.openxmlformats.org/officeDocument/2006/relationships/hyperlink" Id="rId81" Target="https://doi.org/10.1038/s41598-021-01221-6" TargetMode="External" /><Relationship Type="http://schemas.openxmlformats.org/officeDocument/2006/relationships/hyperlink" Id="rId250" Target="https://doi.org/10.1073/pnas.1518798113" TargetMode="External" /><Relationship Type="http://schemas.openxmlformats.org/officeDocument/2006/relationships/hyperlink" Id="rId185" Target="https://doi.org/10.1086/701523" TargetMode="External" /><Relationship Type="http://schemas.openxmlformats.org/officeDocument/2006/relationships/hyperlink" Id="rId231" Target="https://doi.org/10.1093/mind/fzae011" TargetMode="External" /><Relationship Type="http://schemas.openxmlformats.org/officeDocument/2006/relationships/hyperlink" Id="rId254" Target="https://doi.org/10.1093/oxfordhb/9780198854265.013.31" TargetMode="External" /><Relationship Type="http://schemas.openxmlformats.org/officeDocument/2006/relationships/hyperlink" Id="rId244" Target="https://doi.org/10.1098/rsif.2017.0171" TargetMode="External" /><Relationship Type="http://schemas.openxmlformats.org/officeDocument/2006/relationships/hyperlink" Id="rId252" Target="https://doi.org/10.1098/rstb.2009.0136" TargetMode="External" /><Relationship Type="http://schemas.openxmlformats.org/officeDocument/2006/relationships/hyperlink" Id="rId173" Target="https://doi.org/10.1098/rstb.2020.0318" TargetMode="External" /><Relationship Type="http://schemas.openxmlformats.org/officeDocument/2006/relationships/hyperlink" Id="rId113" Target="https://doi.org/10.1111/j.1502-3931.1988.tb01756.x" TargetMode="External" /><Relationship Type="http://schemas.openxmlformats.org/officeDocument/2006/relationships/hyperlink" Id="rId175" Target="https://doi.org/10.1111/tops.12762" TargetMode="External" /><Relationship Type="http://schemas.openxmlformats.org/officeDocument/2006/relationships/hyperlink" Id="rId115" Target="https://doi.org/10.1146/annurev-anthro-102116-041423" TargetMode="External" /><Relationship Type="http://schemas.openxmlformats.org/officeDocument/2006/relationships/hyperlink" Id="rId69" Target="https://doi.org/10.1177/0392192107076870" TargetMode="External" /><Relationship Type="http://schemas.openxmlformats.org/officeDocument/2006/relationships/hyperlink" Id="rId148" Target="https://doi.org/10.1179/sea.2010.29.1.013" TargetMode="External" /><Relationship Type="http://schemas.openxmlformats.org/officeDocument/2006/relationships/hyperlink" Id="rId248" Target="https://doi.org/10.1371/journal.pone.0102806" TargetMode="External" /><Relationship Type="http://schemas.openxmlformats.org/officeDocument/2006/relationships/hyperlink" Id="rId109" Target="https://doi.org/10.1371/journal.pone.0121166" TargetMode="External" /><Relationship Type="http://schemas.openxmlformats.org/officeDocument/2006/relationships/hyperlink" Id="rId97" Target="https://doi.org/10.1371/journal.pone.0189241" TargetMode="External" /><Relationship Type="http://schemas.openxmlformats.org/officeDocument/2006/relationships/hyperlink" Id="rId93" Target="https://doi.org/10.1371/journal.pone.0211562" TargetMode="External" /><Relationship Type="http://schemas.openxmlformats.org/officeDocument/2006/relationships/hyperlink" Id="rId181"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111" Target="https://doi.org/10.18637/jss.v025.i03" TargetMode="External" /><Relationship Type="http://schemas.openxmlformats.org/officeDocument/2006/relationships/hyperlink" Id="rId227" Target="https://doi.org/10.2139/ssrn.7053279" TargetMode="External" /><Relationship Type="http://schemas.openxmlformats.org/officeDocument/2006/relationships/hyperlink" Id="rId240" Target="https://doi.org/10.2307/2802103" TargetMode="External" /><Relationship Type="http://schemas.openxmlformats.org/officeDocument/2006/relationships/hyperlink" Id="rId198" Target="https://doi.org/10.2307/280511" TargetMode="External" /><Relationship Type="http://schemas.openxmlformats.org/officeDocument/2006/relationships/hyperlink" Id="rId130" Target="https://doi.org/10.2307/3034956" TargetMode="External" /><Relationship Type="http://schemas.openxmlformats.org/officeDocument/2006/relationships/hyperlink" Id="rId145" Target="https://doi.org/10.2307/j.ctv24q4z2g.5" TargetMode="External" /><Relationship Type="http://schemas.openxmlformats.org/officeDocument/2006/relationships/hyperlink" Id="rId171" Target="https://doi.org/10.2307/j.ctvdmwwz4.10" TargetMode="External" /><Relationship Type="http://schemas.openxmlformats.org/officeDocument/2006/relationships/hyperlink" Id="rId169" Target="https://doi.org/10.2307/j.ctvdmwwz4.7" TargetMode="External" /><Relationship Type="http://schemas.openxmlformats.org/officeDocument/2006/relationships/hyperlink" Id="rId177" Target="https://doi.org/10.3213/2191-5784-10243" TargetMode="External" /><Relationship Type="http://schemas.openxmlformats.org/officeDocument/2006/relationships/hyperlink" Id="rId107" Target="https://doi.org/10.32614/CRAN.package.vegan" TargetMode="External" /><Relationship Type="http://schemas.openxmlformats.org/officeDocument/2006/relationships/hyperlink" Id="rId257" Target="https://doi.org/10.3828/hgr.2023.12" TargetMode="External" /><Relationship Type="http://schemas.openxmlformats.org/officeDocument/2006/relationships/hyperlink" Id="rId190" Target="https://doi.org/10.4000/palethnologie.4945" TargetMode="External" /><Relationship Type="http://schemas.openxmlformats.org/officeDocument/2006/relationships/hyperlink" Id="rId196" Target="https://doi.org/10.5281/zenodo.15397990" TargetMode="External" /><Relationship Type="http://schemas.openxmlformats.org/officeDocument/2006/relationships/hyperlink" Id="rId121" Target="https://igraph.org" TargetMode="External" /><Relationship Type="http://schemas.openxmlformats.org/officeDocument/2006/relationships/hyperlink" Id="rId119" Target="https://statnet.org" TargetMode="External" /><Relationship Type="http://schemas.openxmlformats.org/officeDocument/2006/relationships/hyperlink" Id="rId179"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34" Target="http://www.jstor.org.offcampus.lib.washington.edu/stable/j.ctt1pk86rr.16" TargetMode="External" /><Relationship Type="http://schemas.openxmlformats.org/officeDocument/2006/relationships/hyperlink" Id="rId128" Target="http://www.jstor.org.offcampus.lib.washington.edu/stable/j.ctt1pk86rr.5" TargetMode="External" /><Relationship Type="http://schemas.openxmlformats.org/officeDocument/2006/relationships/hyperlink" Id="rId208" Target="http://www.jstor.org/stable/124852" TargetMode="External" /><Relationship Type="http://schemas.openxmlformats.org/officeDocument/2006/relationships/hyperlink" Id="rId194" Target="http://www.jstor.org/stable/2156023" TargetMode="External" /><Relationship Type="http://schemas.openxmlformats.org/officeDocument/2006/relationships/hyperlink" Id="rId183" Target="http://www.jstor.org/stable/2741828" TargetMode="External" /><Relationship Type="http://schemas.openxmlformats.org/officeDocument/2006/relationships/hyperlink" Id="rId158" Target="http://www.jstor.org/stable/279544" TargetMode="External" /><Relationship Type="http://schemas.openxmlformats.org/officeDocument/2006/relationships/hyperlink" Id="rId160" Target="http://www.jstor.org/stable/2800797" TargetMode="External" /><Relationship Type="http://schemas.openxmlformats.org/officeDocument/2006/relationships/hyperlink" Id="rId213" Target="http://www.jstor.org/stable/40287092" TargetMode="External" /><Relationship Type="http://schemas.openxmlformats.org/officeDocument/2006/relationships/hyperlink" Id="rId202" Target="http://www.jstor.org/stable/40287096" TargetMode="External" /><Relationship Type="http://schemas.openxmlformats.org/officeDocument/2006/relationships/hyperlink" Id="rId62" Target="https://books.google.com/books?id=XmrazQEACAAJ" TargetMode="External" /><Relationship Type="http://schemas.openxmlformats.org/officeDocument/2006/relationships/hyperlink" Id="rId123" Target="https://doi.org/10.1002/9781118445112.stat07841" TargetMode="External" /><Relationship Type="http://schemas.openxmlformats.org/officeDocument/2006/relationships/hyperlink" Id="rId105" Target="https://doi.org/10.1002/ajpa.1330350608" TargetMode="External" /><Relationship Type="http://schemas.openxmlformats.org/officeDocument/2006/relationships/hyperlink" Id="rId150" Target="https://doi.org/10.1002/ajpa.22832" TargetMode="External" /><Relationship Type="http://schemas.openxmlformats.org/officeDocument/2006/relationships/hyperlink" Id="rId117" Target="https://doi.org/10.1002/spe.4380211102" TargetMode="External" /><Relationship Type="http://schemas.openxmlformats.org/officeDocument/2006/relationships/hyperlink" Id="rId246" Target="https://doi.org/10.1007/978-1-4757-9945-3_4" TargetMode="External" /><Relationship Type="http://schemas.openxmlformats.org/officeDocument/2006/relationships/hyperlink" Id="rId83" Target="https://doi.org/10.1007/978-3-319-51726-1_3441-1" TargetMode="External" /><Relationship Type="http://schemas.openxmlformats.org/officeDocument/2006/relationships/hyperlink" Id="rId215" Target="https://doi.org/10.1007/978-4-431-55363-2_8" TargetMode="External" /><Relationship Type="http://schemas.openxmlformats.org/officeDocument/2006/relationships/hyperlink" Id="rId235" Target="https://doi.org/10.1007/978-981-13-8980-1_12" TargetMode="External" /><Relationship Type="http://schemas.openxmlformats.org/officeDocument/2006/relationships/hyperlink" Id="rId137" Target="https://doi.org/10.1007/s10814-013-9068-y" TargetMode="External" /><Relationship Type="http://schemas.openxmlformats.org/officeDocument/2006/relationships/hyperlink" Id="rId259" Target="https://doi.org/10.1007/s10816-023-09608-7" TargetMode="External" /><Relationship Type="http://schemas.openxmlformats.org/officeDocument/2006/relationships/hyperlink" Id="rId103" Target="https://doi.org/10.1007/s12520-018-0742-3" TargetMode="External" /><Relationship Type="http://schemas.openxmlformats.org/officeDocument/2006/relationships/hyperlink" Id="rId229" Target="https://doi.org/10.1007/s41982-023-00158-8" TargetMode="External" /><Relationship Type="http://schemas.openxmlformats.org/officeDocument/2006/relationships/hyperlink" Id="rId132" Target="https://doi.org/10.1016/B978-0-12-564750-2.50006-8" TargetMode="External" /><Relationship Type="http://schemas.openxmlformats.org/officeDocument/2006/relationships/hyperlink" Id="rId153" Target="https://doi.org/10.1016/B978-0-12-564750-2.50016-0" TargetMode="External" /><Relationship Type="http://schemas.openxmlformats.org/officeDocument/2006/relationships/hyperlink" Id="rId206" Target="https://doi.org/10.1016/B978-0-12-564750-2.50020-2" TargetMode="External" /><Relationship Type="http://schemas.openxmlformats.org/officeDocument/2006/relationships/hyperlink" Id="rId125" Target="https://doi.org/10.1016/j.evolhumbehav.2014.09.006" TargetMode="External" /><Relationship Type="http://schemas.openxmlformats.org/officeDocument/2006/relationships/hyperlink" Id="rId139" Target="https://doi.org/10.1016/j.evolhumbehav.2022.07.003" TargetMode="External" /><Relationship Type="http://schemas.openxmlformats.org/officeDocument/2006/relationships/hyperlink" Id="rId166" Target="https://doi.org/10.1016/j.jaa.2005.11.004" TargetMode="External" /><Relationship Type="http://schemas.openxmlformats.org/officeDocument/2006/relationships/hyperlink" Id="rId188" Target="https://doi.org/10.1016/j.jaa.2013.05.005" TargetMode="External" /><Relationship Type="http://schemas.openxmlformats.org/officeDocument/2006/relationships/hyperlink" Id="rId71" Target="https://doi.org/10.1016/j.jas.2005.11.017" TargetMode="External" /><Relationship Type="http://schemas.openxmlformats.org/officeDocument/2006/relationships/hyperlink" Id="rId77" Target="https://doi.org/10.1016/j.jas.2012.02.003" TargetMode="External" /><Relationship Type="http://schemas.openxmlformats.org/officeDocument/2006/relationships/hyperlink" Id="rId75" Target="https://doi.org/10.1016/j.jas.2015.05.003" TargetMode="External" /><Relationship Type="http://schemas.openxmlformats.org/officeDocument/2006/relationships/hyperlink" Id="rId238" Target="https://doi.org/10.1016/j.jasrep.2021.103118" TargetMode="External" /><Relationship Type="http://schemas.openxmlformats.org/officeDocument/2006/relationships/hyperlink" Id="rId164" Target="https://doi.org/10.1016/j.jasrep.2024.104798" TargetMode="External" /><Relationship Type="http://schemas.openxmlformats.org/officeDocument/2006/relationships/hyperlink" Id="rId95" Target="https://doi.org/10.1016/j.jhevol.2012.10.001" TargetMode="External" /><Relationship Type="http://schemas.openxmlformats.org/officeDocument/2006/relationships/hyperlink" Id="rId141" Target="https://doi.org/10.1016/j.quaint.2012.03.054" TargetMode="External" /><Relationship Type="http://schemas.openxmlformats.org/officeDocument/2006/relationships/hyperlink" Id="rId67" Target="https://doi.org/10.1016/j.quaint.2017.01.039" TargetMode="External" /><Relationship Type="http://schemas.openxmlformats.org/officeDocument/2006/relationships/hyperlink" Id="rId73" Target="https://doi.org/10.1016/j.quaint.2017.12.017" TargetMode="External" /><Relationship Type="http://schemas.openxmlformats.org/officeDocument/2006/relationships/hyperlink" Id="rId99" Target="https://doi.org/10.1016/j.quascirev.2009.11.015" TargetMode="External" /><Relationship Type="http://schemas.openxmlformats.org/officeDocument/2006/relationships/hyperlink" Id="rId242" Target="https://doi.org/10.1016/j.quascirev.2018.12.011" TargetMode="External" /><Relationship Type="http://schemas.openxmlformats.org/officeDocument/2006/relationships/hyperlink" Id="rId91" Target="https://doi.org/10.1016/j.quascirev.2021.106995" TargetMode="External" /><Relationship Type="http://schemas.openxmlformats.org/officeDocument/2006/relationships/hyperlink" Id="rId156" Target="https://doi.org/10.1017/CBO9780511558252.004" TargetMode="External" /><Relationship Type="http://schemas.openxmlformats.org/officeDocument/2006/relationships/hyperlink" Id="rId101" Target="https://doi.org/10.1017/RDC.2020.95" TargetMode="External" /><Relationship Type="http://schemas.openxmlformats.org/officeDocument/2006/relationships/hyperlink" Id="rId143" Target="https://doi.org/10.1017/S0079497X00006265" TargetMode="External" /><Relationship Type="http://schemas.openxmlformats.org/officeDocument/2006/relationships/hyperlink" Id="rId233" Target="https://doi.org/10.1017/S0959774324000155" TargetMode="External" /><Relationship Type="http://schemas.openxmlformats.org/officeDocument/2006/relationships/hyperlink" Id="rId200" Target="https://doi.org/10.1038/s41467-024-51349-y" TargetMode="External" /><Relationship Type="http://schemas.openxmlformats.org/officeDocument/2006/relationships/hyperlink" Id="rId79" Target="https://doi.org/10.1038/s41597-020-00704-x" TargetMode="External" /><Relationship Type="http://schemas.openxmlformats.org/officeDocument/2006/relationships/hyperlink" Id="rId81" Target="https://doi.org/10.1038/s41598-021-01221-6" TargetMode="External" /><Relationship Type="http://schemas.openxmlformats.org/officeDocument/2006/relationships/hyperlink" Id="rId250" Target="https://doi.org/10.1073/pnas.1518798113" TargetMode="External" /><Relationship Type="http://schemas.openxmlformats.org/officeDocument/2006/relationships/hyperlink" Id="rId185" Target="https://doi.org/10.1086/701523" TargetMode="External" /><Relationship Type="http://schemas.openxmlformats.org/officeDocument/2006/relationships/hyperlink" Id="rId231" Target="https://doi.org/10.1093/mind/fzae011" TargetMode="External" /><Relationship Type="http://schemas.openxmlformats.org/officeDocument/2006/relationships/hyperlink" Id="rId254" Target="https://doi.org/10.1093/oxfordhb/9780198854265.013.31" TargetMode="External" /><Relationship Type="http://schemas.openxmlformats.org/officeDocument/2006/relationships/hyperlink" Id="rId244" Target="https://doi.org/10.1098/rsif.2017.0171" TargetMode="External" /><Relationship Type="http://schemas.openxmlformats.org/officeDocument/2006/relationships/hyperlink" Id="rId252" Target="https://doi.org/10.1098/rstb.2009.0136" TargetMode="External" /><Relationship Type="http://schemas.openxmlformats.org/officeDocument/2006/relationships/hyperlink" Id="rId173" Target="https://doi.org/10.1098/rstb.2020.0318" TargetMode="External" /><Relationship Type="http://schemas.openxmlformats.org/officeDocument/2006/relationships/hyperlink" Id="rId113" Target="https://doi.org/10.1111/j.1502-3931.1988.tb01756.x" TargetMode="External" /><Relationship Type="http://schemas.openxmlformats.org/officeDocument/2006/relationships/hyperlink" Id="rId175" Target="https://doi.org/10.1111/tops.12762" TargetMode="External" /><Relationship Type="http://schemas.openxmlformats.org/officeDocument/2006/relationships/hyperlink" Id="rId115" Target="https://doi.org/10.1146/annurev-anthro-102116-041423" TargetMode="External" /><Relationship Type="http://schemas.openxmlformats.org/officeDocument/2006/relationships/hyperlink" Id="rId69" Target="https://doi.org/10.1177/0392192107076870" TargetMode="External" /><Relationship Type="http://schemas.openxmlformats.org/officeDocument/2006/relationships/hyperlink" Id="rId148" Target="https://doi.org/10.1179/sea.2010.29.1.013" TargetMode="External" /><Relationship Type="http://schemas.openxmlformats.org/officeDocument/2006/relationships/hyperlink" Id="rId248" Target="https://doi.org/10.1371/journal.pone.0102806" TargetMode="External" /><Relationship Type="http://schemas.openxmlformats.org/officeDocument/2006/relationships/hyperlink" Id="rId109" Target="https://doi.org/10.1371/journal.pone.0121166" TargetMode="External" /><Relationship Type="http://schemas.openxmlformats.org/officeDocument/2006/relationships/hyperlink" Id="rId97" Target="https://doi.org/10.1371/journal.pone.0189241" TargetMode="External" /><Relationship Type="http://schemas.openxmlformats.org/officeDocument/2006/relationships/hyperlink" Id="rId93" Target="https://doi.org/10.1371/journal.pone.0211562" TargetMode="External" /><Relationship Type="http://schemas.openxmlformats.org/officeDocument/2006/relationships/hyperlink" Id="rId181"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111" Target="https://doi.org/10.18637/jss.v025.i03" TargetMode="External" /><Relationship Type="http://schemas.openxmlformats.org/officeDocument/2006/relationships/hyperlink" Id="rId227" Target="https://doi.org/10.2139/ssrn.7053279" TargetMode="External" /><Relationship Type="http://schemas.openxmlformats.org/officeDocument/2006/relationships/hyperlink" Id="rId240" Target="https://doi.org/10.2307/2802103" TargetMode="External" /><Relationship Type="http://schemas.openxmlformats.org/officeDocument/2006/relationships/hyperlink" Id="rId198" Target="https://doi.org/10.2307/280511" TargetMode="External" /><Relationship Type="http://schemas.openxmlformats.org/officeDocument/2006/relationships/hyperlink" Id="rId130" Target="https://doi.org/10.2307/3034956" TargetMode="External" /><Relationship Type="http://schemas.openxmlformats.org/officeDocument/2006/relationships/hyperlink" Id="rId145" Target="https://doi.org/10.2307/j.ctv24q4z2g.5" TargetMode="External" /><Relationship Type="http://schemas.openxmlformats.org/officeDocument/2006/relationships/hyperlink" Id="rId171" Target="https://doi.org/10.2307/j.ctvdmwwz4.10" TargetMode="External" /><Relationship Type="http://schemas.openxmlformats.org/officeDocument/2006/relationships/hyperlink" Id="rId169" Target="https://doi.org/10.2307/j.ctvdmwwz4.7" TargetMode="External" /><Relationship Type="http://schemas.openxmlformats.org/officeDocument/2006/relationships/hyperlink" Id="rId177" Target="https://doi.org/10.3213/2191-5784-10243" TargetMode="External" /><Relationship Type="http://schemas.openxmlformats.org/officeDocument/2006/relationships/hyperlink" Id="rId107" Target="https://doi.org/10.32614/CRAN.package.vegan" TargetMode="External" /><Relationship Type="http://schemas.openxmlformats.org/officeDocument/2006/relationships/hyperlink" Id="rId257" Target="https://doi.org/10.3828/hgr.2023.12" TargetMode="External" /><Relationship Type="http://schemas.openxmlformats.org/officeDocument/2006/relationships/hyperlink" Id="rId190" Target="https://doi.org/10.4000/palethnologie.4945" TargetMode="External" /><Relationship Type="http://schemas.openxmlformats.org/officeDocument/2006/relationships/hyperlink" Id="rId196" Target="https://doi.org/10.5281/zenodo.15397990" TargetMode="External" /><Relationship Type="http://schemas.openxmlformats.org/officeDocument/2006/relationships/hyperlink" Id="rId121" Target="https://igraph.org" TargetMode="External" /><Relationship Type="http://schemas.openxmlformats.org/officeDocument/2006/relationships/hyperlink" Id="rId119" Target="https://statnet.org" TargetMode="External" /><Relationship Type="http://schemas.openxmlformats.org/officeDocument/2006/relationships/hyperlink" Id="rId179"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173</Words>
  <Characters>873</Characters>
  <Application>Microsoft Office Word</Application>
  <DocSecurity>0</DocSecurity>
  <Lines>26</Lines>
  <Paragraphs>20</Paragraphs>
  <ScaleCrop>false</ScaleCrop>
  <HeadingPairs>
    <vt:vector size="2" baseType="variant">
      <vt:variant>
        <vt:lpstr>Title</vt:lpstr>
      </vt:variant>
      <vt:variant>
        <vt:i4>1</vt:i4>
      </vt:variant>
    </vt:vector>
  </HeadingPairs>
  <TitlesOfParts>
    <vt:vector size="1" baseType="lpstr">
      <vt:lpstr>My title</vt:lpstr>
    </vt:vector>
  </TitlesOfParts>
  <Manager/>
  <Company/>
  <LinksUpToDate>false</LinksUpToDate>
  <CharactersWithSpaces>1036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as proxies for cultural connectivity during the Western Eurasian Aurignacian</dc:title>
  <dc:creator>Sophie Cooper1, Aleah Rosner1, Eva Oryn1, Kenneth B. Vernon2, and Ben Marwick1,✉</dc:creator>
  <cp:keywords/>
  <dcterms:created xsi:type="dcterms:W3CDTF">2026-08-04T06:53:20Z</dcterms:created>
  <dcterms:modified xsi:type="dcterms:W3CDTF">2026-08-04T06:53:20Z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Aurignacian technocomplex (ca. 43–30 ka BP) marks a pivotal expansion of Homo sapiens into Western Eurasia, yet the evolution of social organization during this transition remains debated. Here we investigate social dynamics through the analysis of geometric signs on mobile objects across three chronological phases. Using seriation and network analysis, we investigate the potential for sign distribution to reflect cultural grouping rather than geographic isolation. We find that the Proto-Aurignacian was characterised by the densest network of social connections, with a hub structure centred on key sites, while subsequent phases show progressively reduced connectivity and more localised interaction. Conversely, Mantel tests indicate that geographic distance alone does not account for the observed patterns, suggesting social processes beyond spatial proximity shaped sign distribution. These results push back the emergence of complex inter-group social networks to approximately 41 ka BP, earlier than previously proposed, supporting hypotheses that geometric signs may have functioned as information technologies to navigate environmental instability and demographic expansion.</vt:lpwstr>
  </property>
  <property fmtid="{D5CDD505-2E9C-101B-9397-08002B2CF9AE}" pid="3" name="affiliation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csl">
    <vt:lpwstr>../templates/elsevier-vancouver.csl</vt:lpwstr>
  </property>
  <property fmtid="{D5CDD505-2E9C-101B-9397-08002B2CF9AE}" pid="8" name="date">
    <vt:lpwstr>August 3, 2026</vt:lpwstr>
  </property>
  <property fmtid="{D5CDD505-2E9C-101B-9397-08002B2CF9AE}" pid="9" name="date-format">
    <vt:lpwstr>long</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title-block-published">
    <vt:lpwstr>Last updated</vt:lpwstr>
  </property>
  <property fmtid="{D5CDD505-2E9C-101B-9397-08002B2CF9AE}" pid="17" name="toc-title">
    <vt:lpwstr>Table of contents</vt:lpwstr>
  </property>
</Properties>
</file>