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122.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1-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25"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-257.9</w:t>
                  </w:r>
                </w:p>
              </w:tc>
              <w:tc>
                <w:tcPr/>
                <w:p>
                  <w:pPr>
                    <w:pStyle w:val="Compact"/>
                    <w:jc w:val="center"/>
                    <w:jc w:val="center"/>
                  </w:pPr>
                  <w:r>
                    <w:t xml:space="preserve">-212.5</w:t>
                  </w:r>
                </w:p>
              </w:tc>
              <w:tc>
                <w:tcPr/>
                <w:p>
                  <w:pPr>
                    <w:pStyle w:val="Compact"/>
                    <w:jc w:val="center"/>
                    <w:jc w:val="center"/>
                  </w:pPr>
                  <w:r>
                    <w:t xml:space="preserve">-192.1</w:t>
                  </w:r>
                </w:p>
              </w:tc>
              <w:tc>
                <w:tcPr/>
                <w:p>
                  <w:pPr>
                    <w:pStyle w:val="Compact"/>
                    <w:jc w:val="center"/>
                    <w:jc w:val="center"/>
                  </w:pPr>
                  <w:r>
                    <w:t xml:space="preserve">-194.1</w:t>
                  </w:r>
                </w:p>
              </w:tc>
              <w:tc>
                <w:tcPr/>
                <w:p>
                  <w:pPr>
                    <w:pStyle w:val="Compact"/>
                    <w:jc w:val="center"/>
                    <w:jc w:val="center"/>
                  </w:pPr>
                  <w:r>
                    <w:t xml:space="preserve">-198.7</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center"/>
                    <w:jc w:val="center"/>
                  </w:pPr>
                  <w:r>
                    <w:t xml:space="preserve">-51.9</w:t>
                  </w:r>
                </w:p>
              </w:tc>
              <w:tc>
                <w:tcPr/>
                <w:p>
                  <w:pPr>
                    <w:pStyle w:val="Compact"/>
                    <w:jc w:val="center"/>
                    <w:jc w:val="center"/>
                  </w:pPr>
                  <w:r>
                    <w:t xml:space="preserve">-52.3</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sbm-membership"/>
          <w:tbl>
            <w:tblPr>
              <w:tblStyle w:val="Table"/>
              <w:tblW w:type="pct" w:w="5000"/>
              <w:tblLook w:firstRow="1" w:lastRow="0" w:firstColumn="0" w:lastColumn="0" w:noHBand="0" w:noVBand="0" w:val="0020"/>
              <w:jc w:val="start"/>
              <w:tblLayout w:type="fixed"/>
            </w:tblPr>
            <w:tblGrid>
              <w:gridCol w:w="2299"/>
              <w:gridCol w:w="596"/>
              <w:gridCol w:w="2299"/>
              <w:gridCol w:w="1107"/>
              <w:gridCol w:w="510"/>
              <w:gridCol w:w="510"/>
              <w:gridCol w:w="59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c>
                <w:tcPr/>
                <w:p>
                  <w:pPr>
                    <w:pStyle w:val="Compact"/>
                    <w:jc w:val="left"/>
                    <w:jc w:val="center"/>
                  </w:pPr>
                  <w:r>
                    <w:t xml:space="preserve">P(B2)</w:t>
                  </w:r>
                </w:p>
              </w:tc>
              <w:tc>
                <w:tcPr/>
                <w:p>
                  <w:pPr>
                    <w:pStyle w:val="Compact"/>
                    <w:jc w:val="center"/>
                    <w:jc w:val="center"/>
                  </w:pPr>
                  <w:r>
                    <w:t xml:space="preserve">P(B3)</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left"/>
                    <w:jc w:val="center"/>
                  </w:pPr>
                  <w:r>
                    <w:t xml:space="preserve">0.00</w:t>
                  </w:r>
                </w:p>
              </w:tc>
              <w:tc>
                <w:tcPr/>
                <w:p>
                  <w:pPr>
                    <w:pStyle w:val="Compact"/>
                    <w:jc w:val="left"/>
                    <w:jc w:val="center"/>
                  </w:pPr>
                  <w:r>
                    <w:t xml:space="preserve">0.99</w:t>
                  </w:r>
                </w:p>
              </w:tc>
              <w:tc>
                <w:tcPr/>
                <w:p>
                  <w:pPr>
                    <w:pStyle w:val="Compact"/>
                    <w:jc w:val="center"/>
                    <w:jc w:val="center"/>
                  </w:pPr>
                  <w:r>
                    <w:t xml:space="preserve">0.00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left"/>
                    <w:jc w:val="center"/>
                  </w:pPr>
                  <w:r>
                    <w:t xml:space="preserve">0.00</w:t>
                  </w:r>
                </w:p>
              </w:tc>
              <w:tc>
                <w:tcPr/>
                <w:p>
                  <w:pPr>
                    <w:pStyle w:val="Compact"/>
                    <w:jc w:val="left"/>
                    <w:jc w:val="center"/>
                  </w:pPr>
                  <w:r>
                    <w:t xml:space="preserve">0.00</w:t>
                  </w:r>
                </w:p>
              </w:tc>
              <w:tc>
                <w:tcPr/>
                <w:p>
                  <w:pPr>
                    <w:pStyle w:val="Compact"/>
                    <w:jc w:val="center"/>
                    <w:jc w:val="center"/>
                  </w:pPr>
                  <w:r>
                    <w:t xml:space="preserve">0.99</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left"/>
                    <w:jc w:val="center"/>
                  </w:pPr>
                  <w:r>
                    <w:t xml:space="preserve">0.99</w:t>
                  </w:r>
                </w:p>
              </w:tc>
              <w:tc>
                <w:tcPr/>
                <w:p>
                  <w:pPr>
                    <w:pStyle w:val="Compact"/>
                    <w:jc w:val="left"/>
                    <w:jc w:val="center"/>
                  </w:pPr>
                  <w:r>
                    <w:t xml:space="preserve">0.00</w:t>
                  </w:r>
                </w:p>
              </w:tc>
              <w:tc>
                <w:tcPr/>
                <w:p>
                  <w:pPr>
                    <w:pStyle w:val="Compact"/>
                    <w:jc w:val="center"/>
                    <w:jc w:val="center"/>
                  </w:pPr>
                  <w:r>
                    <w:t xml:space="preserve">0.00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left"/>
                    <w:jc w:val="center"/>
                  </w:pPr>
                  <w:r>
                    <w:t xml:space="preserve">1.00</w:t>
                  </w:r>
                </w:p>
              </w:tc>
              <w:tc>
                <w:tcPr/>
                <w:p>
                  <w:pPr>
                    <w:pStyle w:val="Compact"/>
                    <w:jc w:val="left"/>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3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3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39"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0"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44"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49"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51"/>
    <w:bookmarkEnd w:id="152"/>
    <w:bookmarkStart w:id="184"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5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5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58"/>
    <w:bookmarkStart w:id="183" w:name="references-cited"/>
    <w:p>
      <w:pPr>
        <w:pStyle w:val="Heading2"/>
      </w:pPr>
      <w:r>
        <w:t xml:space="preserve">References cited</w:t>
      </w:r>
    </w:p>
    <w:bookmarkStart w:id="182" w:name="refs"/>
    <w:bookmarkStart w:id="160"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59">
        <w:r>
          <w:rPr>
            <w:rStyle w:val="Hyperlink"/>
          </w:rPr>
          <w:t xml:space="preserve">https://doi.org/10.1016/j.quascirev.2021.106995</w:t>
        </w:r>
      </w:hyperlink>
      <w:r>
        <w:t xml:space="preserve">.</w:t>
      </w:r>
    </w:p>
    <w:bookmarkEnd w:id="160"/>
    <w:bookmarkStart w:id="162"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61">
        <w:r>
          <w:rPr>
            <w:rStyle w:val="Hyperlink"/>
          </w:rPr>
          <w:t xml:space="preserve">https://doi.org/10.1007/s41982-017-0004-4</w:t>
        </w:r>
      </w:hyperlink>
      <w:r>
        <w:t xml:space="preserve">.</w:t>
      </w:r>
    </w:p>
    <w:bookmarkEnd w:id="162"/>
    <w:bookmarkStart w:id="164"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63">
        <w:r>
          <w:rPr>
            <w:rStyle w:val="Hyperlink"/>
          </w:rPr>
          <w:t xml:space="preserve">https://doi.org/10.1103/PhysRevE.69.026113</w:t>
        </w:r>
      </w:hyperlink>
      <w:r>
        <w:t xml:space="preserve">.</w:t>
      </w:r>
    </w:p>
    <w:bookmarkEnd w:id="164"/>
    <w:bookmarkStart w:id="166"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65">
        <w:r>
          <w:rPr>
            <w:rStyle w:val="Hyperlink"/>
          </w:rPr>
          <w:t xml:space="preserve">https://doi.org/10.1023/A:1023949509487</w:t>
        </w:r>
      </w:hyperlink>
      <w:r>
        <w:t xml:space="preserve">.</w:t>
      </w:r>
    </w:p>
    <w:bookmarkEnd w:id="166"/>
    <w:bookmarkStart w:id="168"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67">
        <w:r>
          <w:rPr>
            <w:rStyle w:val="Hyperlink"/>
          </w:rPr>
          <w:t xml:space="preserve">https://doi.org/10.1073/pnas.2520385123</w:t>
        </w:r>
      </w:hyperlink>
      <w:r>
        <w:t xml:space="preserve">.</w:t>
      </w:r>
    </w:p>
    <w:bookmarkEnd w:id="168"/>
    <w:bookmarkStart w:id="170"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69">
        <w:r>
          <w:rPr>
            <w:rStyle w:val="Hyperlink"/>
          </w:rPr>
          <w:t xml:space="preserve">https://doi.org/10.30861/9781841718309</w:t>
        </w:r>
      </w:hyperlink>
      <w:r>
        <w:t xml:space="preserve">.</w:t>
      </w:r>
    </w:p>
    <w:bookmarkEnd w:id="170"/>
    <w:bookmarkStart w:id="172"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71">
        <w:r>
          <w:rPr>
            <w:rStyle w:val="Hyperlink"/>
          </w:rPr>
          <w:t xml:space="preserve">https://doi.org/10.1016/j.jhevol.2011.06.005</w:t>
        </w:r>
      </w:hyperlink>
      <w:r>
        <w:t xml:space="preserve">.</w:t>
      </w:r>
    </w:p>
    <w:bookmarkEnd w:id="172"/>
    <w:bookmarkStart w:id="174"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73">
        <w:r>
          <w:rPr>
            <w:rStyle w:val="Hyperlink"/>
          </w:rPr>
          <w:t xml:space="preserve">https://doi.org/10.1002/jqs.3236</w:t>
        </w:r>
      </w:hyperlink>
      <w:r>
        <w:t xml:space="preserve">.</w:t>
      </w:r>
    </w:p>
    <w:bookmarkEnd w:id="174"/>
    <w:bookmarkStart w:id="175"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75"/>
    <w:bookmarkStart w:id="177"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76">
        <w:r>
          <w:rPr>
            <w:rStyle w:val="Hyperlink"/>
          </w:rPr>
          <w:t xml:space="preserve">https://doi.org/10.1007/978-3-211-49294-9_4</w:t>
        </w:r>
      </w:hyperlink>
      <w:r>
        <w:t xml:space="preserve">.</w:t>
      </w:r>
    </w:p>
    <w:bookmarkEnd w:id="177"/>
    <w:bookmarkStart w:id="179"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78">
        <w:r>
          <w:rPr>
            <w:rStyle w:val="Hyperlink"/>
          </w:rPr>
          <w:t xml:space="preserve">https://doi.org/10.1038/nature03585</w:t>
        </w:r>
      </w:hyperlink>
      <w:r>
        <w:t xml:space="preserve">.</w:t>
      </w:r>
    </w:p>
    <w:bookmarkEnd w:id="179"/>
    <w:bookmarkStart w:id="181"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80">
        <w:r>
          <w:rPr>
            <w:rStyle w:val="Hyperlink"/>
          </w:rPr>
          <w:t xml:space="preserve">https://doi.org/10.1007/s41982-025-00246-x</w:t>
        </w:r>
      </w:hyperlink>
      <w:r>
        <w:t xml:space="preserve">.</w:t>
      </w:r>
    </w:p>
    <w:bookmarkEnd w:id="181"/>
    <w:bookmarkEnd w:id="182"/>
    <w:bookmarkEnd w:id="183"/>
    <w:bookmarkEnd w:id="184"/>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122" Target="media/rId122.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s://doi.org/10.1002/jqs.3236" TargetMode="External" /><Relationship Type="http://schemas.openxmlformats.org/officeDocument/2006/relationships/hyperlink" Id="rId176" Target="https://doi.org/10.1007/978-3-211-49294-9_4" TargetMode="External" /><Relationship Type="http://schemas.openxmlformats.org/officeDocument/2006/relationships/hyperlink" Id="rId161" Target="https://doi.org/10.1007/s41982-017-0004-4" TargetMode="External" /><Relationship Type="http://schemas.openxmlformats.org/officeDocument/2006/relationships/hyperlink" Id="rId180" Target="https://doi.org/10.1007/s41982-025-00246-x" TargetMode="External" /><Relationship Type="http://schemas.openxmlformats.org/officeDocument/2006/relationships/hyperlink" Id="rId171" Target="https://doi.org/10.1016/j.jhevol.2011.06.005" TargetMode="External" /><Relationship Type="http://schemas.openxmlformats.org/officeDocument/2006/relationships/hyperlink" Id="rId159" Target="https://doi.org/10.1016/j.quascirev.2021.106995" TargetMode="External" /><Relationship Type="http://schemas.openxmlformats.org/officeDocument/2006/relationships/hyperlink" Id="rId165" Target="https://doi.org/10.1023/A:1023949509487" TargetMode="External" /><Relationship Type="http://schemas.openxmlformats.org/officeDocument/2006/relationships/hyperlink" Id="rId178" Target="https://doi.org/10.1038/nature03585" TargetMode="External" /><Relationship Type="http://schemas.openxmlformats.org/officeDocument/2006/relationships/hyperlink" Id="rId167" Target="https://doi.org/10.1073/pnas.2520385123" TargetMode="External" /><Relationship Type="http://schemas.openxmlformats.org/officeDocument/2006/relationships/hyperlink" Id="rId163" Target="https://doi.org/10.1103/PhysRevE.69.026113" TargetMode="External" /><Relationship Type="http://schemas.openxmlformats.org/officeDocument/2006/relationships/hyperlink" Id="rId169"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2026-08-23T22:18:42Z</dcterms:created>
  <dcterms:modified xsi:type="dcterms:W3CDTF">2026-08-23T22:18:42Z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