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Computing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overview"/>
    <w:p>
      <w:pPr>
        <w:pStyle w:val="Heading2"/>
      </w:pPr>
      <w:r>
        <w:t xml:space="preserve">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bookmarkEnd w:id="21"/>
    <w:bookmarkStart w:id="22" w:name="data-pipeline"/>
    <w:p>
      <w:pPr>
        <w:pStyle w:val="Heading2"/>
      </w:pPr>
      <w:r>
        <w:t xml:space="preserve">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in the</w:t>
      </w:r>
      <w:r>
        <w:t xml:space="preserve"> </w:t>
      </w:r>
      <w:r>
        <w:rPr>
          <w:rStyle w:val="VerbatimChar"/>
        </w:rPr>
        <w:t xml:space="preserve">case_when()</w:t>
      </w:r>
      <w:r>
        <w:t xml:space="preserve">.</w:t>
      </w:r>
    </w:p>
    <w:p>
      <w:pPr>
        <w:pStyle w:val="TableCaption"/>
      </w:pPr>
      <w:r>
        <w:t xml:space="preserve">Retained sites with object counts and assignment basis.</w:t>
      </w:r>
    </w:p>
    <w:tbl>
      <w:tblPr>
        <w:tblStyle w:val="Table"/>
        <w:tblW w:type="pct" w:w="5000"/>
        <w:tblLook w:firstRow="1" w:lastRow="0" w:firstColumn="0" w:lastColumn="0" w:noHBand="0" w:noVBand="0" w:val="0020"/>
        <w:jc w:val="start"/>
        <w:tblLayout w:type="fixed"/>
        <w:tblCaption w:val="Retained sites with object counts and assignment basis."/>
      </w:tblPr>
      <w:tblGrid>
        <w:gridCol w:w="887"/>
        <w:gridCol w:w="230"/>
        <w:gridCol w:w="262"/>
        <w:gridCol w:w="328"/>
        <w:gridCol w:w="361"/>
        <w:gridCol w:w="5849"/>
      </w:tblGrid>
      <w:tr>
        <w:trPr>
          <w:tblHeader w:val="true"/>
        </w:trPr>
        <w:tc>
          <w:tcPr/>
          <w:p>
            <w:pPr>
              <w:pStyle w:val="Compact"/>
              <w:jc w:val="left"/>
            </w:pPr>
            <w:r>
              <w:t xml:space="preserve">site_name</w:t>
            </w:r>
          </w:p>
        </w:tc>
        <w:tc>
          <w:tcPr/>
          <w:p>
            <w:pPr>
              <w:pStyle w:val="Compact"/>
              <w:jc w:val="left"/>
            </w:pPr>
            <w:r>
              <w:t xml:space="preserve">phase2</w:t>
            </w:r>
          </w:p>
        </w:tc>
        <w:tc>
          <w:tcPr/>
          <w:p>
            <w:pPr>
              <w:pStyle w:val="Compact"/>
              <w:jc w:val="right"/>
            </w:pPr>
            <w:r>
              <w:t xml:space="preserve">objects</w:t>
            </w:r>
          </w:p>
        </w:tc>
        <w:tc>
          <w:tcPr/>
          <w:p>
            <w:pPr>
              <w:pStyle w:val="Compact"/>
              <w:jc w:val="right"/>
            </w:pPr>
            <w:r>
              <w:t xml:space="preserve">median_bp</w:t>
            </w:r>
          </w:p>
        </w:tc>
        <w:tc>
          <w:tcPr/>
          <w:p>
            <w:pPr>
              <w:pStyle w:val="Compact"/>
              <w:jc w:val="left"/>
            </w:pPr>
            <w:r>
              <w:t xml:space="preserve">assignment</w:t>
            </w:r>
          </w:p>
        </w:tc>
        <w:tc>
          <w:tcPr/>
          <w:p>
            <w:pPr>
              <w:pStyle w:val="Compact"/>
              <w:jc w:val="left"/>
            </w:pPr>
            <w:r>
              <w:t xml:space="preserve">basis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40127</w:t>
            </w:r>
          </w:p>
        </w:tc>
        <w:tc>
          <w:tcPr/>
          <w:p>
            <w:pPr>
              <w:pStyle w:val="Compact"/>
              <w:jc w:val="left"/>
            </w:pPr>
            <w:r>
              <w:t xml:space="preserve">technology</w:t>
            </w:r>
          </w:p>
        </w:tc>
        <w:tc>
          <w:tcPr/>
          <w:p>
            <w:pPr>
              <w:pStyle w:val="Compact"/>
              <w:jc w:val="left"/>
            </w:pPr>
            <w:r>
              <w:t xml:space="preserve">Early Aurignacian</w:t>
            </w:r>
            <w:r>
              <w:t xml:space="preserve"> </w:t>
            </w:r>
            <w:r>
              <w:t xml:space="preserve">[1,2]</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c>
          <w:tcPr/>
          <w:p>
            <w:pPr>
              <w:pStyle w:val="Compact"/>
              <w:jc w:val="right"/>
            </w:pPr>
            <w:r>
              <w:t xml:space="preserve">38235</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c>
          <w:tcPr/>
          <w:p>
            <w:pPr>
              <w:pStyle w:val="Compact"/>
              <w:jc w:val="right"/>
            </w:pPr>
            <w:r>
              <w:t xml:space="preserve">35872</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c>
          <w:tcPr/>
          <w:p>
            <w:pPr>
              <w:pStyle w:val="Compact"/>
              <w:jc w:val="right"/>
            </w:pPr>
            <w:r>
              <w:t xml:space="preserve">39413</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42561</w:t>
            </w:r>
          </w:p>
        </w:tc>
        <w:tc>
          <w:tcPr/>
          <w:p>
            <w:pPr>
              <w:pStyle w:val="Compact"/>
              <w:jc w:val="left"/>
            </w:pPr>
            <w:r>
              <w:t xml:space="preserve">date</w:t>
            </w:r>
          </w:p>
        </w:tc>
        <w:tc>
          <w:tcPr/>
          <w:p>
            <w:pPr>
              <w:pStyle w:val="Compact"/>
              <w:jc w:val="left"/>
            </w:pPr>
            <w:r>
              <w:t xml:space="preserve">MedianBP &gt; 39,799 (Protoaurignacian throughout sequence</w:t>
            </w:r>
            <w:r>
              <w:t xml:space="preserve"> </w:t>
            </w:r>
            <w:r>
              <w:t xml:space="preserve">[3,4]</w:t>
            </w:r>
            <w:r>
              <w:t xml:space="preserve">)</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c>
          <w:tcPr/>
          <w:p>
            <w:pPr>
              <w:pStyle w:val="Compact"/>
              <w:jc w:val="right"/>
            </w:pPr>
            <w:r>
              <w:t xml:space="preserve">35908</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41007</w:t>
            </w:r>
          </w:p>
        </w:tc>
        <w:tc>
          <w:tcPr/>
          <w:p>
            <w:pPr>
              <w:pStyle w:val="Compact"/>
              <w:jc w:val="left"/>
            </w:pPr>
            <w:r>
              <w:t xml:space="preserve">technology</w:t>
            </w:r>
          </w:p>
        </w:tc>
        <w:tc>
          <w:tcPr/>
          <w:p>
            <w:pPr>
              <w:pStyle w:val="Compact"/>
              <w:jc w:val="left"/>
            </w:pPr>
            <w:r>
              <w:t xml:space="preserve">Proto-Aurignacian, layer Cjn2</w:t>
            </w:r>
            <w:r>
              <w:t xml:space="preserve"> </w:t>
            </w:r>
            <w:r>
              <w:t xml:space="preserve">[5]</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c>
          <w:tcPr/>
          <w:p>
            <w:pPr>
              <w:pStyle w:val="Compact"/>
              <w:jc w:val="right"/>
            </w:pPr>
            <w:r>
              <w:t xml:space="preserve">40747</w:t>
            </w:r>
          </w:p>
        </w:tc>
        <w:tc>
          <w:tcPr/>
          <w:p>
            <w:pPr>
              <w:pStyle w:val="Compact"/>
              <w:jc w:val="left"/>
            </w:pPr>
            <w:r>
              <w:t xml:space="preserve">technology</w:t>
            </w:r>
          </w:p>
        </w:tc>
        <w:tc>
          <w:tcPr/>
          <w:p>
            <w:pPr>
              <w:pStyle w:val="Compact"/>
              <w:jc w:val="left"/>
            </w:pPr>
            <w:r>
              <w:t xml:space="preserve">Early Aurignacian</w:t>
            </w:r>
            <w:r>
              <w:t xml:space="preserve"> </w:t>
            </w:r>
            <w:r>
              <w:t xml:space="preserve">[6]</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c>
          <w:tcPr/>
          <w:p>
            <w:pPr>
              <w:pStyle w:val="Compact"/>
              <w:jc w:val="right"/>
            </w:pPr>
            <w:r>
              <w:t xml:space="preserve">41146</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38509</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c>
          <w:tcPr/>
          <w:p>
            <w:pPr>
              <w:pStyle w:val="Compact"/>
              <w:jc w:val="right"/>
            </w:pPr>
            <w:r>
              <w:t xml:space="preserve">39718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[6–8]</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c>
          <w:tcPr/>
          <w:p>
            <w:pPr>
              <w:pStyle w:val="Compact"/>
              <w:jc w:val="right"/>
            </w:pPr>
            <w:r>
              <w:t xml:space="preserve">35538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[6–8]</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40329</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c>
          <w:tcPr/>
          <w:p>
            <w:pPr>
              <w:pStyle w:val="Compact"/>
              <w:jc w:val="right"/>
            </w:pPr>
            <w:r>
              <w:t xml:space="preserve">41436</w:t>
            </w:r>
          </w:p>
        </w:tc>
        <w:tc>
          <w:tcPr/>
          <w:p>
            <w:pPr>
              <w:pStyle w:val="Compact"/>
              <w:jc w:val="left"/>
            </w:pPr>
            <w:r>
              <w:t xml:space="preserve">technology</w:t>
            </w:r>
          </w:p>
        </w:tc>
        <w:tc>
          <w:tcPr/>
          <w:p>
            <w:pPr>
              <w:pStyle w:val="Compact"/>
              <w:jc w:val="left"/>
            </w:pPr>
            <w:r>
              <w:t xml:space="preserve">Early Aurignacian</w:t>
            </w:r>
            <w:r>
              <w:t xml:space="preserve"> </w:t>
            </w:r>
            <w:r>
              <w:t xml:space="preserve">[9]</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35544</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41575</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40037</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33093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40091</w:t>
            </w:r>
          </w:p>
        </w:tc>
        <w:tc>
          <w:tcPr/>
          <w:p>
            <w:pPr>
              <w:pStyle w:val="Compact"/>
              <w:jc w:val="left"/>
            </w:pPr>
            <w:r>
              <w:t xml:space="preserve">technology</w:t>
            </w:r>
          </w:p>
        </w:tc>
        <w:tc>
          <w:tcPr/>
          <w:p>
            <w:pPr>
              <w:pStyle w:val="Compact"/>
              <w:jc w:val="left"/>
            </w:pPr>
            <w:r>
              <w:t xml:space="preserve">Evolved Aurignacian</w:t>
            </w:r>
            <w:r>
              <w:t xml:space="preserve"> </w:t>
            </w:r>
            <w:r>
              <w:t xml:space="preserve">[10]</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44778</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39256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34773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c>
          <w:tcPr/>
          <w:p>
            <w:pPr>
              <w:pStyle w:val="Compact"/>
              <w:jc w:val="right"/>
            </w:pPr>
            <w:r>
              <w:t xml:space="preserve">32893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37615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c>
          <w:tcPr/>
          <w:p>
            <w:pPr>
              <w:pStyle w:val="Compact"/>
              <w:jc w:val="right"/>
            </w:pPr>
            <w:r>
              <w:t xml:space="preserve">40840</w:t>
            </w:r>
          </w:p>
        </w:tc>
        <w:tc>
          <w:tcPr/>
          <w:p>
            <w:pPr>
              <w:pStyle w:val="Compact"/>
              <w:jc w:val="left"/>
            </w:pPr>
            <w:r>
              <w:t xml:space="preserve">technology</w:t>
            </w:r>
          </w:p>
        </w:tc>
        <w:tc>
          <w:tcPr/>
          <w:p>
            <w:pPr>
              <w:pStyle w:val="Compact"/>
              <w:jc w:val="left"/>
            </w:pPr>
            <w:r>
              <w:t xml:space="preserve">Early Aurignacian</w:t>
            </w:r>
            <w:r>
              <w:t xml:space="preserve"> </w:t>
            </w:r>
            <w:r>
              <w:t xml:space="preserve">[6,11]</w:t>
            </w:r>
          </w:p>
        </w:tc>
      </w:tr>
    </w:tbl>
    <w:bookmarkEnd w:id="22"/>
    <w:bookmarkStart w:id="33" w:name="key-literature-findings"/>
    <w:p>
      <w:pPr>
        <w:pStyle w:val="Heading2"/>
      </w:pPr>
      <w:r>
        <w:t xml:space="preserve">Key literature findings</w:t>
      </w:r>
    </w:p>
    <w:bookmarkStart w:id="23"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[6]</w:t>
      </w:r>
      <w:r>
        <w:t xml:space="preserve"> </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[7]</w:t>
      </w:r>
      <w:r>
        <w:t xml:space="preserve"> </w:t>
      </w:r>
      <w:r>
        <w:t xml:space="preserve">: AH IIIa and IV share similar tool/core assemblages typical of the Swabian Aurignacian, forming a coherent upper unit that contrasts with AH V.</w:t>
      </w:r>
    </w:p>
    <w:p>
      <w:pPr>
        <w:numPr>
          <w:ilvl w:val="0"/>
          <w:numId w:val="1001"/>
        </w:numPr>
        <w:pStyle w:val="Compact"/>
      </w:pPr>
      <w:r>
        <w:t xml:space="preserve">[8]</w:t>
      </w:r>
      <w:r>
        <w:t xml:space="preserve"> </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uncal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mixed-assemblage sites Spy and El Castillo.</w:t>
      </w:r>
    </w:p>
    <w:bookmarkEnd w:id="23"/>
    <w:bookmarkStart w:id="24" w:name="X929d947406c212d8f968cd52856f51a1bb90040"/>
    <w:p>
      <w:pPr>
        <w:pStyle w:val="Heading3"/>
      </w:pPr>
      <w:r>
        <w:t xml:space="preserve">Geissenklösterle → Early Aurignacian (Aur-P1)</w:t>
      </w:r>
    </w:p>
    <w:p>
      <w:pPr>
        <w:numPr>
          <w:ilvl w:val="0"/>
          <w:numId w:val="1002"/>
        </w:numPr>
        <w:pStyle w:val="Compact"/>
      </w:pPr>
      <w:r>
        <w:t xml:space="preserve">[6]</w:t>
      </w:r>
      <w:r>
        <w:t xml:space="preserve"> </w:t>
      </w:r>
      <w:r>
        <w:t xml:space="preserve">: The Geissenklösterle Aurignacian (AH III and II) is assigned to the Early Aurignacian on technological grounds.</w:t>
      </w:r>
    </w:p>
    <w:p>
      <w:pPr>
        <w:numPr>
          <w:ilvl w:val="0"/>
          <w:numId w:val="1002"/>
        </w:numPr>
        <w:pStyle w:val="Compact"/>
      </w:pPr>
      <w:r>
        <w:t xml:space="preserve">Both Geissenklösterle layers remain in Aur-P1: the calibrated median dates of the SignBase radiocarbon determinations for AH II (~40.7 ka BP) and AH III (~42.7 ka BP) fall within the Aur-P1 range, so the technology- and date-based assignments agree for this site. A reassessment [places AH III later (~33–35 ka BP)</w:t>
      </w:r>
      <w:r>
        <w:t xml:space="preserve"> </w:t>
      </w:r>
      <w:r>
        <w:t xml:space="preserve">[12]</w:t>
      </w:r>
      <w:r>
        <w:t xml:space="preserve">, but this conflicts with the site’s own radiocarbon chronology and is not adopted here; the weight of the technological and stratigraphic evidence keeps both layers in Aur-P1.</w:t>
      </w:r>
    </w:p>
    <w:bookmarkEnd w:id="24"/>
    <w:bookmarkStart w:id="25"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Supplement S8 Analysis B (exclusion of Vogelherd).</w:t>
      </w:r>
    </w:p>
    <w:p>
      <w:pPr>
        <w:numPr>
          <w:ilvl w:val="0"/>
          <w:numId w:val="1003"/>
        </w:numPr>
        <w:pStyle w:val="Compact"/>
      </w:pPr>
      <w:r>
        <w:t xml:space="preserve">[11]</w:t>
      </w:r>
      <w:r>
        <w:t xml:space="preserve"> </w:t>
      </w:r>
      <w:r>
        <w:t xml:space="preserve">: Reassesses cultural stratigraphy; AH IV–V are Aurignacian but with severe mixing (38 refit connections between layers); 15 radiocarbon dates span 42–34.5 ka BP (calibrated); Gravettian also present.</w:t>
      </w:r>
    </w:p>
    <w:p>
      <w:pPr>
        <w:numPr>
          <w:ilvl w:val="0"/>
          <w:numId w:val="1003"/>
        </w:numPr>
        <w:pStyle w:val="Compact"/>
      </w:pPr>
      <w:r>
        <w:t xml:space="preserve">[13]</w:t>
      </w:r>
      <w:r>
        <w:t xml:space="preserve"> </w:t>
      </w:r>
      <w:r>
        <w:t xml:space="preserve">: Blade/bladelet production analysis; mixing documented but majority of artifacts are Aurignacian.</w:t>
      </w:r>
    </w:p>
    <w:p>
      <w:pPr>
        <w:numPr>
          <w:ilvl w:val="0"/>
          <w:numId w:val="1003"/>
        </w:numPr>
        <w:pStyle w:val="Compact"/>
      </w:pPr>
      <w:r>
        <w:t xml:space="preserve">Original dating of Vogelherd Aurignacian to 41–35 ka BP (calibrated).</w:t>
      </w:r>
    </w:p>
    <w:bookmarkEnd w:id="25"/>
    <w:bookmarkStart w:id="26" w:name="fumane-protoaurignacian"/>
    <w:p>
      <w:pPr>
        <w:pStyle w:val="Heading3"/>
      </w:pPr>
      <w:r>
        <w:t xml:space="preserve">Fumane → Protoaurignacian</w:t>
      </w:r>
    </w:p>
    <w:p>
      <w:pPr>
        <w:numPr>
          <w:ilvl w:val="0"/>
          <w:numId w:val="1004"/>
        </w:numPr>
        <w:pStyle w:val="Compact"/>
      </w:pPr>
      <w:r>
        <w:t xml:space="preserve">[3]</w:t>
      </w:r>
      <w:r>
        <w:t xml:space="preserve"> </w:t>
      </w:r>
      <w:r>
        <w:t xml:space="preserve">: Protoaurignacian techno-typology persists throughout sequence at Fumane (A2-A1 through D3).</w:t>
      </w:r>
    </w:p>
    <w:p>
      <w:pPr>
        <w:numPr>
          <w:ilvl w:val="0"/>
          <w:numId w:val="1004"/>
        </w:numPr>
        <w:pStyle w:val="Compact"/>
      </w:pPr>
      <w:r>
        <w:t xml:space="preserve">[4]</w:t>
      </w:r>
      <w:r>
        <w:t xml:space="preserve"> </w:t>
      </w:r>
      <w:r>
        <w:t xml:space="preserve">:</w:t>
      </w:r>
      <w:r>
        <w:t xml:space="preserve"> </w:t>
      </w:r>
      <w:r>
        <w:t xml:space="preserve">“</w:t>
      </w:r>
      <w:r>
        <w:t xml:space="preserve">Features of the Protoaurignacian techno-typology are present throughout the stratigraphic sequence.</w:t>
      </w:r>
      <w:r>
        <w:t xml:space="preserve">”</w:t>
      </w:r>
    </w:p>
    <w:bookmarkEnd w:id="26"/>
    <w:bookmarkStart w:id="27" w:name="la-ferrassie-early-aurignacian"/>
    <w:p>
      <w:pPr>
        <w:pStyle w:val="Heading3"/>
      </w:pPr>
      <w:r>
        <w:t xml:space="preserve">La Ferrassie → Early Aurignacian</w:t>
      </w:r>
    </w:p>
    <w:p>
      <w:pPr>
        <w:numPr>
          <w:ilvl w:val="0"/>
          <w:numId w:val="1005"/>
        </w:numPr>
        <w:pStyle w:val="Compact"/>
      </w:pPr>
      <w:r>
        <w:t xml:space="preserve">[9]</w:t>
      </w:r>
      <w:r>
        <w:t xml:space="preserve"> </w:t>
      </w:r>
      <w:r>
        <w:t xml:space="preserve">: Technological attribution places La Ferrassie in the Early Aurignacian.</w:t>
      </w:r>
    </w:p>
    <w:bookmarkEnd w:id="27"/>
    <w:bookmarkStart w:id="28" w:name="abri-pataud-early-aurignacian"/>
    <w:p>
      <w:pPr>
        <w:pStyle w:val="Heading3"/>
      </w:pPr>
      <w:r>
        <w:t xml:space="preserve">Abri Pataud → Early Aurignacian</w:t>
      </w:r>
    </w:p>
    <w:p>
      <w:pPr>
        <w:numPr>
          <w:ilvl w:val="0"/>
          <w:numId w:val="1006"/>
        </w:numPr>
        <w:pStyle w:val="Compact"/>
      </w:pPr>
      <w:r>
        <w:t xml:space="preserve">[1]</w:t>
      </w:r>
      <w:r>
        <w:t xml:space="preserve"> </w:t>
      </w:r>
      <w:r>
        <w:t xml:space="preserve">: Technological analysis assigns Abri Pataud to the Early Aurignacian.</w:t>
      </w:r>
    </w:p>
    <w:p>
      <w:pPr>
        <w:numPr>
          <w:ilvl w:val="0"/>
          <w:numId w:val="1006"/>
        </w:numPr>
        <w:pStyle w:val="Compact"/>
      </w:pPr>
      <w:r>
        <w:t xml:space="preserve">[2]</w:t>
      </w:r>
      <w:r>
        <w:t xml:space="preserve"> </w:t>
      </w:r>
      <w:r>
        <w:t xml:space="preserve">: Radiocarbon dating supports Early Aurignacian placement.</w:t>
      </w:r>
    </w:p>
    <w:bookmarkEnd w:id="28"/>
    <w:bookmarkStart w:id="29" w:name="mladeč-evolved-aurignacian"/>
    <w:p>
      <w:pPr>
        <w:pStyle w:val="Heading3"/>
      </w:pPr>
      <w:r>
        <w:t xml:space="preserve">Mladeč → Evolved Aurignacian</w:t>
      </w:r>
    </w:p>
    <w:p>
      <w:pPr>
        <w:numPr>
          <w:ilvl w:val="0"/>
          <w:numId w:val="1007"/>
        </w:numPr>
        <w:pStyle w:val="Compact"/>
      </w:pPr>
      <w:r>
        <w:t xml:space="preserve">[10]</w:t>
      </w:r>
      <w:r>
        <w:t xml:space="preserve"> </w:t>
      </w:r>
      <w:r>
        <w:t xml:space="preserve">: Technological and typological analysis assigns Mladeč to the Evolved Aurignacian.</w:t>
      </w:r>
    </w:p>
    <w:bookmarkEnd w:id="29"/>
    <w:bookmarkStart w:id="30" w:name="spy-excluded"/>
    <w:p>
      <w:pPr>
        <w:pStyle w:val="Heading3"/>
      </w:pPr>
      <w:r>
        <w:t xml:space="preserve">Spy → Excluded</w:t>
      </w:r>
    </w:p>
    <w:p>
      <w:pPr>
        <w:numPr>
          <w:ilvl w:val="0"/>
          <w:numId w:val="1008"/>
        </w:numPr>
        <w:pStyle w:val="Compact"/>
      </w:pPr>
      <w:r>
        <w:t xml:space="preserve">[14]</w:t>
      </w:r>
      <w:r>
        <w:t xml:space="preserve"> </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[15]</w:t>
      </w:r>
      <w:r>
        <w:t xml:space="preserve"> </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[16]</w:t>
      </w:r>
      <w:r>
        <w:t xml:space="preserve"> </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0"/>
    <w:bookmarkStart w:id="31" w:name="gatzarria-proto-aurignacian"/>
    <w:p>
      <w:pPr>
        <w:pStyle w:val="Heading3"/>
      </w:pPr>
      <w:r>
        <w:t xml:space="preserve">Gatzarria → Proto-Aurignacian</w:t>
      </w:r>
    </w:p>
    <w:p>
      <w:pPr>
        <w:numPr>
          <w:ilvl w:val="0"/>
          <w:numId w:val="1009"/>
        </w:numPr>
        <w:pStyle w:val="Compact"/>
      </w:pPr>
      <w:r>
        <w:t xml:space="preserve">[5]</w:t>
      </w:r>
      <w:r>
        <w:t xml:space="preserve"> </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[17]</w:t>
      </w:r>
      <w:r>
        <w:t xml:space="preserve"> </w:t>
      </w:r>
      <w:r>
        <w:t xml:space="preserve">: Confirms complex stratigraphy and mixing concerns, but notes Cjn2 is internally coherent in the anterior zone.</w:t>
      </w:r>
    </w:p>
    <w:bookmarkEnd w:id="31"/>
    <w:bookmarkStart w:id="32" w:name="el-castillo-excluded"/>
    <w:p>
      <w:pPr>
        <w:pStyle w:val="Heading3"/>
      </w:pPr>
      <w:r>
        <w:t xml:space="preserve">El Castillo → Excluded</w:t>
      </w:r>
    </w:p>
    <w:p>
      <w:pPr>
        <w:numPr>
          <w:ilvl w:val="0"/>
          <w:numId w:val="1010"/>
        </w:numPr>
        <w:pStyle w:val="Compact"/>
      </w:pPr>
      <w:r>
        <w:t xml:space="preserve">Mixed/contaminated layers preclude reliable phase assignment.</w:t>
      </w:r>
    </w:p>
    <w:bookmarkEnd w:id="32"/>
    <w:bookmarkEnd w:id="33"/>
    <w:bookmarkStart w:id="46" w:name="site-status-table"/>
    <w:p>
      <w:pPr>
        <w:pStyle w:val="Heading2"/>
      </w:pPr>
      <w:r>
        <w:t xml:space="preserve">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w:t>
      </w:r>
      <w:r>
        <w:t xml:space="preserve"> </w:t>
      </w:r>
      <w:r>
        <w:rPr>
          <w:bCs/>
          <w:b/>
        </w:rPr>
        <w:t xml:space="preserve">28 sites carrying 409 objects across 7 countries</w:t>
      </w:r>
      <w:r>
        <w:t xml:space="preserve">: Aur-P1 (Proto/Early) has 20 sites and 346 objects, Aur-P2 (Evolved/Late) has 9 sites and 63 objects.</w:t>
      </w:r>
    </w:p>
    <w:p>
      <w:pPr>
        <w:pStyle w:val="TableCaption"/>
      </w:pPr>
      <w:r>
        <w:t xml:space="preserve">Sites and object counts after phase reclassification (Aur-P1 = Proto/Early, Aur-P2 = Evolved/Late).</w:t>
      </w:r>
    </w:p>
    <w:tbl>
      <w:tblPr>
        <w:tblStyle w:val="Table"/>
        <w:tblW w:type="auto" w:w="0"/>
        <w:tblLook w:firstRow="1" w:lastRow="0" w:firstColumn="0" w:lastColumn="0" w:noHBand="0" w:noVBand="0" w:val="0020"/>
        <w:jc w:val="start"/>
        <w:tblCaption w:val="Sites and object counts after phase reclassification (Aur-P1 = Proto/Early, Aur-P2 = Evolved/Late)."/>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Phase</w:t>
            </w:r>
          </w:p>
        </w:tc>
        <w:tc>
          <w:tcPr/>
          <w:p>
            <w:pPr>
              <w:pStyle w:val="Compact"/>
              <w:jc w:val="right"/>
            </w:pPr>
            <w:r>
              <w:t xml:space="preserve">Objects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r>
    </w:tbl>
    <w:bookmarkStart w:id="35"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w:t>
      </w:r>
    </w:p>
    <w:tbl>
      <w:tblPr>
        <w:tblStyle w:val="Table"/>
        <w:tblW w:type="pct" w:w="5000"/>
        <w:tblLook w:firstRow="0" w:lastRow="0" w:firstColumn="0" w:lastColumn="0" w:noHBand="0" w:noVBand="0" w:val="0000"/>
        <w:jc w:val="start"/>
        <w:tblLayout w:type="fixed"/>
      </w:tblPr>
      <w:tblGrid>
        <w:gridCol w:w="7920"/>
      </w:tblGrid>
      <w:tr>
        <w:tc>
          <w:tcPr/>
          <w:bookmarkStart w:id="34" w:name="tbl-tech-aurp1"/>
          <w:p>
            <w:pPr>
              <w:jc w:val="center"/>
            </w:pPr>
            <w:pPr>
              <w:jc w:val="start"/>
              <w:spacing w:before="200"/>
              <w:pStyle w:val="ImageCaption"/>
            </w:pPr>
            <w:r>
              <w:t xml:space="preserve">Table 1: Aur-P1 sites assigned by technology rather than radiocarbon date.</w:t>
            </w:r>
          </w:p>
          <w:tbl>
            <w:tblPr>
              <w:tblStyle w:val="Table"/>
              <w:tblW w:type="pct" w:w="5000"/>
              <w:tblLook w:firstRow="1" w:lastRow="0" w:firstColumn="0" w:lastColumn="0" w:noHBand="0" w:noVBand="0" w:val="0020"/>
              <w:jc w:val="start"/>
              <w:tblLayout w:type="fixed"/>
            </w:tblPr>
            <w:tblGrid>
              <w:gridCol w:w="663"/>
              <w:gridCol w:w="312"/>
              <w:gridCol w:w="694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Vogelherd</w:t>
                  </w:r>
                </w:p>
              </w:tc>
              <w:tc>
                <w:tcPr/>
                <w:p>
                  <w:pPr>
                    <w:pStyle w:val="Compact"/>
                    <w:jc w:val="right"/>
                    <w:jc w:val="center"/>
                  </w:pPr>
                  <w:r>
                    <w:t xml:space="preserve">173</w:t>
                  </w:r>
                </w:p>
              </w:tc>
              <w:tc>
                <w:tcPr/>
                <w:p>
                  <w:pPr>
                    <w:pStyle w:val="Compact"/>
                    <w:jc w:val="left"/>
                    <w:jc w:val="center"/>
                  </w:pPr>
                  <w:r>
                    <w:t xml:space="preserve">Early Aurignacian</w:t>
                  </w:r>
                  <w:r>
                    <w:t xml:space="preserve"> </w:t>
                  </w:r>
                  <w:r>
                    <w:t xml:space="preserve">[6,11]</w:t>
                  </w:r>
                </w:p>
              </w:tc>
            </w:tr>
            <w:tr>
              <w:tc>
                <w:tcPr/>
                <w:p>
                  <w:pPr>
                    <w:pStyle w:val="Compact"/>
                    <w:jc w:val="left"/>
                    <w:jc w:val="center"/>
                  </w:pPr>
                  <w:r>
                    <w:t xml:space="preserve">Geissenklösterle</w:t>
                  </w:r>
                </w:p>
              </w:tc>
              <w:tc>
                <w:tcPr/>
                <w:p>
                  <w:pPr>
                    <w:pStyle w:val="Compact"/>
                    <w:jc w:val="right"/>
                    <w:jc w:val="center"/>
                  </w:pPr>
                  <w:r>
                    <w:t xml:space="preserve">30</w:t>
                  </w:r>
                </w:p>
              </w:tc>
              <w:tc>
                <w:tcPr/>
                <w:p>
                  <w:pPr>
                    <w:pStyle w:val="Compact"/>
                    <w:jc w:val="left"/>
                    <w:jc w:val="center"/>
                  </w:pPr>
                  <w:r>
                    <w:t xml:space="preserve">Early Aurignacian</w:t>
                  </w:r>
                  <w:r>
                    <w:t xml:space="preserve"> </w:t>
                  </w:r>
                  <w:r>
                    <w:t xml:space="preserve">[6]</w:t>
                  </w:r>
                </w:p>
              </w:tc>
            </w:tr>
            <w:tr>
              <w:tc>
                <w:tcPr/>
                <w:p>
                  <w:pPr>
                    <w:pStyle w:val="Compact"/>
                    <w:jc w:val="left"/>
                    <w:jc w:val="center"/>
                  </w:pPr>
                  <w:r>
                    <w:t xml:space="preserve">La Ferrassie</w:t>
                  </w:r>
                </w:p>
              </w:tc>
              <w:tc>
                <w:tcPr/>
                <w:p>
                  <w:pPr>
                    <w:pStyle w:val="Compact"/>
                    <w:jc w:val="right"/>
                    <w:jc w:val="center"/>
                  </w:pPr>
                  <w:r>
                    <w:t xml:space="preserve">22</w:t>
                  </w:r>
                </w:p>
              </w:tc>
              <w:tc>
                <w:tcPr/>
                <w:p>
                  <w:pPr>
                    <w:pStyle w:val="Compact"/>
                    <w:jc w:val="left"/>
                    <w:jc w:val="center"/>
                  </w:pPr>
                  <w:r>
                    <w:t xml:space="preserve">Early Aurignacian</w:t>
                  </w:r>
                  <w:r>
                    <w:t xml:space="preserve"> </w:t>
                  </w:r>
                  <w:r>
                    <w:t xml:space="preserve">[9]</w:t>
                  </w:r>
                </w:p>
              </w:tc>
            </w:tr>
            <w:tr>
              <w:tc>
                <w:tcPr/>
                <w:p>
                  <w:pPr>
                    <w:pStyle w:val="Compact"/>
                    <w:jc w:val="left"/>
                    <w:jc w:val="center"/>
                  </w:pPr>
                  <w:r>
                    <w:t xml:space="preserve">Hohle Fels</w:t>
                  </w:r>
                </w:p>
              </w:tc>
              <w:tc>
                <w:tcPr/>
                <w:p>
                  <w:pPr>
                    <w:pStyle w:val="Compact"/>
                    <w:jc w:val="right"/>
                    <w:jc w:val="center"/>
                  </w:pPr>
                  <w:r>
                    <w:t xml:space="preserve">20</w:t>
                  </w:r>
                </w:p>
              </w:tc>
              <w:tc>
                <w:tcPr/>
                <w:p>
                  <w:pPr>
                    <w:pStyle w:val="Compact"/>
                    <w:jc w:val="left"/>
                    <w:jc w:val="center"/>
                  </w:pPr>
                  <w:r>
                    <w:t xml:space="preserve">Layer-level split: AH V Early Aurignacian (Aur-P1); AH IV, III and II-series Evolved/Late Aurignacian (Aur-P2)</w:t>
                  </w:r>
                  <w:r>
                    <w:t xml:space="preserve"> </w:t>
                  </w:r>
                  <w:r>
                    <w:t xml:space="preserve">[6–8]</w:t>
                  </w:r>
                </w:p>
              </w:tc>
            </w:tr>
            <w:tr>
              <w:tc>
                <w:tcPr/>
                <w:p>
                  <w:pPr>
                    <w:pStyle w:val="Compact"/>
                    <w:jc w:val="left"/>
                    <w:jc w:val="center"/>
                  </w:pPr>
                  <w:r>
                    <w:t xml:space="preserve">Abri Pataud</w:t>
                  </w:r>
                </w:p>
              </w:tc>
              <w:tc>
                <w:tcPr/>
                <w:p>
                  <w:pPr>
                    <w:pStyle w:val="Compact"/>
                    <w:jc w:val="right"/>
                    <w:jc w:val="center"/>
                  </w:pPr>
                  <w:r>
                    <w:t xml:space="preserve">3</w:t>
                  </w:r>
                </w:p>
              </w:tc>
              <w:tc>
                <w:tcPr/>
                <w:p>
                  <w:pPr>
                    <w:pStyle w:val="Compact"/>
                    <w:jc w:val="left"/>
                    <w:jc w:val="center"/>
                  </w:pPr>
                  <w:r>
                    <w:t xml:space="preserve">Early Aurignacian</w:t>
                  </w:r>
                  <w:r>
                    <w:t xml:space="preserve"> </w:t>
                  </w:r>
                  <w:r>
                    <w:t xml:space="preserve">[1,2]</w:t>
                  </w:r>
                </w:p>
              </w:tc>
            </w:tr>
            <w:tr>
              <w:tc>
                <w:tcPr/>
                <w:p>
                  <w:pPr>
                    <w:pStyle w:val="Compact"/>
                    <w:jc w:val="left"/>
                    <w:jc w:val="center"/>
                  </w:pPr>
                  <w:r>
                    <w:t xml:space="preserve">Gatzarria</w:t>
                  </w:r>
                </w:p>
              </w:tc>
              <w:tc>
                <w:tcPr/>
                <w:p>
                  <w:pPr>
                    <w:pStyle w:val="Compact"/>
                    <w:jc w:val="right"/>
                    <w:jc w:val="center"/>
                  </w:pPr>
                  <w:r>
                    <w:t xml:space="preserve">3</w:t>
                  </w:r>
                </w:p>
              </w:tc>
              <w:tc>
                <w:tcPr/>
                <w:p>
                  <w:pPr>
                    <w:pStyle w:val="Compact"/>
                    <w:jc w:val="left"/>
                    <w:jc w:val="center"/>
                  </w:pPr>
                  <w:r>
                    <w:t xml:space="preserve">Proto-Aurignacian, layer Cjn2</w:t>
                  </w:r>
                  <w:r>
                    <w:t xml:space="preserve"> </w:t>
                  </w:r>
                  <w:r>
                    <w:t xml:space="preserve">[5]</w:t>
                  </w:r>
                </w:p>
              </w:tc>
            </w:tr>
          </w:tbl>
          <w:bookmarkEnd w:id="34"/>
          <w:p/>
        </w:tc>
      </w:tr>
    </w:tbl>
    <w:bookmarkEnd w:id="35"/>
    <w:bookmarkStart w:id="37" w:name="X076eb53732cccd673d661c39585e38c9b7c9759"/>
    <w:p>
      <w:pPr>
        <w:pStyle w:val="Heading3"/>
      </w:pPr>
      <w:r>
        <w:t xml:space="preserve">Aur-P2 (Evolved/Late) — technology-based assignment</w:t>
      </w:r>
    </w:p>
    <w:tbl>
      <w:tblPr>
        <w:tblStyle w:val="Table"/>
        <w:tblW w:type="pct" w:w="5000"/>
        <w:tblLook w:firstRow="0" w:lastRow="0" w:firstColumn="0" w:lastColumn="0" w:noHBand="0" w:noVBand="0" w:val="0000"/>
        <w:jc w:val="start"/>
        <w:tblLayout w:type="fixed"/>
      </w:tblPr>
      <w:tblGrid>
        <w:gridCol w:w="7920"/>
      </w:tblGrid>
      <w:tr>
        <w:tc>
          <w:tcPr/>
          <w:bookmarkStart w:id="36" w:name="tbl-tech-aurp2"/>
          <w:p>
            <w:pPr>
              <w:jc w:val="center"/>
            </w:pPr>
            <w:pPr>
              <w:jc w:val="start"/>
              <w:spacing w:before="200"/>
              <w:pStyle w:val="ImageCaption"/>
            </w:pPr>
            <w:r>
              <w:t xml:space="preserve">Table 2: Aur-P2 sites assigned by technology rather than radiocarbon date.</w:t>
            </w:r>
          </w:p>
          <w:tbl>
            <w:tblPr>
              <w:tblStyle w:val="Table"/>
              <w:tblW w:type="pct" w:w="5000"/>
              <w:tblLook w:firstRow="1" w:lastRow="0" w:firstColumn="0" w:lastColumn="0" w:noHBand="0" w:noVBand="0" w:val="0020"/>
              <w:jc w:val="start"/>
              <w:tblLayout w:type="fixed"/>
            </w:tblPr>
            <w:tblGrid>
              <w:gridCol w:w="442"/>
              <w:gridCol w:w="321"/>
              <w:gridCol w:w="7156"/>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Hohle Fels</w:t>
                  </w:r>
                </w:p>
              </w:tc>
              <w:tc>
                <w:tcPr/>
                <w:p>
                  <w:pPr>
                    <w:pStyle w:val="Compact"/>
                    <w:jc w:val="right"/>
                    <w:jc w:val="center"/>
                  </w:pPr>
                  <w:r>
                    <w:t xml:space="preserve">29</w:t>
                  </w:r>
                </w:p>
              </w:tc>
              <w:tc>
                <w:tcPr/>
                <w:p>
                  <w:pPr>
                    <w:pStyle w:val="Compact"/>
                    <w:jc w:val="left"/>
                    <w:jc w:val="center"/>
                  </w:pPr>
                  <w:r>
                    <w:t xml:space="preserve">Layer-level split: AH V Early Aurignacian (Aur-P1); AH IV, III and II-series Evolved/Late Aurignacian (Aur-P2)</w:t>
                  </w:r>
                  <w:r>
                    <w:t xml:space="preserve"> </w:t>
                  </w:r>
                  <w:r>
                    <w:t xml:space="preserve">[6–8]</w:t>
                  </w:r>
                </w:p>
              </w:tc>
            </w:tr>
            <w:tr>
              <w:tc>
                <w:tcPr/>
                <w:p>
                  <w:pPr>
                    <w:pStyle w:val="Compact"/>
                    <w:jc w:val="left"/>
                    <w:jc w:val="center"/>
                  </w:pPr>
                  <w:r>
                    <w:t xml:space="preserve">Mladeč</w:t>
                  </w:r>
                </w:p>
              </w:tc>
              <w:tc>
                <w:tcPr/>
                <w:p>
                  <w:pPr>
                    <w:pStyle w:val="Compact"/>
                    <w:jc w:val="right"/>
                    <w:jc w:val="center"/>
                  </w:pPr>
                  <w:r>
                    <w:t xml:space="preserve">4</w:t>
                  </w:r>
                </w:p>
              </w:tc>
              <w:tc>
                <w:tcPr/>
                <w:p>
                  <w:pPr>
                    <w:pStyle w:val="Compact"/>
                    <w:jc w:val="left"/>
                    <w:jc w:val="center"/>
                  </w:pPr>
                  <w:r>
                    <w:t xml:space="preserve">Evolved Aurignacian</w:t>
                  </w:r>
                  <w:r>
                    <w:t xml:space="preserve"> </w:t>
                  </w:r>
                  <w:r>
                    <w:t xml:space="preserve">[10]</w:t>
                  </w:r>
                </w:p>
              </w:tc>
            </w:tr>
          </w:tbl>
          <w:bookmarkEnd w:id="36"/>
          <w:p/>
        </w:tc>
      </w:tr>
    </w:tbl>
    <w:bookmarkEnd w:id="37"/>
    <w:bookmarkStart w:id="39" w:name="excluded-due-to-mixing"/>
    <w:p>
      <w:pPr>
        <w:pStyle w:val="Heading3"/>
      </w:pPr>
      <w:r>
        <w:t xml:space="preserve">Excluded due to mixing</w:t>
      </w:r>
    </w:p>
    <w:tbl>
      <w:tblPr>
        <w:tblStyle w:val="Table"/>
        <w:tblW w:type="pct" w:w="5000"/>
        <w:tblLook w:firstRow="0" w:lastRow="0" w:firstColumn="0" w:lastColumn="0" w:noHBand="0" w:noVBand="0" w:val="0000"/>
        <w:jc w:val="start"/>
        <w:tblLayout w:type="fixed"/>
      </w:tblPr>
      <w:tblGrid>
        <w:gridCol w:w="7920"/>
      </w:tblGrid>
      <w:tr>
        <w:tc>
          <w:tcPr/>
          <w:bookmarkStart w:id="38" w:name="tbl-excluded"/>
          <w:p>
            <w:pPr>
              <w:jc w:val="center"/>
            </w:pPr>
            <w:pPr>
              <w:jc w:val="start"/>
              <w:spacing w:before="200"/>
              <w:pStyle w:val="ImageCaption"/>
            </w:pPr>
            <w:r>
              <w:t xml:space="preserve">Table 3: Sites excluded from the analysis because of mixed/contaminated assemblages.</w:t>
            </w:r>
          </w:p>
          <w:tbl>
            <w:tblPr>
              <w:tblStyle w:val="Table"/>
              <w:tblW w:type="pct" w:w="5000"/>
              <w:tblLook w:firstRow="1" w:lastRow="0" w:firstColumn="0" w:lastColumn="0" w:noHBand="0" w:noVBand="0" w:val="0020"/>
              <w:jc w:val="start"/>
              <w:tblLayout w:type="fixed"/>
            </w:tblPr>
            <w:tblGrid>
              <w:gridCol w:w="779"/>
              <w:gridCol w:w="519"/>
              <w:gridCol w:w="6621"/>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El Castillo</w:t>
                  </w:r>
                </w:p>
              </w:tc>
              <w:tc>
                <w:tcPr/>
                <w:p>
                  <w:pPr>
                    <w:pStyle w:val="Compact"/>
                    <w:jc w:val="right"/>
                    <w:jc w:val="center"/>
                  </w:pPr>
                  <w:r>
                    <w:t xml:space="preserve">3</w:t>
                  </w:r>
                </w:p>
              </w:tc>
              <w:tc>
                <w:tcPr/>
                <w:p>
                  <w:pPr>
                    <w:pStyle w:val="Compact"/>
                    <w:jc w:val="left"/>
                    <w:jc w:val="center"/>
                  </w:pPr>
                  <w:r>
                    <w:t xml:space="preserve">Mixed/contaminated layers preclude reliable assignment</w:t>
                  </w:r>
                </w:p>
              </w:tc>
            </w:tr>
            <w:tr>
              <w:tc>
                <w:tcPr/>
                <w:p>
                  <w:pPr>
                    <w:pStyle w:val="Compact"/>
                    <w:jc w:val="left"/>
                    <w:jc w:val="center"/>
                  </w:pPr>
                  <w:r>
                    <w:t xml:space="preserve">Spy</w:t>
                  </w:r>
                </w:p>
              </w:tc>
              <w:tc>
                <w:tcPr/>
                <w:p>
                  <w:pPr>
                    <w:pStyle w:val="Compact"/>
                    <w:jc w:val="right"/>
                    <w:jc w:val="center"/>
                  </w:pPr>
                  <w:r>
                    <w:t xml:space="preserve">25</w:t>
                  </w:r>
                </w:p>
              </w:tc>
              <w:tc>
                <w:tcPr/>
                <w:p>
                  <w:pPr>
                    <w:pStyle w:val="Compact"/>
                    <w:jc w:val="left"/>
                    <w:jc w:val="center"/>
                  </w:pPr>
                  <w:r>
                    <w:t xml:space="preserve">Mixed assemblage, no single Proto-Aurignacian attribution</w:t>
                  </w:r>
                  <w:r>
                    <w:t xml:space="preserve"> </w:t>
                  </w:r>
                  <w:r>
                    <w:t xml:space="preserve">[14–16]</w:t>
                  </w:r>
                </w:p>
              </w:tc>
            </w:tr>
          </w:tbl>
          <w:bookmarkEnd w:id="38"/>
          <w:p/>
        </w:tc>
      </w:tr>
    </w:tbl>
    <w:bookmarkEnd w:id="39"/>
    <w:bookmarkStart w:id="41"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w:t>
      </w:r>
    </w:p>
    <w:tbl>
      <w:tblPr>
        <w:tblStyle w:val="Table"/>
        <w:tblW w:type="pct" w:w="5000"/>
        <w:tblLook w:firstRow="0" w:lastRow="0" w:firstColumn="0" w:lastColumn="0" w:noHBand="0" w:noVBand="0" w:val="0000"/>
        <w:jc w:val="start"/>
        <w:tblLayout w:type="fixed"/>
      </w:tblPr>
      <w:tblGrid>
        <w:gridCol w:w="7920"/>
      </w:tblGrid>
      <w:tr>
        <w:tc>
          <w:tcPr/>
          <w:bookmarkStart w:id="40" w:name="tbl-date-aurp1"/>
          <w:p>
            <w:pPr>
              <w:jc w:val="center"/>
            </w:pPr>
            <w:pPr>
              <w:jc w:val="start"/>
              <w:spacing w:before="200"/>
              <w:pStyle w:val="ImageCaption"/>
            </w:pPr>
            <w:r>
              <w:t xml:space="preserve">Table 4: Aur-P1 sites assigned by their calibrated radiocarbon date.</w:t>
            </w:r>
          </w:p>
          <w:tbl>
            <w:tblPr>
              <w:tblStyle w:val="Table"/>
              <w:tblW w:type="pct" w:w="5000"/>
              <w:tblLook w:firstRow="1" w:lastRow="0" w:firstColumn="0" w:lastColumn="0" w:noHBand="0" w:noVBand="0" w:val="0020"/>
              <w:jc w:val="start"/>
              <w:tblLayout w:type="fixed"/>
            </w:tblPr>
            <w:tblGrid>
              <w:gridCol w:w="1516"/>
              <w:gridCol w:w="449"/>
              <w:gridCol w:w="595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Cellier</w:t>
                  </w:r>
                </w:p>
              </w:tc>
              <w:tc>
                <w:tcPr/>
                <w:p>
                  <w:pPr>
                    <w:pStyle w:val="Compact"/>
                    <w:jc w:val="right"/>
                    <w:jc w:val="center"/>
                  </w:pPr>
                  <w:r>
                    <w:t xml:space="preserve">28</w:t>
                  </w:r>
                </w:p>
              </w:tc>
              <w:tc>
                <w:tcPr/>
                <w:p>
                  <w:pPr>
                    <w:pStyle w:val="Compact"/>
                    <w:jc w:val="left"/>
                    <w:jc w:val="center"/>
                  </w:pPr>
                  <w:r>
                    <w:t xml:space="preserve">MedianBP 37,799–39,799</w:t>
                  </w:r>
                </w:p>
              </w:tc>
            </w:tr>
            <w:tr>
              <w:tc>
                <w:tcPr/>
                <w:p>
                  <w:pPr>
                    <w:pStyle w:val="Compact"/>
                    <w:jc w:val="left"/>
                    <w:jc w:val="center"/>
                  </w:pPr>
                  <w:r>
                    <w:t xml:space="preserve">Castanet</w:t>
                  </w:r>
                </w:p>
              </w:tc>
              <w:tc>
                <w:tcPr/>
                <w:p>
                  <w:pPr>
                    <w:pStyle w:val="Compact"/>
                    <w:jc w:val="right"/>
                    <w:jc w:val="center"/>
                  </w:pPr>
                  <w:r>
                    <w:t xml:space="preserve">21</w:t>
                  </w:r>
                </w:p>
              </w:tc>
              <w:tc>
                <w:tcPr/>
                <w:p>
                  <w:pPr>
                    <w:pStyle w:val="Compact"/>
                    <w:jc w:val="left"/>
                    <w:jc w:val="center"/>
                  </w:pPr>
                  <w:r>
                    <w:t xml:space="preserve">MedianBP 37,799–39,799</w:t>
                  </w:r>
                </w:p>
              </w:tc>
            </w:tr>
            <w:tr>
              <w:tc>
                <w:tcPr/>
                <w:p>
                  <w:pPr>
                    <w:pStyle w:val="Compact"/>
                    <w:jc w:val="left"/>
                    <w:jc w:val="center"/>
                  </w:pPr>
                  <w:r>
                    <w:t xml:space="preserve">Blanchard</w:t>
                  </w:r>
                </w:p>
              </w:tc>
              <w:tc>
                <w:tcPr/>
                <w:p>
                  <w:pPr>
                    <w:pStyle w:val="Compact"/>
                    <w:jc w:val="right"/>
                    <w:jc w:val="center"/>
                  </w:pPr>
                  <w:r>
                    <w:t xml:space="preserve">18</w:t>
                  </w:r>
                </w:p>
              </w:tc>
              <w:tc>
                <w:tcPr/>
                <w:p>
                  <w:pPr>
                    <w:pStyle w:val="Compact"/>
                    <w:jc w:val="left"/>
                    <w:jc w:val="center"/>
                  </w:pPr>
                  <w:r>
                    <w:t xml:space="preserve">MedianBP 37,799–39,799</w:t>
                  </w:r>
                </w:p>
              </w:tc>
            </w:tr>
            <w:tr>
              <w:tc>
                <w:tcPr/>
                <w:p>
                  <w:pPr>
                    <w:pStyle w:val="Compact"/>
                    <w:jc w:val="left"/>
                    <w:jc w:val="center"/>
                  </w:pPr>
                  <w:r>
                    <w:t xml:space="preserve">Grotte du Renne</w:t>
                  </w:r>
                </w:p>
              </w:tc>
              <w:tc>
                <w:tcPr/>
                <w:p>
                  <w:pPr>
                    <w:pStyle w:val="Compact"/>
                    <w:jc w:val="right"/>
                    <w:jc w:val="center"/>
                  </w:pPr>
                  <w:r>
                    <w:t xml:space="preserve">7</w:t>
                  </w:r>
                </w:p>
              </w:tc>
              <w:tc>
                <w:tcPr/>
                <w:p>
                  <w:pPr>
                    <w:pStyle w:val="Compact"/>
                    <w:jc w:val="left"/>
                    <w:jc w:val="center"/>
                  </w:pPr>
                  <w:r>
                    <w:t xml:space="preserve">MedianBP &gt; 39,799</w:t>
                  </w:r>
                </w:p>
              </w:tc>
            </w:tr>
            <w:tr>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Solutré</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Riparo Bombrini</w:t>
                  </w:r>
                </w:p>
              </w:tc>
              <w:tc>
                <w:tcPr/>
                <w:p>
                  <w:pPr>
                    <w:pStyle w:val="Compact"/>
                    <w:jc w:val="right"/>
                    <w:jc w:val="center"/>
                  </w:pPr>
                  <w:r>
                    <w:t xml:space="preserve">3</w:t>
                  </w:r>
                </w:p>
              </w:tc>
              <w:tc>
                <w:tcPr/>
                <w:p>
                  <w:pPr>
                    <w:pStyle w:val="Compact"/>
                    <w:jc w:val="left"/>
                    <w:jc w:val="center"/>
                  </w:pPr>
                  <w:r>
                    <w:t xml:space="preserve">MedianBP 37,799–39,799</w:t>
                  </w:r>
                </w:p>
              </w:tc>
            </w:tr>
            <w:tr>
              <w:tc>
                <w:tcPr/>
                <w:p>
                  <w:pPr>
                    <w:pStyle w:val="Compact"/>
                    <w:jc w:val="left"/>
                    <w:jc w:val="center"/>
                  </w:pPr>
                  <w:r>
                    <w:t xml:space="preserve">Hohlenstein-Stadel</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Labeko Koba</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Les Cottés</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left"/>
                    <w:jc w:val="center"/>
                  </w:pPr>
                  <w:r>
                    <w:t xml:space="preserve">MedianBP &gt; 39,799 (Protoaurignacian throughout sequence</w:t>
                  </w:r>
                  <w:r>
                    <w:t xml:space="preserve"> </w:t>
                  </w:r>
                  <w:r>
                    <w:t xml:space="preserve">[3,4]</w:t>
                  </w:r>
                  <w:r>
                    <w:t xml:space="preserve">)</w:t>
                  </w:r>
                </w:p>
              </w:tc>
            </w:tr>
            <w:tr>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left"/>
                    <w:jc w:val="center"/>
                  </w:pPr>
                  <w:r>
                    <w:t xml:space="preserve">MedianBP 37,799–39,799</w:t>
                  </w:r>
                </w:p>
              </w:tc>
            </w:tr>
            <w:tr>
              <w:tc>
                <w:tcPr/>
                <w:p>
                  <w:pPr>
                    <w:pStyle w:val="Compact"/>
                    <w:jc w:val="left"/>
                    <w:jc w:val="center"/>
                  </w:pPr>
                  <w:r>
                    <w:t xml:space="preserve">Pod Hradem</w:t>
                  </w:r>
                </w:p>
              </w:tc>
              <w:tc>
                <w:tcPr/>
                <w:p>
                  <w:pPr>
                    <w:pStyle w:val="Compact"/>
                    <w:jc w:val="right"/>
                    <w:jc w:val="center"/>
                  </w:pPr>
                  <w:r>
                    <w:t xml:space="preserve">1</w:t>
                  </w:r>
                </w:p>
              </w:tc>
              <w:tc>
                <w:tcPr/>
                <w:p>
                  <w:pPr>
                    <w:pStyle w:val="Compact"/>
                    <w:jc w:val="left"/>
                    <w:jc w:val="center"/>
                  </w:pPr>
                  <w:r>
                    <w:t xml:space="preserve">MedianBP &gt; 39,799</w:t>
                  </w:r>
                </w:p>
              </w:tc>
            </w:tr>
            <w:tr>
              <w:tc>
                <w:tcPr/>
                <w:p>
                  <w:pPr>
                    <w:pStyle w:val="Compact"/>
                    <w:jc w:val="left"/>
                    <w:jc w:val="center"/>
                  </w:pPr>
                  <w:r>
                    <w:t xml:space="preserve">Trou al’Wesse</w:t>
                  </w:r>
                </w:p>
              </w:tc>
              <w:tc>
                <w:tcPr/>
                <w:p>
                  <w:pPr>
                    <w:pStyle w:val="Compact"/>
                    <w:jc w:val="right"/>
                    <w:jc w:val="center"/>
                  </w:pPr>
                  <w:r>
                    <w:t xml:space="preserve">1</w:t>
                  </w:r>
                </w:p>
              </w:tc>
              <w:tc>
                <w:tcPr/>
                <w:p>
                  <w:pPr>
                    <w:pStyle w:val="Compact"/>
                    <w:jc w:val="left"/>
                    <w:jc w:val="center"/>
                  </w:pPr>
                  <w:r>
                    <w:t xml:space="preserve">MedianBP 37,799–39,799</w:t>
                  </w:r>
                </w:p>
              </w:tc>
            </w:tr>
          </w:tbl>
          <w:bookmarkEnd w:id="40"/>
          <w:p/>
        </w:tc>
      </w:tr>
    </w:tbl>
    <w:bookmarkEnd w:id="41"/>
    <w:bookmarkStart w:id="43" w:name="aur-p2-evolvedlate-date-based-assignment"/>
    <w:p>
      <w:pPr>
        <w:pStyle w:val="Heading3"/>
      </w:pPr>
      <w:r>
        <w:t xml:space="preserve">Aur-P2 (Evolved/Late) — date-based assignment</w:t>
      </w:r>
    </w:p>
    <w:tbl>
      <w:tblPr>
        <w:tblStyle w:val="Table"/>
        <w:tblW w:type="pct" w:w="5000"/>
        <w:tblLook w:firstRow="0" w:lastRow="0" w:firstColumn="0" w:lastColumn="0" w:noHBand="0" w:noVBand="0" w:val="0000"/>
        <w:jc w:val="start"/>
        <w:tblLayout w:type="fixed"/>
      </w:tblPr>
      <w:tblGrid>
        <w:gridCol w:w="7920"/>
      </w:tblGrid>
      <w:tr>
        <w:tc>
          <w:tcPr/>
          <w:bookmarkStart w:id="42" w:name="tbl-date-aurp2"/>
          <w:p>
            <w:pPr>
              <w:jc w:val="center"/>
            </w:pPr>
            <w:pPr>
              <w:jc w:val="start"/>
              <w:spacing w:before="200"/>
              <w:pStyle w:val="ImageCaption"/>
            </w:pPr>
            <w:r>
              <w:t xml:space="preserve">Table 5: Aur-P2 sites assigned by their calibrated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Trou Magrite</w:t>
                  </w:r>
                </w:p>
              </w:tc>
              <w:tc>
                <w:tcPr/>
                <w:p>
                  <w:pPr>
                    <w:pStyle w:val="Compact"/>
                    <w:jc w:val="right"/>
                    <w:jc w:val="center"/>
                  </w:pPr>
                  <w:r>
                    <w:t xml:space="preserve">12</w:t>
                  </w:r>
                </w:p>
              </w:tc>
              <w:tc>
                <w:tcPr/>
                <w:p>
                  <w:pPr>
                    <w:pStyle w:val="Compact"/>
                    <w:jc w:val="left"/>
                    <w:jc w:val="center"/>
                  </w:pPr>
                  <w:r>
                    <w:t xml:space="preserve">MedianBP 31,999–37,799</w:t>
                  </w:r>
                </w:p>
              </w:tc>
            </w:tr>
            <w:tr>
              <w:tc>
                <w:tcPr/>
                <w:p>
                  <w:pPr>
                    <w:pStyle w:val="Compact"/>
                    <w:jc w:val="left"/>
                    <w:jc w:val="center"/>
                  </w:pPr>
                  <w:r>
                    <w:t xml:space="preserve">Gargas</w:t>
                  </w:r>
                </w:p>
              </w:tc>
              <w:tc>
                <w:tcPr/>
                <w:p>
                  <w:pPr>
                    <w:pStyle w:val="Compact"/>
                    <w:jc w:val="right"/>
                    <w:jc w:val="center"/>
                  </w:pPr>
                  <w:r>
                    <w:t xml:space="preserve">11</w:t>
                  </w:r>
                </w:p>
              </w:tc>
              <w:tc>
                <w:tcPr/>
                <w:p>
                  <w:pPr>
                    <w:pStyle w:val="Compact"/>
                    <w:jc w:val="left"/>
                    <w:jc w:val="center"/>
                  </w:pPr>
                  <w:r>
                    <w:t xml:space="preserve">MedianBP 31,999–37,799</w:t>
                  </w:r>
                </w:p>
              </w:tc>
            </w:tr>
            <w:tr>
              <w:tc>
                <w:tcPr/>
                <w:p>
                  <w:pPr>
                    <w:pStyle w:val="Compact"/>
                    <w:jc w:val="left"/>
                    <w:jc w:val="center"/>
                  </w:pPr>
                  <w:r>
                    <w:t xml:space="preserve">Bockstein-Törle</w:t>
                  </w:r>
                </w:p>
              </w:tc>
              <w:tc>
                <w:tcPr/>
                <w:p>
                  <w:pPr>
                    <w:pStyle w:val="Compact"/>
                    <w:jc w:val="right"/>
                    <w:jc w:val="center"/>
                  </w:pPr>
                  <w:r>
                    <w:t xml:space="preserve">3</w:t>
                  </w:r>
                </w:p>
              </w:tc>
              <w:tc>
                <w:tcPr/>
                <w:p>
                  <w:pPr>
                    <w:pStyle w:val="Compact"/>
                    <w:jc w:val="left"/>
                    <w:jc w:val="center"/>
                  </w:pPr>
                  <w:r>
                    <w:t xml:space="preserve">MedianBP 31,999–37,799</w:t>
                  </w:r>
                </w:p>
              </w:tc>
            </w:tr>
            <w:tr>
              <w:tc>
                <w:tcPr/>
                <w:p>
                  <w:pPr>
                    <w:pStyle w:val="Compact"/>
                    <w:jc w:val="left"/>
                    <w:jc w:val="center"/>
                  </w:pPr>
                  <w:r>
                    <w:t xml:space="preserve">La Viña</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Les Rois</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Sirgenstein Cave</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Vindija Cave</w:t>
                  </w:r>
                </w:p>
              </w:tc>
              <w:tc>
                <w:tcPr/>
                <w:p>
                  <w:pPr>
                    <w:pStyle w:val="Compact"/>
                    <w:jc w:val="right"/>
                    <w:jc w:val="center"/>
                  </w:pPr>
                  <w:r>
                    <w:t xml:space="preserve">1</w:t>
                  </w:r>
                </w:p>
              </w:tc>
              <w:tc>
                <w:tcPr/>
                <w:p>
                  <w:pPr>
                    <w:pStyle w:val="Compact"/>
                    <w:jc w:val="left"/>
                    <w:jc w:val="center"/>
                  </w:pPr>
                  <w:r>
                    <w:t xml:space="preserve">MedianBP 31,999–37,799</w:t>
                  </w:r>
                </w:p>
              </w:tc>
            </w:tr>
          </w:tbl>
          <w:bookmarkEnd w:id="42"/>
          <w:p/>
        </w:tc>
      </w:tr>
    </w:tbl>
    <w:bookmarkEnd w:id="43"/>
    <w:bookmarkStart w:id="45"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A site’s signed objects remain in the analysis only if the site also passes the date-parsing/calibration step (27 sites drop out there)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4" w:name="tbl-zero-sign"/>
          <w:p>
            <w:pPr>
              <w:jc w:val="center"/>
            </w:pPr>
            <w:pPr>
              <w:jc w:val="start"/>
              <w:spacing w:before="200"/>
              <w:pStyle w:val="ImageCaption"/>
            </w:pPr>
            <w:r>
              <w:t xml:space="preserve">Table 6: Sites contributing objects without geometric signs, and whether the site remains in the analysis.</w:t>
            </w:r>
          </w:p>
          <w:tbl>
            <w:tblPr>
              <w:tblStyle w:val="Table"/>
              <w:tblW w:type="pct" w:w="5000"/>
              <w:tblLook w:firstRow="1" w:lastRow="0" w:firstColumn="0" w:lastColumn="0" w:noHBand="0" w:noVBand="0" w:val="0020"/>
              <w:jc w:val="start"/>
              <w:tblLayout w:type="fixed"/>
            </w:tblPr>
            <w:tblGrid>
              <w:gridCol w:w="2096"/>
              <w:gridCol w:w="1708"/>
              <w:gridCol w:w="1164"/>
              <w:gridCol w:w="2950"/>
            </w:tblGrid>
            <w:tr>
              <w:trPr>
                <w:tblHeader w:val="true"/>
              </w:trPr>
              <w:tc>
                <w:tcPr/>
                <w:p>
                  <w:pPr>
                    <w:pStyle w:val="Compact"/>
                    <w:jc w:val="left"/>
                    <w:jc w:val="center"/>
                  </w:pPr>
                  <w:r>
                    <w:t xml:space="preserve">Site</w:t>
                  </w:r>
                </w:p>
              </w:tc>
              <w:tc>
                <w:tcPr/>
                <w:p>
                  <w:pPr>
                    <w:pStyle w:val="Compact"/>
                    <w:jc w:val="right"/>
                    <w:jc w:val="center"/>
                  </w:pPr>
                  <w:r>
                    <w:t xml:space="preserve">Objects without signs</w:t>
                  </w:r>
                </w:p>
              </w:tc>
              <w:tc>
                <w:tcPr/>
                <w:p>
                  <w:pPr>
                    <w:pStyle w:val="Compact"/>
                    <w:jc w:val="right"/>
                    <w:jc w:val="center"/>
                  </w:pPr>
                  <w:r>
                    <w:t xml:space="preserve">Signed objects</w:t>
                  </w:r>
                </w:p>
              </w:tc>
              <w:tc>
                <w:tcPr/>
                <w:p>
                  <w:pPr>
                    <w:pStyle w:val="Compact"/>
                    <w:jc w:val="left"/>
                    <w:jc w:val="center"/>
                  </w:pPr>
                  <w:r>
                    <w:t xml:space="preserve">In analysis?</w:t>
                  </w:r>
                </w:p>
              </w:tc>
            </w:tr>
            <w:tr>
              <w:tc>
                <w:tcPr/>
                <w:p>
                  <w:pPr>
                    <w:pStyle w:val="Compact"/>
                    <w:jc w:val="left"/>
                    <w:jc w:val="center"/>
                  </w:pPr>
                  <w:r>
                    <w:t xml:space="preserve">Maisières-Canal</w:t>
                  </w:r>
                </w:p>
              </w:tc>
              <w:tc>
                <w:tcPr/>
                <w:p>
                  <w:pPr>
                    <w:pStyle w:val="Compact"/>
                    <w:jc w:val="right"/>
                    <w:jc w:val="center"/>
                  </w:pPr>
                  <w:r>
                    <w:t xml:space="preserve">2</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173</w:t>
                  </w:r>
                </w:p>
              </w:tc>
              <w:tc>
                <w:tcPr/>
                <w:p>
                  <w:pPr>
                    <w:pStyle w:val="Compact"/>
                    <w:jc w:val="left"/>
                    <w:jc w:val="center"/>
                  </w:pPr>
                  <w:r>
                    <w:t xml:space="preserve">Yes</w:t>
                  </w:r>
                </w:p>
              </w:tc>
            </w:tr>
            <w:tr>
              <w:tc>
                <w:tcPr/>
                <w:p>
                  <w:pPr>
                    <w:pStyle w:val="Compact"/>
                    <w:jc w:val="left"/>
                    <w:jc w:val="center"/>
                  </w:pPr>
                  <w:r>
                    <w:t xml:space="preserve">Abri de Laussel</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21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28</w:t>
                  </w:r>
                </w:p>
              </w:tc>
              <w:tc>
                <w:tcPr/>
                <w:p>
                  <w:pPr>
                    <w:pStyle w:val="Compact"/>
                    <w:jc w:val="left"/>
                    <w:jc w:val="center"/>
                  </w:pPr>
                  <w:r>
                    <w:t xml:space="preserve">Yes</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Yes</w:t>
                  </w:r>
                </w:p>
              </w:tc>
            </w:tr>
            <w:tr>
              <w:tc>
                <w:tcPr/>
                <w:p>
                  <w:pPr>
                    <w:pStyle w:val="Compact"/>
                    <w:jc w:val="left"/>
                    <w:jc w:val="center"/>
                  </w:pPr>
                  <w:r>
                    <w:t xml:space="preserve">Grotte de Goyet</w:t>
                  </w:r>
                </w:p>
              </w:tc>
              <w:tc>
                <w:tcPr/>
                <w:p>
                  <w:pPr>
                    <w:pStyle w:val="Compact"/>
                    <w:jc w:val="right"/>
                    <w:jc w:val="center"/>
                  </w:pPr>
                  <w:r>
                    <w:t xml:space="preserve">1</w:t>
                  </w:r>
                </w:p>
              </w:tc>
              <w:tc>
                <w:tcPr/>
                <w:p>
                  <w:pPr>
                    <w:pStyle w:val="Compact"/>
                    <w:jc w:val="right"/>
                    <w:jc w:val="center"/>
                  </w:pPr>
                  <w:r>
                    <w:t xml:space="preserve">12</w:t>
                  </w:r>
                </w:p>
              </w:tc>
              <w:tc>
                <w:tcPr/>
                <w:p>
                  <w:pPr>
                    <w:pStyle w:val="Compact"/>
                    <w:jc w:val="left"/>
                    <w:jc w:val="center"/>
                  </w:pPr>
                  <w:r>
                    <w:t xml:space="preserve">No (date parsing)</w:t>
                  </w:r>
                </w:p>
              </w:tc>
            </w:tr>
            <w:tr>
              <w:tc>
                <w:tcPr/>
                <w:p>
                  <w:pPr>
                    <w:pStyle w:val="Compact"/>
                    <w:jc w:val="left"/>
                    <w:jc w:val="center"/>
                  </w:pPr>
                  <w:r>
                    <w:t xml:space="preserve">Labeko Koba</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Yes</w:t>
                  </w:r>
                </w:p>
              </w:tc>
            </w:tr>
            <w:tr>
              <w:tc>
                <w:tcPr/>
                <w:p>
                  <w:pPr>
                    <w:pStyle w:val="Compact"/>
                    <w:jc w:val="left"/>
                    <w:jc w:val="center"/>
                  </w:pPr>
                  <w:r>
                    <w:t xml:space="preserve">Menton/Grottes du Grimaldi</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No (date parsing)</w:t>
                  </w:r>
                </w:p>
              </w:tc>
            </w:tr>
            <w:tr>
              <w:tc>
                <w:tcPr/>
                <w:p>
                  <w:pPr>
                    <w:pStyle w:val="Compact"/>
                    <w:jc w:val="left"/>
                    <w:jc w:val="center"/>
                  </w:pPr>
                  <w:r>
                    <w:t xml:space="preserve">Nová Dědina</w:t>
                  </w:r>
                </w:p>
              </w:tc>
              <w:tc>
                <w:tcPr/>
                <w:p>
                  <w:pPr>
                    <w:pStyle w:val="Compact"/>
                    <w:jc w:val="right"/>
                    <w:jc w:val="center"/>
                  </w:pPr>
                  <w:r>
                    <w:t xml:space="preserve">1</w:t>
                  </w:r>
                </w:p>
              </w:tc>
              <w:tc>
                <w:tcPr/>
                <w:p>
                  <w:pPr>
                    <w:pStyle w:val="Compact"/>
                    <w:jc w:val="right"/>
                    <w:jc w:val="center"/>
                  </w:pPr>
                  <w:r>
                    <w:t xml:space="preserve">3</w:t>
                  </w:r>
                </w:p>
              </w:tc>
              <w:tc>
                <w:tcPr/>
                <w:p>
                  <w:pPr>
                    <w:pStyle w:val="Compact"/>
                    <w:jc w:val="left"/>
                    <w:jc w:val="center"/>
                  </w:pPr>
                  <w:r>
                    <w:t xml:space="preserve">No (date parsing)</w:t>
                  </w:r>
                </w:p>
              </w:tc>
            </w:tr>
            <w:tr>
              <w:tc>
                <w:tcPr/>
                <w:p>
                  <w:pPr>
                    <w:pStyle w:val="Compact"/>
                    <w:jc w:val="left"/>
                    <w:jc w:val="center"/>
                  </w:pPr>
                  <w:r>
                    <w:t xml:space="preserve">Spy</w:t>
                  </w:r>
                </w:p>
              </w:tc>
              <w:tc>
                <w:tcPr/>
                <w:p>
                  <w:pPr>
                    <w:pStyle w:val="Compact"/>
                    <w:jc w:val="right"/>
                    <w:jc w:val="center"/>
                  </w:pPr>
                  <w:r>
                    <w:t xml:space="preserve">1</w:t>
                  </w:r>
                </w:p>
              </w:tc>
              <w:tc>
                <w:tcPr/>
                <w:p>
                  <w:pPr>
                    <w:pStyle w:val="Compact"/>
                    <w:jc w:val="right"/>
                    <w:jc w:val="center"/>
                  </w:pPr>
                  <w:r>
                    <w:t xml:space="preserve">25</w:t>
                  </w:r>
                </w:p>
              </w:tc>
              <w:tc>
                <w:tcPr/>
                <w:p>
                  <w:pPr>
                    <w:pStyle w:val="Compact"/>
                    <w:jc w:val="left"/>
                    <w:jc w:val="center"/>
                  </w:pPr>
                  <w:r>
                    <w:t xml:space="preserve">No (excluded for mixing)</w:t>
                  </w:r>
                </w:p>
              </w:tc>
            </w:tr>
            <w:tr>
              <w:tc>
                <w:tcPr/>
                <w:p>
                  <w:pPr>
                    <w:pStyle w:val="Compact"/>
                    <w:jc w:val="left"/>
                    <w:jc w:val="center"/>
                  </w:pPr>
                  <w:r>
                    <w:t xml:space="preserve">Willendorf</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w:r>
                    <w:t xml:space="preserve">No (excluded before phase assignment)</w:t>
                  </w:r>
                </w:p>
              </w:tc>
            </w:tr>
          </w:tbl>
          <w:bookmarkEnd w:id="44"/>
          <w:p/>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w:t>
      </w:r>
    </w:p>
    <w:bookmarkEnd w:id="45"/>
    <w:bookmarkEnd w:id="46"/>
    <w:bookmarkStart w:id="81" w:name="references-cited"/>
    <w:p>
      <w:pPr>
        <w:pStyle w:val="Heading2"/>
      </w:pPr>
      <w:r>
        <w:t xml:space="preserve">References cited</w:t>
      </w:r>
    </w:p>
    <w:bookmarkStart w:id="80" w:name="refs"/>
    <w:bookmarkStart w:id="48"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47">
        <w:r>
          <w:rPr>
            <w:rStyle w:val="Hyperlink"/>
          </w:rPr>
          <w:t xml:space="preserve">https://doi.org/10.30861/9781841718309</w:t>
        </w:r>
      </w:hyperlink>
      <w:r>
        <w:t xml:space="preserve">.</w:t>
      </w:r>
    </w:p>
    <w:bookmarkEnd w:id="48"/>
    <w:bookmarkStart w:id="50"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49">
        <w:r>
          <w:rPr>
            <w:rStyle w:val="Hyperlink"/>
          </w:rPr>
          <w:t xml:space="preserve">https://doi.org/10.1016/j.jhevol.2011.06.005</w:t>
        </w:r>
      </w:hyperlink>
      <w:r>
        <w:t xml:space="preserve">.</w:t>
      </w:r>
    </w:p>
    <w:bookmarkEnd w:id="50"/>
    <w:bookmarkStart w:id="52" w:name="ref-Falcucci_Peresani_2017"/>
    <w:p>
      <w:pPr>
        <w:pStyle w:val="Bibliography"/>
      </w:pPr>
      <w:r>
        <w:t xml:space="preserve">[3]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51">
        <w:r>
          <w:rPr>
            <w:rStyle w:val="Hyperlink"/>
          </w:rPr>
          <w:t xml:space="preserve">https://doi.org/10.1371/journal.pone.0189241</w:t>
        </w:r>
      </w:hyperlink>
      <w:r>
        <w:t xml:space="preserve">.</w:t>
      </w:r>
    </w:p>
    <w:bookmarkEnd w:id="52"/>
    <w:bookmarkStart w:id="54" w:name="ref-falcucci2020breaking"/>
    <w:p>
      <w:pPr>
        <w:pStyle w:val="Bibliography"/>
      </w:pPr>
      <w:r>
        <w:t xml:space="preserve">[4]</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53">
        <w:r>
          <w:rPr>
            <w:rStyle w:val="Hyperlink"/>
          </w:rPr>
          <w:t xml:space="preserve">https://doi.org/10.4436/JASS.98021</w:t>
        </w:r>
      </w:hyperlink>
      <w:r>
        <w:t xml:space="preserve">.</w:t>
      </w:r>
    </w:p>
    <w:bookmarkEnd w:id="54"/>
    <w:bookmarkStart w:id="56" w:name="ref-Barshay_Szmidt_2012"/>
    <w:p>
      <w:pPr>
        <w:pStyle w:val="Bibliography"/>
      </w:pPr>
      <w:r>
        <w:t xml:space="preserve">[5]</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w:t>
      </w:r>
      <w:r>
        <w:t xml:space="preserve">é</w:t>
      </w:r>
      <w:r>
        <w:t xml:space="preserve">o 2012;23:11–38.</w:t>
      </w:r>
      <w:r>
        <w:t xml:space="preserve"> </w:t>
      </w:r>
      <w:hyperlink r:id="rId55">
        <w:r>
          <w:rPr>
            <w:rStyle w:val="Hyperlink"/>
          </w:rPr>
          <w:t xml:space="preserve">https://doi.org/10.4000/paleo.2250</w:t>
        </w:r>
      </w:hyperlink>
      <w:r>
        <w:t xml:space="preserve">.</w:t>
      </w:r>
    </w:p>
    <w:bookmarkEnd w:id="56"/>
    <w:bookmarkStart w:id="58" w:name="ref-Bataille_Conard_2018"/>
    <w:p>
      <w:pPr>
        <w:pStyle w:val="Bibliography"/>
      </w:pPr>
      <w:r>
        <w:t xml:space="preserve">[6]</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57">
        <w:r>
          <w:rPr>
            <w:rStyle w:val="Hyperlink"/>
          </w:rPr>
          <w:t xml:space="preserve">https://doi.org/10.1371/journal.pone.0194097</w:t>
        </w:r>
      </w:hyperlink>
      <w:r>
        <w:t xml:space="preserve">.</w:t>
      </w:r>
    </w:p>
    <w:bookmarkEnd w:id="58"/>
    <w:bookmarkStart w:id="60" w:name="ref-Bataille_Conard_2019"/>
    <w:p>
      <w:pPr>
        <w:pStyle w:val="Bibliography"/>
      </w:pPr>
      <w:r>
        <w:t xml:space="preserve">[7]</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59">
        <w:r>
          <w:rPr>
            <w:rStyle w:val="Hyperlink"/>
          </w:rPr>
          <w:t xml:space="preserve">https://doi.org/10.7485/QU65_1</w:t>
        </w:r>
      </w:hyperlink>
      <w:r>
        <w:t xml:space="preserve">.</w:t>
      </w:r>
    </w:p>
    <w:bookmarkEnd w:id="60"/>
    <w:bookmarkStart w:id="62" w:name="ref-Dinnis_et_al_2019"/>
    <w:p>
      <w:pPr>
        <w:pStyle w:val="Bibliography"/>
      </w:pPr>
      <w:r>
        <w:t xml:space="preserve">[8]</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61">
        <w:r>
          <w:rPr>
            <w:rStyle w:val="Hyperlink"/>
          </w:rPr>
          <w:t xml:space="preserve">https://doi.org/10.1017/ppr.2019.11</w:t>
        </w:r>
      </w:hyperlink>
      <w:r>
        <w:t xml:space="preserve">.</w:t>
      </w:r>
    </w:p>
    <w:bookmarkEnd w:id="62"/>
    <w:bookmarkStart w:id="64" w:name="ref-Talamo_La_Ferrassie_2020"/>
    <w:p>
      <w:pPr>
        <w:pStyle w:val="Bibliography"/>
      </w:pPr>
      <w:r>
        <w:t xml:space="preserve">[9]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63">
        <w:r>
          <w:rPr>
            <w:rStyle w:val="Hyperlink"/>
          </w:rPr>
          <w:t xml:space="preserve">https://doi.org/10.1002/jqs.3236</w:t>
        </w:r>
      </w:hyperlink>
      <w:r>
        <w:t xml:space="preserve">.</w:t>
      </w:r>
    </w:p>
    <w:bookmarkEnd w:id="64"/>
    <w:bookmarkStart w:id="66" w:name="ref-Oliva_2006"/>
    <w:p>
      <w:pPr>
        <w:pStyle w:val="Bibliography"/>
      </w:pPr>
      <w:r>
        <w:t xml:space="preserve">[10]</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65">
        <w:r>
          <w:rPr>
            <w:rStyle w:val="Hyperlink"/>
          </w:rPr>
          <w:t xml:space="preserve">https://doi.org/10.1007/978-3-211-49294-9_4</w:t>
        </w:r>
      </w:hyperlink>
      <w:r>
        <w:t xml:space="preserve">.</w:t>
      </w:r>
    </w:p>
    <w:bookmarkEnd w:id="66"/>
    <w:bookmarkStart w:id="68"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67">
        <w:r>
          <w:rPr>
            <w:rStyle w:val="Hyperlink"/>
          </w:rPr>
          <w:t xml:space="preserve">https://doi.org/10.1007/s41982-025-00246-x</w:t>
        </w:r>
      </w:hyperlink>
      <w:r>
        <w:t xml:space="preserve">.</w:t>
      </w:r>
    </w:p>
    <w:bookmarkEnd w:id="68"/>
    <w:bookmarkStart w:id="70" w:name="ref-zilhao2003aurignacian"/>
    <w:p>
      <w:pPr>
        <w:pStyle w:val="Bibliography"/>
      </w:pPr>
      <w:r>
        <w:t xml:space="preserve">[12]</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Revue d’arch</w:t>
      </w:r>
      <w:r>
        <w:t xml:space="preserve">é</w:t>
      </w:r>
      <w:r>
        <w:t xml:space="preserve">ologie Pr</w:t>
      </w:r>
      <w:r>
        <w:t xml:space="preserve">é</w:t>
      </w:r>
      <w:r>
        <w:t xml:space="preserve">historique 2003:69–86.</w:t>
      </w:r>
      <w:r>
        <w:t xml:space="preserve"> </w:t>
      </w:r>
      <w:hyperlink r:id="rId69">
        <w:r>
          <w:rPr>
            <w:rStyle w:val="Hyperlink"/>
          </w:rPr>
          <w:t xml:space="preserve">https://doi.org/10.4000/paleo.1231</w:t>
        </w:r>
      </w:hyperlink>
      <w:r>
        <w:t xml:space="preserve">.</w:t>
      </w:r>
    </w:p>
    <w:bookmarkEnd w:id="70"/>
    <w:bookmarkStart w:id="72" w:name="ref-Schurch_et_al_2025_bladelet"/>
    <w:p>
      <w:pPr>
        <w:pStyle w:val="Bibliography"/>
      </w:pPr>
      <w:r>
        <w:t xml:space="preserve">[13]</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2025;20:e0331921.</w:t>
      </w:r>
      <w:r>
        <w:t xml:space="preserve"> </w:t>
      </w:r>
      <w:hyperlink r:id="rId71">
        <w:r>
          <w:rPr>
            <w:rStyle w:val="Hyperlink"/>
          </w:rPr>
          <w:t xml:space="preserve">https://doi.org/10.1371/journal.pone.0331921</w:t>
        </w:r>
      </w:hyperlink>
      <w:r>
        <w:t xml:space="preserve">.</w:t>
      </w:r>
    </w:p>
    <w:bookmarkEnd w:id="72"/>
    <w:bookmarkStart w:id="73" w:name="ref-Flas_et_al_2013"/>
    <w:p>
      <w:pPr>
        <w:pStyle w:val="Bibliography"/>
      </w:pPr>
      <w:r>
        <w:t xml:space="preserve">[14]</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73"/>
    <w:bookmarkStart w:id="75" w:name="ref-Flas_2015"/>
    <w:p>
      <w:pPr>
        <w:pStyle w:val="Bibliography"/>
      </w:pPr>
      <w:r>
        <w:t xml:space="preserve">[15]</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74">
        <w:r>
          <w:rPr>
            <w:rStyle w:val="Hyperlink"/>
          </w:rPr>
          <w:t xml:space="preserve">https://doi.org/10.4000/palethnologie.736</w:t>
        </w:r>
      </w:hyperlink>
      <w:r>
        <w:t xml:space="preserve">.</w:t>
      </w:r>
    </w:p>
    <w:bookmarkEnd w:id="75"/>
    <w:bookmarkStart w:id="77" w:name="ref-Semal_2009"/>
    <w:p>
      <w:pPr>
        <w:pStyle w:val="Bibliography"/>
      </w:pPr>
      <w:r>
        <w:t xml:space="preserve">[16]</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American Journal of Physical Anthropology 2009;138:421–8.</w:t>
      </w:r>
      <w:r>
        <w:t xml:space="preserve"> </w:t>
      </w:r>
      <w:hyperlink r:id="rId76">
        <w:r>
          <w:rPr>
            <w:rStyle w:val="Hyperlink"/>
          </w:rPr>
          <w:t xml:space="preserve">https://doi.org/10.1002/ajpa.20954</w:t>
        </w:r>
      </w:hyperlink>
      <w:r>
        <w:t xml:space="preserve">.</w:t>
      </w:r>
    </w:p>
    <w:bookmarkEnd w:id="77"/>
    <w:bookmarkStart w:id="79" w:name="ref-Deschamps_2019"/>
    <w:p>
      <w:pPr>
        <w:pStyle w:val="Bibliography"/>
      </w:pPr>
      <w:r>
        <w:t xml:space="preserve">[17]</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Comptes Rendus Palevol 2019;18:569–86.</w:t>
      </w:r>
      <w:r>
        <w:t xml:space="preserve"> </w:t>
      </w:r>
      <w:hyperlink r:id="rId78">
        <w:r>
          <w:rPr>
            <w:rStyle w:val="Hyperlink"/>
          </w:rPr>
          <w:t xml:space="preserve">https://doi.org/10.1016/j.crpv.2019.04.001</w:t>
        </w:r>
      </w:hyperlink>
      <w:r>
        <w:t xml:space="preserve">.</w:t>
      </w:r>
    </w:p>
    <w:bookmarkEnd w:id="79"/>
    <w:bookmarkEnd w:id="80"/>
    <w:bookmarkEnd w:id="81"/>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6" Target="https://doi.org/10.1002/ajpa.20954" TargetMode="External" /><Relationship Type="http://schemas.openxmlformats.org/officeDocument/2006/relationships/hyperlink" Id="rId63" Target="https://doi.org/10.1002/jqs.3236" TargetMode="External" /><Relationship Type="http://schemas.openxmlformats.org/officeDocument/2006/relationships/hyperlink" Id="rId6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78" Target="https://doi.org/10.1016/j.crpv.2019.04.001" TargetMode="External" /><Relationship Type="http://schemas.openxmlformats.org/officeDocument/2006/relationships/hyperlink" Id="rId49" Target="https://doi.org/10.1016/j.jhevol.2011.06.005" TargetMode="External" /><Relationship Type="http://schemas.openxmlformats.org/officeDocument/2006/relationships/hyperlink" Id="rId61" Target="https://doi.org/10.1017/ppr.2019.11" TargetMode="External" /><Relationship Type="http://schemas.openxmlformats.org/officeDocument/2006/relationships/hyperlink" Id="rId51" Target="https://doi.org/10.1371/journal.pone.0189241" TargetMode="External" /><Relationship Type="http://schemas.openxmlformats.org/officeDocument/2006/relationships/hyperlink" Id="rId57" Target="https://doi.org/10.1371/journal.pone.0194097" TargetMode="External" /><Relationship Type="http://schemas.openxmlformats.org/officeDocument/2006/relationships/hyperlink" Id="rId71" Target="https://doi.org/10.1371/journal.pone.0331921" TargetMode="External" /><Relationship Type="http://schemas.openxmlformats.org/officeDocument/2006/relationships/hyperlink" Id="rId47" Target="https://doi.org/10.30861/9781841718309" TargetMode="External" /><Relationship Type="http://schemas.openxmlformats.org/officeDocument/2006/relationships/hyperlink" Id="rId69" Target="https://doi.org/10.4000/paleo.1231" TargetMode="External" /><Relationship Type="http://schemas.openxmlformats.org/officeDocument/2006/relationships/hyperlink" Id="rId55" Target="https://doi.org/10.4000/paleo.2250" TargetMode="External" /><Relationship Type="http://schemas.openxmlformats.org/officeDocument/2006/relationships/hyperlink" Id="rId74" Target="https://doi.org/10.4000/palethnologie.736" TargetMode="External" /><Relationship Type="http://schemas.openxmlformats.org/officeDocument/2006/relationships/hyperlink" Id="rId53" Target="https://doi.org/10.4436/JASS.98021" TargetMode="External" /><Relationship Type="http://schemas.openxmlformats.org/officeDocument/2006/relationships/hyperlink" Id="rId59"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2/ajpa.20954" TargetMode="External" /><Relationship Type="http://schemas.openxmlformats.org/officeDocument/2006/relationships/hyperlink" Id="rId63" Target="https://doi.org/10.1002/jqs.3236" TargetMode="External" /><Relationship Type="http://schemas.openxmlformats.org/officeDocument/2006/relationships/hyperlink" Id="rId6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78" Target="https://doi.org/10.1016/j.crpv.2019.04.001" TargetMode="External" /><Relationship Type="http://schemas.openxmlformats.org/officeDocument/2006/relationships/hyperlink" Id="rId49" Target="https://doi.org/10.1016/j.jhevol.2011.06.005" TargetMode="External" /><Relationship Type="http://schemas.openxmlformats.org/officeDocument/2006/relationships/hyperlink" Id="rId61" Target="https://doi.org/10.1017/ppr.2019.11" TargetMode="External" /><Relationship Type="http://schemas.openxmlformats.org/officeDocument/2006/relationships/hyperlink" Id="rId51" Target="https://doi.org/10.1371/journal.pone.0189241" TargetMode="External" /><Relationship Type="http://schemas.openxmlformats.org/officeDocument/2006/relationships/hyperlink" Id="rId57" Target="https://doi.org/10.1371/journal.pone.0194097" TargetMode="External" /><Relationship Type="http://schemas.openxmlformats.org/officeDocument/2006/relationships/hyperlink" Id="rId71" Target="https://doi.org/10.1371/journal.pone.0331921" TargetMode="External" /><Relationship Type="http://schemas.openxmlformats.org/officeDocument/2006/relationships/hyperlink" Id="rId47" Target="https://doi.org/10.30861/9781841718309" TargetMode="External" /><Relationship Type="http://schemas.openxmlformats.org/officeDocument/2006/relationships/hyperlink" Id="rId69" Target="https://doi.org/10.4000/paleo.1231" TargetMode="External" /><Relationship Type="http://schemas.openxmlformats.org/officeDocument/2006/relationships/hyperlink" Id="rId55" Target="https://doi.org/10.4000/paleo.2250" TargetMode="External" /><Relationship Type="http://schemas.openxmlformats.org/officeDocument/2006/relationships/hyperlink" Id="rId74" Target="https://doi.org/10.4000/palethnologie.736" TargetMode="External" /><Relationship Type="http://schemas.openxmlformats.org/officeDocument/2006/relationships/hyperlink" Id="rId53" Target="https://doi.org/10.4436/JASS.98021" TargetMode="External" /><Relationship Type="http://schemas.openxmlformats.org/officeDocument/2006/relationships/hyperlink" Id="rId59"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2026-08-23T22:18:57Z</dcterms:created>
  <dcterms:modified xsi:type="dcterms:W3CDTF">2026-08-23T22:18:57Z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