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173.png" ContentType="image/png"/>
  <Override PartName="/word/media/rId180.png" ContentType="image/png"/>
  <Override PartName="/word/media/rId132.png" ContentType="image/png"/>
  <Override PartName="/word/media/rId45.png" ContentType="image/png"/>
  <Override PartName="/word/media/rId30.png" ContentType="image/png"/>
  <Override PartName="/word/media/rId56.png" ContentType="image/png"/>
  <Override PartName="/word/media/rId190.png" ContentType="image/png"/>
  <Override PartName="/word/media/rId219.png" ContentType="image/png"/>
  <Override PartName="/word/media/rId207.png" ContentType="image/png"/>
  <Override PartName="/word/media/rId199.png" ContentType="image/png"/>
  <Override PartName="/word/media/rId15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analysis-ready-phase"/>
    <w:p>
      <w:pPr>
        <w:pStyle w:val="Heading2"/>
      </w:pPr>
      <w:r>
        <w:t xml:space="preserve">S1.1.2 Analysis-ready phase data</w:t>
      </w:r>
    </w:p>
    <w:bookmarkEnd w:id="24"/>
    <w:bookmarkStart w:id="25"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5"/>
    <w:bookmarkEnd w:id="26"/>
    <w:bookmarkStart w:id="43"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6" w:name="sec-s2-4"/>
    <w:p>
      <w:pPr>
        <w:pStyle w:val="Heading2"/>
      </w:pPr>
      <w:r>
        <w:t xml:space="preserve">S1.2.3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5"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5"/>
        </w:tc>
      </w:tr>
    </w:tbl>
    <w:bookmarkEnd w:id="36"/>
    <w:bookmarkStart w:id="41" w:name="sec-s2-5"/>
    <w:p>
      <w:pPr>
        <w:pStyle w:val="Heading2"/>
      </w:pPr>
      <w:r>
        <w:t xml:space="preserve">S1.2.4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Start w:id="42" w:name="sec-S1-2-interpretation"/>
    <w:p>
      <w:pPr>
        <w:pStyle w:val="Heading2"/>
      </w:pPr>
      <w:r>
        <w:t xml:space="preserve">S1.2.5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w:t>
      </w:r>
      <w:hyperlink w:anchor="fig-threshold-sweep">
        <w:r>
          <w:rPr>
            <w:rStyle w:val="Hyperlink"/>
          </w:rPr>
          <w:t xml:space="preserve">Figure S 2</w:t>
        </w:r>
      </w:hyperlink>
      <w:r>
        <w:t xml:space="preserve">). Aur-P2 retains a mean degree of at least 2.00 even at the coarsest threshold (0.50), so the contrast never collapses.</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1" w:name="sec-s3"/>
    <w:p>
      <w:pPr>
        <w:pStyle w:val="Heading1"/>
      </w:pPr>
      <w:r>
        <w:t xml:space="preserve">S1.3 Similarity Metric Choice (Jaccard vs. Sørensen-Dice vs. Simpson)</w:t>
      </w:r>
    </w:p>
    <w:bookmarkStart w:id="49"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4"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4"/>
        </w:tc>
      </w:tr>
    </w:tbl>
    <w:tbl>
      <w:tblPr>
        <w:tblStyle w:val="Table"/>
        <w:tblW w:type="pct" w:w="5000"/>
        <w:tblLook w:firstRow="0" w:lastRow="0" w:firstColumn="0" w:lastColumn="0" w:noHBand="0" w:noVBand="0" w:val="0000"/>
        <w:jc w:val="start"/>
        <w:tblLayout w:type="fixed"/>
      </w:tblPr>
      <w:tblGrid>
        <w:gridCol w:w="7920"/>
      </w:tblGrid>
      <w:tr>
        <w:tc>
          <w:tcPr/>
          <w:bookmarkStart w:id="48" w:name="fig-metric-networks"/>
          <w:p>
            <w:pPr>
              <w:pStyle w:val="Compact"/>
              <w:jc w:val="center"/>
            </w:pPr>
            <w:r>
              <w:drawing>
                <wp:inline>
                  <wp:extent cx="5943600" cy="5403272"/>
                  <wp:effectExtent b="0" l="0" r="0" t="0"/>
                  <wp:docPr descr="" title="" id="46" name="Picture"/>
                  <a:graphic>
                    <a:graphicData uri="http://schemas.openxmlformats.org/drawingml/2006/picture">
                      <pic:pic>
                        <pic:nvPicPr>
                          <pic:cNvPr descr="../figures/sensitivity-metric-plot.png" id="47" name="Picture"/>
                          <pic:cNvPicPr>
                            <a:picLocks noChangeArrowheads="1" noChangeAspect="1"/>
                          </pic:cNvPicPr>
                        </pic:nvPicPr>
                        <pic:blipFill>
                          <a:blip r:embed="rId4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8"/>
        </w:tc>
      </w:tr>
    </w:tbl>
    <w:bookmarkEnd w:id="49"/>
    <w:bookmarkStart w:id="50"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50"/>
    <w:bookmarkEnd w:id="51"/>
    <w:bookmarkStart w:id="63" w:name="sec-s4"/>
    <w:p>
      <w:pPr>
        <w:pStyle w:val="Heading1"/>
      </w:pPr>
      <w:r>
        <w:t xml:space="preserve">S1.4 Geographic Distance Verification (Mantel Tests)</w:t>
      </w:r>
    </w:p>
    <w:bookmarkStart w:id="53"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2"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2"/>
        </w:tc>
      </w:tr>
    </w:tbl>
    <w:bookmarkEnd w:id="53"/>
    <w:bookmarkStart w:id="54"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4"/>
    <w:bookmarkStart w:id="62" w:name="sec-s4-3"/>
    <w:p>
      <w:pPr>
        <w:pStyle w:val="Heading2"/>
      </w:pPr>
      <w:r>
        <w:t xml:space="preserve">S1.4.3 Mantel Correlogram</w:t>
      </w:r>
    </w:p>
    <w:bookmarkStart w:id="55" w:name="rationale-2"/>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5"/>
    <w:bookmarkStart w:id="60"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9" w:name="fig-mantel-correlogram"/>
          <w:p>
            <w:pPr>
              <w:pStyle w:val="Compact"/>
              <w:jc w:val="center"/>
            </w:pPr>
            <w:r>
              <w:drawing>
                <wp:inline>
                  <wp:extent cx="5943600" cy="3714750"/>
                  <wp:effectExtent b="0" l="0" r="0" t="0"/>
                  <wp:docPr descr="" title="" id="57" name="Picture"/>
                  <a:graphic>
                    <a:graphicData uri="http://schemas.openxmlformats.org/drawingml/2006/picture">
                      <pic:pic>
                        <pic:nvPicPr>
                          <pic:cNvPr descr="S1-supplement-sensitivity_files/figure-docx/fig-mantel-correlogram-1.png" id="58" name="Picture"/>
                          <pic:cNvPicPr>
                            <a:picLocks noChangeArrowheads="1" noChangeAspect="1"/>
                          </pic:cNvPicPr>
                        </pic:nvPicPr>
                        <pic:blipFill>
                          <a:blip r:embed="rId5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9"/>
        </w:tc>
      </w:tr>
    </w:tbl>
    <w:bookmarkEnd w:id="60"/>
    <w:bookmarkStart w:id="6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S1.8.1</w:t>
      </w:r>
      <w:r>
        <w:t xml:space="preserve">.</w:t>
      </w:r>
    </w:p>
    <w:bookmarkEnd w:id="61"/>
    <w:bookmarkEnd w:id="62"/>
    <w:bookmarkEnd w:id="63"/>
    <w:bookmarkStart w:id="87" w:name="sec-s5"/>
    <w:p>
      <w:pPr>
        <w:pStyle w:val="Heading1"/>
      </w:pPr>
      <w:r>
        <w:t xml:space="preserve">S1.5 Periodisation Scheme Sensitivity</w:t>
      </w:r>
    </w:p>
    <w:bookmarkStart w:id="66" w:name="sec-s5-1"/>
    <w:p>
      <w:pPr>
        <w:pStyle w:val="Heading2"/>
      </w:pPr>
      <w:r>
        <w:t xml:space="preserve">S1.5.1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4"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6: Reference: network statistics under the two-phase periodisation used in the main text (threshold = 0.2). Aur-P1 = Proto + Early; Aur-P2 = Evolved.</w:t>
            </w:r>
          </w:p>
          <w:bookmarkEnd w:id="6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5"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Network statistics for the technology-assigned components of the two-phase baseline (Proto-Aurignacian, Early Aurignacian, Evolved Aurignacian) at threshold = 0.2. Aur-P1 = Proto + Early; Aur-P2 = Evolved.</w:t>
            </w:r>
          </w:p>
          <w:bookmarkEnd w:id="65"/>
        </w:tc>
      </w:tr>
    </w:tbl>
    <w:bookmarkEnd w:id="66"/>
    <w:bookmarkStart w:id="69"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7"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8: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7"/>
        </w:tc>
      </w:tr>
    </w:tbl>
    <w:bookmarkStart w:id="68"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8"/>
    <w:bookmarkEnd w:id="69"/>
    <w:bookmarkStart w:id="71"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70"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9: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70"/>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1"/>
    <w:bookmarkStart w:id="78" w:name="sec-s5-4"/>
    <w:p>
      <w:pPr>
        <w:pStyle w:val="Heading2"/>
      </w:pPr>
      <w:r>
        <w:t xml:space="preserve">S1.5.4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10: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11: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6" w:name="sec-s5-5"/>
    <w:p>
      <w:pPr>
        <w:pStyle w:val="Heading2"/>
      </w:pPr>
      <w:r>
        <w:t xml:space="preserve">S1.5.5 Technological Versus Date-Based Assignment</w:t>
      </w:r>
    </w:p>
    <w:bookmarkStart w:id="79"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9"/>
    <w:bookmarkStart w:id="81"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8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12: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80"/>
        </w:tc>
      </w:tr>
    </w:tbl>
    <w:bookmarkEnd w:id="81"/>
    <w:bookmarkStart w:id="82"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2"/>
    <w:bookmarkStart w:id="84"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3"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13: Mean degree by phase under each reassignment condition. The Aur-P1 &gt; Aur-P2 ordering is preserved under every condition.</w:t>
            </w:r>
          </w:p>
          <w:bookmarkEnd w:id="83"/>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4"/>
    <w:bookmarkStart w:id="85"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S1.7.3</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w:t>
      </w:r>
      <w:r>
        <w:t xml:space="preserve"> </w:t>
      </w:r>
      <w:r>
        <w:t xml:space="preserve">Section S1.12.6</w:t>
      </w:r>
      <w:r>
        <w:t xml:space="preserve"> </w:t>
      </w:r>
      <w:r>
        <w:t xml:space="preserve">showing that Aur-P1’s network does not depend on a single site. Finally, the within-phase two-group structure (RQ1) , the restricted/broad dichotomy recovered by seriation, Louvain community detection, and bootstrap consensus (</w:t>
      </w:r>
      <w:r>
        <w:t xml:space="preserve">Section S1.6</w:t>
      </w:r>
      <w:r>
        <w:t xml:space="preserve">,</w:t>
      </w:r>
      <w:r>
        <w:t xml:space="preserve"> </w:t>
      </w:r>
      <w:r>
        <w:t xml:space="preserve">Section S1.9</w:t>
      </w:r>
      <w:r>
        <w:t xml:space="preserve">) , is defined within each phase’s membership and is unaffected by the between-phase assignment criterion tested here. The stochastic block model (</w:t>
      </w:r>
      <w:r>
        <w:t xml:space="preserve">Section S1.9.3</w:t>
      </w:r>
      <w:r>
        <w:t xml:space="preserve">) does not recover this dichotomy (single block selected under all three emission models), consistent with the small size and sparsity of the sign-sharing networks falling below the detectability limit for block structure.</w:t>
      </w:r>
    </w:p>
    <w:bookmarkEnd w:id="85"/>
    <w:bookmarkEnd w:id="86"/>
    <w:bookmarkEnd w:id="87"/>
    <w:bookmarkStart w:id="112" w:name="sec-s6"/>
    <w:p>
      <w:pPr>
        <w:pStyle w:val="Heading1"/>
      </w:pPr>
      <w:r>
        <w:t xml:space="preserve">S1.6 Automated Group Recovery as a Circularity Check</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1" w:name="sec-s6-1"/>
    <w:p>
      <w:pPr>
        <w:pStyle w:val="Heading2"/>
      </w:pPr>
      <w:r>
        <w:t xml:space="preserve">S1.6.1 Louvain Community Partitioning</w:t>
      </w:r>
    </w:p>
    <w:bookmarkStart w:id="90"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8"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14: Louvain community memberships for each site, by phase and threshold. Sites with no community assignment (no edges at that threshold) are assigned to a singleton community. Groups are numbered by Louvain membership.</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15: Adjusted Rand Index (ARI) between Louvain-derived communities and the manually assigned restricted/broad groups, by phase and threshold. ARI = 1.0 indicates identical partitions; ARI ≈ 0 indicates agreement no better than chance.</w:t>
            </w:r>
          </w:p>
          <w:bookmarkEnd w:id="89"/>
        </w:tc>
      </w:tr>
    </w:tbl>
    <w:bookmarkEnd w:id="90"/>
    <w:bookmarkEnd w:id="91"/>
    <w:bookmarkStart w:id="94" w:name="sec-s6-2"/>
    <w:p>
      <w:pPr>
        <w:pStyle w:val="Heading2"/>
      </w:pPr>
      <w:r>
        <w:t xml:space="preserve">S1.6.2 Infomap Community Partitioning</w:t>
      </w:r>
    </w:p>
    <w:bookmarkStart w:id="93"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2"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16: Adjusted Rand Index (ARI) between Infomap-derived communities and Louvain-derived communities, by phase and threshold. ARI = 1.0 indicates identical partitions; ARI ≈ 0 indicates agreement no better than chance.</w:t>
            </w:r>
          </w:p>
          <w:bookmarkEnd w:id="92"/>
        </w:tc>
      </w:tr>
    </w:tbl>
    <w:bookmarkEnd w:id="93"/>
    <w:bookmarkEnd w:id="94"/>
    <w:bookmarkStart w:id="97" w:name="sec-s6-3"/>
    <w:p>
      <w:pPr>
        <w:pStyle w:val="Heading2"/>
      </w:pPr>
      <w:r>
        <w:t xml:space="preserve">S1.6.3 Leiden Community Partitioning</w:t>
      </w:r>
    </w:p>
    <w:bookmarkStart w:id="96"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5"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Leiden-derived communities and Louvain-derived communities, by phase and threshold. ARI = 1.0 indicates identical partitions; ARI ≈ 0 indicates agreement no better than chance.</w:t>
            </w:r>
          </w:p>
          <w:bookmarkEnd w:id="95"/>
        </w:tc>
      </w:tr>
    </w:tbl>
    <w:bookmarkEnd w:id="96"/>
    <w:bookmarkEnd w:id="97"/>
    <w:bookmarkStart w:id="100" w:name="sec-s6-4"/>
    <w:p>
      <w:pPr>
        <w:pStyle w:val="Heading2"/>
      </w:pPr>
      <w:r>
        <w:t xml:space="preserve">S1.6.4 Walktrap Community Partitioning</w:t>
      </w:r>
    </w:p>
    <w:bookmarkStart w:id="99"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8"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18: Adjusted Rand Index (ARI) between Walktrap-derived communities and Louvain-derived communities, by phase and threshold. ARI = 1.0 indicates identical partitions; ARI ≈ 0 indicates agreement no better than chance.</w:t>
            </w:r>
          </w:p>
          <w:bookmarkEnd w:id="98"/>
        </w:tc>
      </w:tr>
    </w:tbl>
    <w:bookmarkEnd w:id="99"/>
    <w:bookmarkEnd w:id="100"/>
    <w:bookmarkStart w:id="103" w:name="sec-s6-5"/>
    <w:p>
      <w:pPr>
        <w:pStyle w:val="Heading2"/>
      </w:pPr>
      <w:r>
        <w:t xml:space="preserve">S1.6.5 PerMANOVA Comparison</w:t>
      </w:r>
    </w:p>
    <w:bookmarkStart w:id="102"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1"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19: PerMANOVA comparison: manual (restricted/broad) grouping versus algorithmically derived groupings. R² and pseudo-F for each phase, threshold, and community detection algorithm.</w:t>
            </w:r>
          </w:p>
          <w:bookmarkEnd w:id="101"/>
        </w:tc>
      </w:tr>
    </w:tbl>
    <w:bookmarkEnd w:id="102"/>
    <w:bookmarkEnd w:id="103"/>
    <w:bookmarkStart w:id="106"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14</w:t>
        </w:r>
      </w:hyperlink>
      <w:r>
        <w:t xml:space="preserve">,</w:t>
      </w:r>
      <w:r>
        <w:t xml:space="preserve"> </w:t>
      </w:r>
      <w:hyperlink w:anchor="tbl-ari-louvain">
        <w:r>
          <w:rPr>
            <w:rStyle w:val="Hyperlink"/>
          </w:rPr>
          <w:t xml:space="preserve">Table S 15</w:t>
        </w:r>
      </w:hyperlink>
      <w:r>
        <w:t xml:space="preserve">,</w:t>
      </w:r>
      <w:r>
        <w:t xml:space="preserve"> </w:t>
      </w:r>
      <w:hyperlink w:anchor="tbl-ari-infomap">
        <w:r>
          <w:rPr>
            <w:rStyle w:val="Hyperlink"/>
          </w:rPr>
          <w:t xml:space="preserve">Table S 16</w:t>
        </w:r>
      </w:hyperlink>
      <w:r>
        <w:t xml:space="preserve">,</w:t>
      </w:r>
      <w:r>
        <w:t xml:space="preserve"> </w:t>
      </w:r>
      <w:hyperlink w:anchor="tbl-ari-leiden">
        <w:r>
          <w:rPr>
            <w:rStyle w:val="Hyperlink"/>
          </w:rPr>
          <w:t xml:space="preserve">Table S 17</w:t>
        </w:r>
      </w:hyperlink>
      <w:r>
        <w:t xml:space="preserve">,</w:t>
      </w:r>
      <w:r>
        <w:t xml:space="preserve"> </w:t>
      </w:r>
      <w:hyperlink w:anchor="tbl-ari-walktrap">
        <w:r>
          <w:rPr>
            <w:rStyle w:val="Hyperlink"/>
          </w:rPr>
          <w:t xml:space="preserve">Table S 18</w:t>
        </w:r>
      </w:hyperlink>
      <w:r>
        <w:t xml:space="preserve">,</w:t>
      </w:r>
      <w:r>
        <w:t xml:space="preserve"> </w:t>
      </w:r>
      <w:hyperlink w:anchor="tbl-permanova-comparison">
        <w:r>
          <w:rPr>
            <w:rStyle w:val="Hyperlink"/>
          </w:rPr>
          <w:t xml:space="preserve">Table S 19</w:t>
        </w:r>
      </w:hyperlink>
      <w:r>
        <w:t xml:space="preserve">). Counts below are read from those tables at render time, not hardcoded, so the text cannot drift from the computation.</w:t>
      </w:r>
    </w:p>
    <w:bookmarkStart w:id="104"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4"/>
    <w:bookmarkStart w:id="105"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5"/>
    <w:bookmarkEnd w:id="106"/>
    <w:bookmarkStart w:id="111" w:name="sec-s6-7"/>
    <w:p>
      <w:pPr>
        <w:pStyle w:val="Heading2"/>
      </w:pPr>
      <w:r>
        <w:t xml:space="preserve">S1.6.7 Interpretation</w:t>
      </w:r>
    </w:p>
    <w:bookmarkStart w:id="107"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14</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7"/>
    <w:bookmarkStart w:id="108"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15</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8"/>
    <w:bookmarkStart w:id="109"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19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9"/>
    <w:bookmarkStart w:id="110"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0"/>
    <w:bookmarkEnd w:id="111"/>
    <w:bookmarkEnd w:id="112"/>
    <w:bookmarkStart w:id="123"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4"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3"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20: Observed modularity and null-model p-values for each Aurignacian phase at three Jaccard similarity thresholds.</w:t>
            </w:r>
          </w:p>
          <w:bookmarkEnd w:id="113"/>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4"/>
    <w:bookmarkStart w:id="116"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21: Spearman correlations between node degree and site sign richness (number of distinct sign types) within each Aurignacian phase, at the baseline threshold of 0.2.</w:t>
            </w:r>
          </w:p>
          <w:bookmarkEnd w:id="11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6"/>
    <w:bookmarkStart w:id="118"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7"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S 22: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117"/>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w:t>
      </w:r>
      <w:r>
        <w:t xml:space="preserve"> </w:t>
      </w:r>
      <w:r>
        <w:t xml:space="preserve">Section S1.2.4</w:t>
      </w:r>
      <w:r>
        <w:t xml:space="preserve">).</w:t>
      </w:r>
    </w:p>
    <w:bookmarkEnd w:id="118"/>
    <w:bookmarkStart w:id="120"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19"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23: Mantel test p-values before and after Benjamini–Hochberg correction for multiple testing across 2 phases × 2 distance measures (4 tests total). Results with adjusted p &lt; 0.05 are highlighted.</w:t>
            </w:r>
          </w:p>
          <w:bookmarkEnd w:id="119"/>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20"/>
    <w:bookmarkStart w:id="122"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24: Network metrics normalised by size-matched Erdos-Renyi expectation. Ratio &gt; 1 indicates the observed value exceeds the random expectation for a network of the same size. ER mean and SD are based on 100 random graphs per phase.</w:t>
            </w:r>
          </w:p>
          <w:bookmarkEnd w:id="12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2"/>
    <w:bookmarkEnd w:id="123"/>
    <w:bookmarkStart w:id="139"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24"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4"/>
    <w:bookmarkStart w:id="129" w:name="sec-s8-2"/>
    <w:p>
      <w:pPr>
        <w:pStyle w:val="Heading2"/>
      </w:pPr>
      <w:r>
        <w:t xml:space="preserve">S1.8.2 Time-Lag Check</w:t>
      </w:r>
    </w:p>
    <w:bookmarkStart w:id="125"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5"/>
    <w:bookmarkStart w:id="127"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26"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25: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26"/>
        </w:tc>
      </w:tr>
    </w:tbl>
    <w:bookmarkEnd w:id="127"/>
    <w:bookmarkStart w:id="128"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25</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S1.8.1</w:t>
      </w:r>
      <w:r>
        <w:t xml:space="preserve"> </w:t>
      </w:r>
      <w:r>
        <w:t xml:space="preserve">multiple regression, both of which conclude that temporal distance explains little of the variation in sign composition and cannot establish whether substantial change did or did not occur.</w:t>
      </w:r>
    </w:p>
    <w:bookmarkEnd w:id="128"/>
    <w:bookmarkEnd w:id="129"/>
    <w:bookmarkStart w:id="138" w:name="sec-s8-3"/>
    <w:p>
      <w:pPr>
        <w:pStyle w:val="Heading2"/>
      </w:pPr>
      <w:r>
        <w:t xml:space="preserve">S1.8.3 Objective Regional Grouping</w:t>
      </w:r>
    </w:p>
    <w:bookmarkStart w:id="136"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30"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26: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1"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27: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1"/>
        </w:tc>
      </w:tr>
    </w:tbl>
    <w:tbl>
      <w:tblPr>
        <w:tblStyle w:val="Table"/>
        <w:tblW w:type="pct" w:w="5000"/>
        <w:tblLook w:firstRow="0" w:lastRow="0" w:firstColumn="0" w:lastColumn="0" w:noHBand="0" w:noVBand="0" w:val="0000"/>
        <w:jc w:val="start"/>
        <w:tblLayout w:type="fixed"/>
      </w:tblPr>
      <w:tblGrid>
        <w:gridCol w:w="7920"/>
      </w:tblGrid>
      <w:tr>
        <w:tc>
          <w:tcPr/>
          <w:bookmarkStart w:id="135" w:name="fig-region-map"/>
          <w:p>
            <w:pPr>
              <w:pStyle w:val="Compact"/>
              <w:jc w:val="center"/>
            </w:pPr>
            <w:r>
              <w:drawing>
                <wp:inline>
                  <wp:extent cx="5943600" cy="4457699"/>
                  <wp:effectExtent b="0" l="0" r="0" t="0"/>
                  <wp:docPr descr="" title="" id="133" name="Picture"/>
                  <a:graphic>
                    <a:graphicData uri="http://schemas.openxmlformats.org/drawingml/2006/picture">
                      <pic:pic>
                        <pic:nvPicPr>
                          <pic:cNvPr descr="../figures/s513-region-map.png" id="134" name="Picture"/>
                          <pic:cNvPicPr>
                            <a:picLocks noChangeArrowheads="1" noChangeAspect="1"/>
                          </pic:cNvPicPr>
                        </pic:nvPicPr>
                        <pic:blipFill>
                          <a:blip r:embed="rId132"/>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Objective geographic regions discovered by PAM on geodesic distances (primary, k=2). Sites coloured by region; Jaccard sign data not used. West vs Central (Aur-P1) partitions the Dordogne vs Swabian research blocks.</w:t>
            </w:r>
          </w:p>
          <w:bookmarkEnd w:id="135"/>
        </w:tc>
      </w:tr>
    </w:tbl>
    <w:bookmarkEnd w:id="136"/>
    <w:bookmarkStart w:id="137"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S1.12.3</w:t>
      </w:r>
      <w:r>
        <w:t xml:space="preserve">–</w:t>
      </w:r>
      <w:r>
        <w:t xml:space="preserve">Section S1.12.4</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37"/>
    <w:bookmarkEnd w:id="138"/>
    <w:bookmarkEnd w:id="139"/>
    <w:bookmarkStart w:id="163" w:name="sec-s9"/>
    <w:p>
      <w:pPr>
        <w:pStyle w:val="Heading1"/>
      </w:pPr>
      <w:r>
        <w:t xml:space="preserve">S1.9 Partition Stability and Generative Models</w:t>
      </w:r>
    </w:p>
    <w:bookmarkStart w:id="140"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[18]</w:t>
      </w:r>
      <w:r>
        <w:t xml:space="preserve">.</w:t>
      </w:r>
    </w:p>
    <w:bookmarkEnd w:id="140"/>
    <w:bookmarkStart w:id="149" w:name="sec-s9-2"/>
    <w:p>
      <w:pPr>
        <w:pStyle w:val="Heading2"/>
      </w:pPr>
      <w:r>
        <w:t xml:space="preserve">S1.9.2 Bootstrap Consensus Analysis</w:t>
      </w:r>
    </w:p>
    <w:bookmarkStart w:id="147"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1"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28: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2"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29: Per-site bootstrap consistency: proportion of 1000 resamples in which each site is assigned to its modal (most frequent) block. Consistency near 1 indicates robust assignment; values near 0.5 indicate sites whose group membership flips across resamples.</w:t>
            </w:r>
          </w:p>
          <w:bookmarkEnd w:id="142"/>
        </w:tc>
      </w:tr>
    </w:tbl>
    <w:tbl>
      <w:tblPr>
        <w:tblStyle w:val="Table"/>
        <w:tblW w:type="pct" w:w="5000"/>
        <w:tblLook w:firstRow="0" w:lastRow="0" w:firstColumn="0" w:lastColumn="0" w:noHBand="0" w:noVBand="0" w:val="0000"/>
        <w:jc w:val="start"/>
        <w:tblLayout w:type="fixed"/>
      </w:tblPr>
      <w:tblGrid>
        <w:gridCol w:w="7920"/>
      </w:tblGrid>
      <w:tr>
        <w:tc>
          <w:tcPr/>
          <w:bookmarkStart w:id="146" w:name="fig-bootstrap-consensus"/>
          <w:p>
            <w:pPr>
              <w:pStyle w:val="Compact"/>
              <w:jc w:val="center"/>
            </w:pPr>
            <w:r>
              <w:drawing>
                <wp:inline>
                  <wp:extent cx="5943600" cy="6604000"/>
                  <wp:effectExtent b="0" l="0" r="0" t="0"/>
                  <wp:docPr descr="" title="" id="144" name="Picture"/>
                  <a:graphic>
                    <a:graphicData uri="http://schemas.openxmlformats.org/drawingml/2006/picture">
                      <pic:pic>
                        <pic:nvPicPr>
                          <pic:cNvPr descr="../figures/bootstrap-consensus-plot.png" id="145" name="Picture"/>
                          <pic:cNvPicPr>
                            <a:picLocks noChangeArrowheads="1" noChangeAspect="1"/>
                          </pic:cNvPicPr>
                        </pic:nvPicPr>
                        <pic:blipFill>
                          <a:blip r:embed="rId143"/>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46"/>
        </w:tc>
      </w:tr>
    </w:tbl>
    <w:bookmarkEnd w:id="147"/>
    <w:bookmarkStart w:id="148"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29</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29</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29</w:t>
        </w:r>
      </w:hyperlink>
      <w:r>
        <w:t xml:space="preserve">.</w:t>
      </w:r>
    </w:p>
    <w:bookmarkEnd w:id="148"/>
    <w:bookmarkEnd w:id="149"/>
    <w:bookmarkStart w:id="158" w:name="sec-s9-3"/>
    <w:p>
      <w:pPr>
        <w:pStyle w:val="Heading2"/>
      </w:pPr>
      <w:r>
        <w:t xml:space="preserve">S1.9.3 Stochastic Block Models</w:t>
      </w:r>
    </w:p>
    <w:bookmarkStart w:id="156"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150"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30: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150"/>
        </w:tc>
      </w:tr>
    </w:tbl>
    <w:tbl>
      <w:tblPr>
        <w:tblStyle w:val="Table"/>
        <w:tblW w:type="pct" w:w="5000"/>
        <w:tblLook w:firstRow="0" w:lastRow="0" w:firstColumn="0" w:lastColumn="0" w:noHBand="0" w:noVBand="0" w:val="0000"/>
        <w:jc w:val="start"/>
        <w:tblLayout w:type="fixed"/>
      </w:tblPr>
      <w:tblGrid>
        <w:gridCol w:w="7920"/>
      </w:tblGrid>
      <w:tr>
        <w:tc>
          <w:tcPr/>
          <w:bookmarkStart w:id="154" w:name="fig-sbm-icl"/>
          <w:p>
            <w:pPr>
              <w:pStyle w:val="Compact"/>
              <w:jc w:val="center"/>
            </w:pPr>
            <w:r>
              <w:drawing>
                <wp:inline>
                  <wp:extent cx="5943600" cy="2971800"/>
                  <wp:effectExtent b="0" l="0" r="0" t="0"/>
                  <wp:docPr descr="" title="" id="152" name="Picture"/>
                  <a:graphic>
                    <a:graphicData uri="http://schemas.openxmlformats.org/drawingml/2006/picture">
                      <pic:pic>
                        <pic:nvPicPr>
                          <pic:cNvPr descr="S1-supplement-sensitivity_files/figure-docx/fig-sbm-icl-1.png" id="153" name="Picture"/>
                          <pic:cNvPicPr>
                            <a:picLocks noChangeArrowheads="1" noChangeAspect="1"/>
                          </pic:cNvPicPr>
                        </pic:nvPicPr>
                        <pic:blipFill>
                          <a:blip r:embed="rId15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54"/>
        </w:tc>
      </w:tr>
    </w:tbl>
    <w:tbl>
      <w:tblPr>
        <w:tblStyle w:val="Table"/>
        <w:tblW w:type="pct" w:w="5000"/>
        <w:tblLook w:firstRow="0" w:lastRow="0" w:firstColumn="0" w:lastColumn="0" w:noHBand="0" w:noVBand="0" w:val="0000"/>
        <w:jc w:val="start"/>
        <w:tblLayout w:type="fixed"/>
      </w:tblPr>
      <w:tblGrid>
        <w:gridCol w:w="7920"/>
      </w:tblGrid>
      <w:tr>
        <w:tc>
          <w:tcPr/>
          <w:bookmarkStart w:id="155"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55"/>
        </w:tc>
      </w:tr>
    </w:tbl>
    <w:bookmarkEnd w:id="156"/>
    <w:bookmarkStart w:id="157"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S 30</w:t>
        </w:r>
      </w:hyperlink>
      <w:r>
        <w:t xml:space="preserve">;</w:t>
      </w:r>
      <w:r>
        <w:t xml:space="preserve"> </w:t>
      </w:r>
      <w:hyperlink w:anchor="fig-sbm-icl">
        <w:r>
          <w:rPr>
            <w:rStyle w:val="Hyperlink"/>
          </w:rPr>
          <w:t xml:space="preserve">Figure S 7</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S 31</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S1.6.1</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S1.6.1</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157"/>
    <w:bookmarkEnd w:id="158"/>
    <w:bookmarkStart w:id="162" w:name="sec-s9-4"/>
    <w:p>
      <w:pPr>
        <w:pStyle w:val="Heading2"/>
      </w:pPr>
      <w:r>
        <w:t xml:space="preserve">S1.9.4 Cross-Validation of Group Assignments (ARI)</w:t>
      </w:r>
    </w:p>
    <w:bookmarkStart w:id="160" w:name="rationale-14"/>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w:t>
      </w:r>
      <w:r>
        <w:t xml:space="preserve">Section S1.9.2</w:t>
      </w:r>
      <w:r>
        <w:t xml:space="preserve">), and the SBM modal assignments (</w:t>
      </w:r>
      <w:r>
        <w:t xml:space="preserve">Section S1.9.3</w:t>
      </w:r>
      <w:r>
        <w:t xml:space="preserve">) under Bernoulli and Poisson emission models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159" w:name="tbl-ari-bootstrap-sbm"/>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S 32: Adjusted Rand Index between the main-text manual restricted/broad assignment, the bootstrap modal blocks (</w:t>
            </w:r>
            <w:r>
              <w:t xml:space="preserve">Section S1.9.2</w:t>
            </w:r>
            <w:r>
              <w:t xml:space="preserve">), and the SBM modal assignments (</w:t>
            </w:r>
            <w:r>
              <w:t xml:space="preserve">Section S1.9.3</w:t>
            </w:r>
            <w:r>
              <w:t xml:space="preserve">), by phase.</w:t>
            </w:r>
          </w:p>
          <w:bookmarkEnd w:id="159"/>
        </w:tc>
      </w:tr>
    </w:tbl>
    <w:bookmarkEnd w:id="160"/>
    <w:bookmarkStart w:id="161"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32</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32</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Bernoulli, Gaussian, and Poisson models all select a single block in both phases (</w:t>
      </w:r>
      <w:r>
        <w:t xml:space="preserve">Section S1.9.3</w:t>
      </w:r>
      <w:r>
        <w:t xml:space="preserve">),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61"/>
    <w:bookmarkEnd w:id="162"/>
    <w:bookmarkEnd w:id="163"/>
    <w:bookmarkStart w:id="171" w:name="sec-s10"/>
    <w:p>
      <w:pPr>
        <w:pStyle w:val="Heading1"/>
      </w:pPr>
      <w:r>
        <w:t xml:space="preserve">S1.10 Withheld-Data Validation</w:t>
      </w:r>
    </w:p>
    <w:bookmarkStart w:id="166"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164"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33: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64"/>
        </w:tc>
      </w:tr>
    </w:tbl>
    <w:bookmarkStart w:id="165"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65"/>
    <w:bookmarkEnd w:id="166"/>
    <w:bookmarkStart w:id="170" w:name="sec-s10-1"/>
    <w:p>
      <w:pPr>
        <w:pStyle w:val="Heading2"/>
      </w:pPr>
      <w:r>
        <w:t xml:space="preserve">S1.10.1 Richness-Preserving Nulls and Simpson Turnover</w:t>
      </w:r>
    </w:p>
    <w:bookmarkStart w:id="168"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67"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34: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67"/>
        </w:tc>
      </w:tr>
    </w:tbl>
    <w:bookmarkEnd w:id="168"/>
    <w:bookmarkStart w:id="169"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S1.12.3</w:t>
      </w:r>
      <w:r>
        <w:t xml:space="preserve"> </w:t>
      </w:r>
      <w:r>
        <w:t xml:space="preserve">and the free-slope</w:t>
      </w:r>
      <w:r>
        <w:t xml:space="preserve"> </w:t>
      </w:r>
      <w:r>
        <w:t xml:space="preserve">Section S1.12.4</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69"/>
    <w:bookmarkEnd w:id="170"/>
    <w:bookmarkEnd w:id="171"/>
    <w:bookmarkStart w:id="188" w:name="sec-s11"/>
    <w:p>
      <w:pPr>
        <w:pStyle w:val="Heading1"/>
      </w:pPr>
      <w:r>
        <w:t xml:space="preserve">S1.11 Community Description</w:t>
      </w:r>
    </w:p>
    <w:p>
      <w:pPr>
        <w:pStyle w:val="FirstParagraph"/>
      </w:pPr>
      <w:r>
        <w:t xml:space="preserve">The PerMANOVA results in</w:t>
      </w:r>
      <w:r>
        <w:t xml:space="preserve"> </w:t>
      </w:r>
      <w:r>
        <w:t xml:space="preserve">Section S1.6.5</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w:t>
      </w:r>
    </w:p>
    <w:bookmarkStart w:id="177"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7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35: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72"/>
        </w:tc>
      </w:tr>
    </w:tbl>
    <w:tbl>
      <w:tblPr>
        <w:tblStyle w:val="Table"/>
        <w:tblW w:type="pct" w:w="5000"/>
        <w:tblLook w:firstRow="0" w:lastRow="0" w:firstColumn="0" w:lastColumn="0" w:noHBand="0" w:noVBand="0" w:val="0000"/>
        <w:jc w:val="start"/>
        <w:tblLayout w:type="fixed"/>
      </w:tblPr>
      <w:tblGrid>
        <w:gridCol w:w="7920"/>
      </w:tblGrid>
      <w:tr>
        <w:tc>
          <w:tcPr/>
          <w:bookmarkStart w:id="176" w:name="fig-comembership-heatmap"/>
          <w:p>
            <w:pPr>
              <w:pStyle w:val="Compact"/>
              <w:jc w:val="center"/>
            </w:pPr>
            <w:r>
              <w:drawing>
                <wp:inline>
                  <wp:extent cx="5943600" cy="5943600"/>
                  <wp:effectExtent b="0" l="0" r="0" t="0"/>
                  <wp:docPr descr="" title="" id="174" name="Picture"/>
                  <a:graphic>
                    <a:graphicData uri="http://schemas.openxmlformats.org/drawingml/2006/picture">
                      <pic:pic>
                        <pic:nvPicPr>
                          <pic:cNvPr descr="../figures/comembership-heatmap.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7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6</w:t>
        </w:r>
      </w:hyperlink>
      <w:r>
        <w:t xml:space="preserve"> </w:t>
      </w:r>
      <w:r>
        <w:t xml:space="preserve">quantify which of these co-memberships survive resampling.</w:t>
      </w:r>
    </w:p>
    <w:bookmarkEnd w:id="177"/>
    <w:bookmarkStart w:id="179"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78"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Sign-type composition of Louvain communities at threshold 0.2. Values show the proportion of sites within each community that have at least one object bearing the sign type. Only sign types present in ≥10% of sites in at least one community are shown.</w:t>
            </w:r>
          </w:p>
          <w:bookmarkEnd w:id="178"/>
        </w:tc>
      </w:tr>
    </w:tbl>
    <w:bookmarkEnd w:id="179"/>
    <w:bookmarkStart w:id="184"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183" w:name="fig-community-maps"/>
          <w:p>
            <w:pPr>
              <w:pStyle w:val="Compact"/>
              <w:jc w:val="center"/>
            </w:pPr>
            <w:r>
              <w:drawing>
                <wp:inline>
                  <wp:extent cx="5943600" cy="4622800"/>
                  <wp:effectExtent b="0" l="0" r="0" t="0"/>
                  <wp:docPr descr="" title="" id="181" name="Picture"/>
                  <a:graphic>
                    <a:graphicData uri="http://schemas.openxmlformats.org/drawingml/2006/picture">
                      <pic:pic>
                        <pic:nvPicPr>
                          <pic:cNvPr descr="../figures/community-maps.png" id="182" name="Picture"/>
                          <pic:cNvPicPr>
                            <a:picLocks noChangeArrowheads="1" noChangeAspect="1"/>
                          </pic:cNvPicPr>
                        </pic:nvPicPr>
                        <pic:blipFill>
                          <a:blip r:embed="rId180"/>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183"/>
        </w:tc>
      </w:tr>
    </w:tbl>
    <w:bookmarkEnd w:id="184"/>
    <w:bookmarkStart w:id="186"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185"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37: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185"/>
        </w:tc>
      </w:tr>
    </w:tbl>
    <w:bookmarkEnd w:id="186"/>
    <w:bookmarkStart w:id="187"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35</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9</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35</w:t>
        </w:r>
      </w:hyperlink>
      <w:r>
        <w:t xml:space="preserve">). With only 9 sites total, the communities are small (1–3 sites each), and the PerMANOVA significance (</w:t>
      </w:r>
      <w:r>
        <w:t xml:space="preserve">Section S1.6.5</w:t>
      </w:r>
      <w:r>
        <w:t xml:space="preserve">) likely reflects strong pairwise similarities among a few sites rather than robust multi-site clusters. The geographic map (</w:t>
      </w:r>
      <w:hyperlink w:anchor="fig-community-maps">
        <w:r>
          <w:rPr>
            <w:rStyle w:val="Hyperlink"/>
          </w:rPr>
          <w:t xml:space="preserve">Figure S 9</w:t>
        </w:r>
      </w:hyperlink>
      <w:r>
        <w:t xml:space="preserve">, Aur-P2 facet) shows limited spatial coherence, consistent with the non-significant null-benchmarked modularity (</w:t>
      </w:r>
      <w:r>
        <w:t xml:space="preserve">Section S1.7.1</w:t>
      </w:r>
      <w:r>
        <w:t xml:space="preserve">).</w:t>
      </w:r>
    </w:p>
    <w:p>
      <w:pPr>
        <w:pStyle w:val="BodyText"/>
      </w:pPr>
      <w:r>
        <w:rPr>
          <w:bCs/>
          <w:b/>
        </w:rPr>
        <w:t xml:space="preserve">Cross-algorithm consistency.</w:t>
      </w:r>
      <w:r>
        <w:t xml:space="preserve"> </w:t>
      </w:r>
      <w:hyperlink w:anchor="tbl-cross-algorithm-agreement">
        <w:r>
          <w:rPr>
            <w:rStyle w:val="Hyperlink"/>
          </w:rPr>
          <w:t xml:space="preserve">Table S 37</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36</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187"/>
    <w:bookmarkEnd w:id="188"/>
    <w:bookmarkStart w:id="245"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S1.10.1</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numPr>
          <w:ilvl w:val="0"/>
          <w:numId w:val="1012"/>
        </w:numPr>
        <w:pStyle w:val="Compact"/>
      </w:pPr>
      <w:r>
        <w:rPr>
          <w:bCs/>
          <w:b/>
        </w:rPr>
        <w:t xml:space="preserve">(</w:t>
      </w:r>
      <w:r>
        <w:rPr>
          <w:bCs/>
          <w:b/>
        </w:rPr>
        <w:t xml:space="preserve">Section S1.12.2</w:t>
      </w:r>
      <w:r>
        <w:rPr>
          <w:bCs/>
          <w:b/>
        </w:rPr>
        <w:t xml:space="preserve">)</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w:t>
      </w:r>
      <w:r>
        <w:rPr>
          <w:bCs/>
          <w:b/>
        </w:rPr>
        <w:t xml:space="preserve">Section S1.12.3</w:t>
      </w:r>
      <w:r>
        <w:rPr>
          <w:bCs/>
          <w:b/>
        </w:rPr>
        <w:t xml:space="preserve">)</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w:t>
      </w:r>
      <w:r>
        <w:rPr>
          <w:bCs/>
          <w:b/>
        </w:rPr>
        <w:t xml:space="preserve">Section S1.12.4</w:t>
      </w:r>
      <w:r>
        <w:rPr>
          <w:bCs/>
          <w:b/>
        </w:rPr>
        <w:t xml:space="preserve">)</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w:t>
      </w:r>
      <w:r>
        <w:rPr>
          <w:bCs/>
          <w:b/>
        </w:rPr>
        <w:t xml:space="preserve">Section S1.12.5</w:t>
      </w:r>
      <w:r>
        <w:rPr>
          <w:bCs/>
          <w:b/>
        </w:rPr>
        <w:t xml:space="preserve">)</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w:t>
      </w:r>
      <w:r>
        <w:rPr>
          <w:bCs/>
          <w:b/>
        </w:rPr>
        <w:t xml:space="preserve">Section S1.12.7</w:t>
      </w:r>
      <w:r>
        <w:rPr>
          <w:bCs/>
          <w:b/>
        </w:rPr>
        <w:t xml:space="preserve">)</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w:t>
      </w:r>
      <w:r>
        <w:rPr>
          <w:bCs/>
          <w:b/>
        </w:rPr>
        <w:t xml:space="preserve">Section S1.10.1</w:t>
      </w:r>
      <w:r>
        <w:rPr>
          <w:bCs/>
          <w:b/>
        </w:rPr>
        <w:t xml:space="preserve">)</w:t>
      </w:r>
      <w:r>
        <w:t xml:space="preserve"> </w:t>
      </w:r>
      <w:r>
        <w:t xml:space="preserve">Does the restricted/broad pattern survive richness-preserving nulls, and does the manual-group PerMANOVA hold on Simpson turnover dissimilarity, which removes the nestedness component of Jaccard?</w:t>
      </w:r>
    </w:p>
    <w:bookmarkStart w:id="196" w:name="sec-s12-1"/>
    <w:p>
      <w:pPr>
        <w:pStyle w:val="Heading2"/>
      </w:pPr>
      <w:r>
        <w:t xml:space="preserve">S1.12.1 Object-count distribution and feasible common counts</w:t>
      </w:r>
    </w:p>
    <w:bookmarkStart w:id="194"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89"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38: Per-site object counts by phase and manual restricted(1)/broad(2) group.</w:t>
            </w:r>
          </w:p>
          <w:bookmarkEnd w:id="189"/>
        </w:tc>
      </w:tr>
    </w:tbl>
    <w:tbl>
      <w:tblPr>
        <w:tblStyle w:val="Table"/>
        <w:tblW w:type="pct" w:w="5000"/>
        <w:tblLook w:firstRow="0" w:lastRow="0" w:firstColumn="0" w:lastColumn="0" w:noHBand="0" w:noVBand="0" w:val="0000"/>
        <w:jc w:val="start"/>
        <w:tblLayout w:type="fixed"/>
      </w:tblPr>
      <w:tblGrid>
        <w:gridCol w:w="7920"/>
      </w:tblGrid>
      <w:tr>
        <w:tc>
          <w:tcPr/>
          <w:bookmarkStart w:id="193" w:name="fig-objhist"/>
          <w:p>
            <w:pPr>
              <w:pStyle w:val="Compact"/>
              <w:jc w:val="center"/>
            </w:pPr>
            <w:r>
              <w:drawing>
                <wp:inline>
                  <wp:extent cx="5943600" cy="2971800"/>
                  <wp:effectExtent b="0" l="0" r="0" t="0"/>
                  <wp:docPr descr="" title="" id="191" name="Picture"/>
                  <a:graphic>
                    <a:graphicData uri="http://schemas.openxmlformats.org/drawingml/2006/picture">
                      <pic:pic>
                        <pic:nvPicPr>
                          <pic:cNvPr descr="S1-supplement-sensitivity_files/figure-docx/fig-objhist-1.png" id="192" name="Picture"/>
                          <pic:cNvPicPr>
                            <a:picLocks noChangeArrowheads="1" noChangeAspect="1"/>
                          </pic:cNvPicPr>
                        </pic:nvPicPr>
                        <pic:blipFill>
                          <a:blip r:embed="rId19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Distribution of object counts per site by phase. Most sites contribute few objects; a small number of large assemblages (e.g. Vogelherd) dominate the upper tail.</w:t>
            </w:r>
          </w:p>
          <w:bookmarkEnd w:id="193"/>
        </w:tc>
      </w:tr>
    </w:tbl>
    <w:bookmarkEnd w:id="194"/>
    <w:bookmarkStart w:id="195"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95"/>
    <w:bookmarkEnd w:id="196"/>
    <w:bookmarkStart w:id="205" w:name="sec-s12-2"/>
    <w:p>
      <w:pPr>
        <w:pStyle w:val="Heading2"/>
      </w:pPr>
      <w:r>
        <w:t xml:space="preserve">S1.12.2 Object-level downsampling sensitivity</w:t>
      </w:r>
    </w:p>
    <w:bookmarkStart w:id="203"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S1.6.1</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97"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39: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9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98"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40: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retention"/>
          <w:p>
            <w:pPr>
              <w:pStyle w:val="Compact"/>
              <w:jc w:val="center"/>
            </w:pPr>
            <w:r>
              <w:drawing>
                <wp:inline>
                  <wp:extent cx="5943600" cy="5943600"/>
                  <wp:effectExtent b="0" l="0" r="0" t="0"/>
                  <wp:docPr descr="" title="" id="200" name="Picture"/>
                  <a:graphic>
                    <a:graphicData uri="http://schemas.openxmlformats.org/drawingml/2006/picture">
                      <pic:pic>
                        <pic:nvPicPr>
                          <pic:cNvPr descr="S1-supplement-sensitivity_files/figure-docx/fig-retention-1.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02"/>
        </w:tc>
      </w:tr>
    </w:tbl>
    <w:bookmarkEnd w:id="203"/>
    <w:bookmarkStart w:id="204"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04"/>
    <w:bookmarkEnd w:id="205"/>
    <w:bookmarkStart w:id="213" w:name="sec-s12-3"/>
    <w:p>
      <w:pPr>
        <w:pStyle w:val="Heading2"/>
      </w:pPr>
      <w:r>
        <w:t xml:space="preserve">S1.12.3 Coverage-based rarefaction</w:t>
      </w:r>
    </w:p>
    <w:bookmarkStart w:id="211"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06"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41: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rarefaction"/>
          <w:p>
            <w:pPr>
              <w:pStyle w:val="Compact"/>
              <w:jc w:val="center"/>
            </w:pPr>
            <w:r>
              <w:drawing>
                <wp:inline>
                  <wp:extent cx="5943600" cy="3396342"/>
                  <wp:effectExtent b="0" l="0" r="0" t="0"/>
                  <wp:docPr descr="" title="" id="208" name="Picture"/>
                  <a:graphic>
                    <a:graphicData uri="http://schemas.openxmlformats.org/drawingml/2006/picture">
                      <pic:pic>
                        <pic:nvPicPr>
                          <pic:cNvPr descr="S1-supplement-sensitivity_files/figure-docx/fig-rarefaction-1.png" id="209" name="Picture"/>
                          <pic:cNvPicPr>
                            <a:picLocks noChangeArrowheads="1" noChangeAspect="1"/>
                          </pic:cNvPicPr>
                        </pic:nvPicPr>
                        <pic:blipFill>
                          <a:blip r:embed="rId207"/>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Sign-type richness estimated at target coverage = 0.9 with 95% confidence intervals, by manual group, for sites that reach that coverage. Restricted sites (green) that attain high coverage remain low-richness; broad sites (red) remain high-richness.</w:t>
            </w:r>
          </w:p>
          <w:bookmarkEnd w:id="210"/>
        </w:tc>
      </w:tr>
    </w:tbl>
    <w:bookmarkEnd w:id="211"/>
    <w:bookmarkStart w:id="212"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S1.12.2</w:t>
      </w:r>
      <w:r>
        <w:t xml:space="preserve">, approached from the richness axis.</w:t>
      </w:r>
    </w:p>
    <w:bookmarkEnd w:id="212"/>
    <w:bookmarkEnd w:id="213"/>
    <w:bookmarkStart w:id="217" w:name="sec-s12-4"/>
    <w:p>
      <w:pPr>
        <w:pStyle w:val="Heading2"/>
      </w:pPr>
      <w:r>
        <w:t xml:space="preserve">S1.12.4 Negative-binomial regression with object-count covariate</w:t>
      </w:r>
    </w:p>
    <w:bookmarkStart w:id="215"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14"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42: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14"/>
        </w:tc>
      </w:tr>
    </w:tbl>
    <w:bookmarkEnd w:id="215"/>
    <w:bookmarkStart w:id="216"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S1.12.3</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16"/>
    <w:bookmarkEnd w:id="217"/>
    <w:bookmarkStart w:id="225" w:name="sec-s12-5"/>
    <w:p>
      <w:pPr>
        <w:pStyle w:val="Heading2"/>
      </w:pPr>
      <w:r>
        <w:t xml:space="preserve">S1.12.5 Equal-effort pool comparison (iNEXT)</w:t>
      </w:r>
    </w:p>
    <w:bookmarkStart w:id="223"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18"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43: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18"/>
        </w:tc>
      </w:tr>
    </w:tbl>
    <w:tbl>
      <w:tblPr>
        <w:tblStyle w:val="Table"/>
        <w:tblW w:type="pct" w:w="5000"/>
        <w:tblLook w:firstRow="0" w:lastRow="0" w:firstColumn="0" w:lastColumn="0" w:noHBand="0" w:noVBand="0" w:val="0000"/>
        <w:jc w:val="start"/>
        <w:tblLayout w:type="fixed"/>
      </w:tblPr>
      <w:tblGrid>
        <w:gridCol w:w="7920"/>
      </w:tblGrid>
      <w:tr>
        <w:tc>
          <w:tcPr/>
          <w:bookmarkStart w:id="222" w:name="fig-pool-inext"/>
          <w:p>
            <w:pPr>
              <w:pStyle w:val="Compact"/>
              <w:jc w:val="center"/>
            </w:pPr>
            <w:r>
              <w:drawing>
                <wp:inline>
                  <wp:extent cx="5943600" cy="3566160"/>
                  <wp:effectExtent b="0" l="0" r="0" t="0"/>
                  <wp:docPr descr="" title="" id="220" name="Picture"/>
                  <a:graphic>
                    <a:graphicData uri="http://schemas.openxmlformats.org/drawingml/2006/picture">
                      <pic:pic>
                        <pic:nvPicPr>
                          <pic:cNvPr descr="S1-supplement-sensitivity_files/figure-docx/fig-pool-inext-1.png" id="221" name="Picture"/>
                          <pic:cNvPicPr>
                            <a:picLocks noChangeArrowheads="1" noChangeAspect="1"/>
                          </pic:cNvPicPr>
                        </pic:nvPicPr>
                        <pic:blipFill>
                          <a:blip r:embed="rId219"/>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22"/>
        </w:tc>
      </w:tr>
    </w:tbl>
    <w:bookmarkEnd w:id="223"/>
    <w:bookmarkStart w:id="224"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24"/>
    <w:bookmarkEnd w:id="225"/>
    <w:bookmarkStart w:id="243" w:name="sec-s12-6"/>
    <w:p>
      <w:pPr>
        <w:pStyle w:val="Heading2"/>
      </w:pPr>
      <w:r>
        <w:t xml:space="preserve">S1.12.6 Figurine Exclusion</w:t>
      </w:r>
    </w:p>
    <w:bookmarkStart w:id="226"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26"/>
    <w:bookmarkStart w:id="228"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44: Distribution of figurine objects across phases and sites. Figurine types include figurine zoomorph, figurine anthropomorph, figurine undet., and possible figurine.</w:t>
            </w:r>
          </w:p>
          <w:bookmarkEnd w:id="227"/>
        </w:tc>
      </w:tr>
    </w:tbl>
    <w:p>
      <w:pPr>
        <w:pStyle w:val="BodyText"/>
      </w:pPr>
      <w:hyperlink w:anchor="tbl-figurine-count">
        <w:r>
          <w:rPr>
            <w:rStyle w:val="Hyperlink"/>
          </w:rPr>
          <w:t xml:space="preserve">Table S 44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28"/>
    <w:bookmarkStart w:id="229" w:name="analysis-1-exclude-all-figurines"/>
    <w:p>
      <w:pPr>
        <w:pStyle w:val="Heading3"/>
      </w:pPr>
      <w:r>
        <w:t xml:space="preserve">Analysis 1: Exclude All Figurines</w:t>
      </w:r>
    </w:p>
    <w:bookmarkEnd w:id="229"/>
    <w:bookmarkStart w:id="232"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0"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45: Network statistics before and after excluding all figurine objects (figurine zoomorph, figurine anthropomorph, figurine undet., and possible figurine). Threshold = 0.2, Jaccard similarity.</w:t>
            </w:r>
          </w:p>
          <w:bookmarkEnd w:id="2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1"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46: Number of sites per phase before and after figurine exclusion. Sites are lost when all objects at that site are figurines.</w:t>
            </w:r>
          </w:p>
          <w:bookmarkEnd w:id="231"/>
        </w:tc>
      </w:tr>
    </w:tbl>
    <w:bookmarkEnd w:id="232"/>
    <w:bookmarkStart w:id="233"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3"/>
    <w:bookmarkStart w:id="234" w:name="Xc06319a9554f6ddf282b3cf388364ef3835d432"/>
    <w:p>
      <w:pPr>
        <w:pStyle w:val="Heading3"/>
      </w:pPr>
      <w:r>
        <w:t xml:space="preserve">Analysis 2: Exclude Vogelherd Figurines Only</w:t>
      </w:r>
    </w:p>
    <w:bookmarkEnd w:id="234"/>
    <w:bookmarkStart w:id="237"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35"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47: Network statistics before and after excluding figurines from Vogelherd only. All other figurines (Hohle Fels, Geissenklösterle, Hohlenstein-Stadel, La Ferrassie) are retained. Threshold = 0.2, Jaccard similarity.</w:t>
            </w:r>
          </w:p>
          <w:bookmarkEnd w:id="23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6"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48: Vogelherd object counts before and after removing figurines. Non-figurine objects at Vogelherd (tools, plaquettes, etc.) are retained.</w:t>
            </w:r>
          </w:p>
          <w:bookmarkEnd w:id="236"/>
        </w:tc>
      </w:tr>
    </w:tbl>
    <w:bookmarkEnd w:id="237"/>
    <w:bookmarkStart w:id="238"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8"/>
    <w:bookmarkStart w:id="240"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39"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49: Side-by-side comparison of network statistics across all conditions: baseline (all objects), exclude all figurines, and exclude Vogelherd figurines only. The rightmost columns show the percentage change in mean degree from baseline.</w:t>
            </w:r>
          </w:p>
          <w:bookmarkEnd w:id="239"/>
        </w:tc>
      </w:tr>
    </w:tbl>
    <w:bookmarkEnd w:id="240"/>
    <w:bookmarkStart w:id="242"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49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1"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50: Mean degree by figurine-exclusion condition, with percentage change from baseline. Reproduced directly from the joint comparison in</w:t>
            </w:r>
            <w:r>
              <w:t xml:space="preserve"> </w:t>
            </w:r>
            <w:hyperlink w:anchor="tbl-objtype-joint">
              <w:r>
                <w:rPr>
                  <w:rStyle w:val="Hyperlink"/>
                </w:rPr>
                <w:t xml:space="preserve">Table S 49</w:t>
              </w:r>
            </w:hyperlink>
            <w:r>
              <w:t xml:space="preserve">.</w:t>
            </w:r>
          </w:p>
          <w:bookmarkEnd w:id="241"/>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42"/>
    <w:bookmarkEnd w:id="243"/>
    <w:bookmarkStart w:id="244"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S1.12.2</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S1.12.3</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S1.12.4</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S1.12.5</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S1.10.1</w:t>
      </w:r>
      <w:r>
        <w:t xml:space="preserve">). Figurine exclusion (</w:t>
      </w:r>
      <w:r>
        <w:t xml:space="preserve">Section S1.12.6</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44"/>
    <w:bookmarkEnd w:id="245"/>
    <w:bookmarkStart w:id="301" w:name="sec-s13"/>
    <w:p>
      <w:pPr>
        <w:pStyle w:val="Heading1"/>
      </w:pPr>
      <w:r>
        <w:t xml:space="preserve">S1.13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does not recover multiple blocks under Bernoulli, Gaussian, or Poisson specifications.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not discrete provinces that emerge from an unsupervised generative model.</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300" w:name="references-cited"/>
    <w:p>
      <w:pPr>
        <w:pStyle w:val="Heading2"/>
      </w:pPr>
      <w:r>
        <w:t xml:space="preserve">References cited</w:t>
      </w:r>
    </w:p>
    <w:bookmarkStart w:id="299" w:name="refs"/>
    <w:bookmarkStart w:id="24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46">
        <w:r>
          <w:rPr>
            <w:rStyle w:val="Hyperlink"/>
          </w:rPr>
          <w:t xml:space="preserve">https://doi.org/10.18637/jss.v022.i07</w:t>
        </w:r>
      </w:hyperlink>
      <w:r>
        <w:t xml:space="preserve">.</w:t>
      </w:r>
    </w:p>
    <w:bookmarkEnd w:id="247"/>
    <w:bookmarkStart w:id="249"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48">
        <w:r>
          <w:rPr>
            <w:rStyle w:val="Hyperlink"/>
          </w:rPr>
          <w:t xml:space="preserve">https://doi.org/10.1016/j.quascirev.2021.106995</w:t>
        </w:r>
      </w:hyperlink>
      <w:r>
        <w:t xml:space="preserve">.</w:t>
      </w:r>
    </w:p>
    <w:bookmarkEnd w:id="249"/>
    <w:bookmarkStart w:id="251"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50">
        <w:r>
          <w:rPr>
            <w:rStyle w:val="Hyperlink"/>
          </w:rPr>
          <w:t xml:space="preserve">https://doi.org/10.1007/s41982-017-0004-4</w:t>
        </w:r>
      </w:hyperlink>
      <w:r>
        <w:t xml:space="preserve">.</w:t>
      </w:r>
    </w:p>
    <w:bookmarkEnd w:id="251"/>
    <w:bookmarkStart w:id="253"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52">
        <w:r>
          <w:rPr>
            <w:rStyle w:val="Hyperlink"/>
          </w:rPr>
          <w:t xml:space="preserve">https://doi.org/10.30861/9781841718309</w:t>
        </w:r>
      </w:hyperlink>
      <w:r>
        <w:t xml:space="preserve">.</w:t>
      </w:r>
    </w:p>
    <w:bookmarkEnd w:id="253"/>
    <w:bookmarkStart w:id="255"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54">
        <w:r>
          <w:rPr>
            <w:rStyle w:val="Hyperlink"/>
          </w:rPr>
          <w:t xml:space="preserve">https://doi.org/10.1016/j.jhevol.2011.06.005</w:t>
        </w:r>
      </w:hyperlink>
      <w:r>
        <w:t xml:space="preserve">.</w:t>
      </w:r>
    </w:p>
    <w:bookmarkEnd w:id="255"/>
    <w:bookmarkStart w:id="257"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56">
        <w:r>
          <w:rPr>
            <w:rStyle w:val="Hyperlink"/>
          </w:rPr>
          <w:t xml:space="preserve">https://doi.org/10.1002/jqs.3236</w:t>
        </w:r>
      </w:hyperlink>
      <w:r>
        <w:t xml:space="preserve">.</w:t>
      </w:r>
    </w:p>
    <w:bookmarkEnd w:id="257"/>
    <w:bookmarkStart w:id="258"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58"/>
    <w:bookmarkStart w:id="260"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59">
        <w:r>
          <w:rPr>
            <w:rStyle w:val="Hyperlink"/>
          </w:rPr>
          <w:t xml:space="preserve">https://doi.org/10.1007/978-3-211-49294-9_4</w:t>
        </w:r>
      </w:hyperlink>
      <w:r>
        <w:t xml:space="preserve">.</w:t>
      </w:r>
    </w:p>
    <w:bookmarkEnd w:id="260"/>
    <w:bookmarkStart w:id="262"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61">
        <w:r>
          <w:rPr>
            <w:rStyle w:val="Hyperlink"/>
          </w:rPr>
          <w:t xml:space="preserve">https://doi.org/10.1038/nature03585</w:t>
        </w:r>
      </w:hyperlink>
      <w:r>
        <w:t xml:space="preserve">.</w:t>
      </w:r>
    </w:p>
    <w:bookmarkEnd w:id="262"/>
    <w:bookmarkStart w:id="264"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63">
        <w:r>
          <w:rPr>
            <w:rStyle w:val="Hyperlink"/>
          </w:rPr>
          <w:t xml:space="preserve">https://doi.org/10.1007/s41982-025-00246-x</w:t>
        </w:r>
      </w:hyperlink>
      <w:r>
        <w:t xml:space="preserve">.</w:t>
      </w:r>
    </w:p>
    <w:bookmarkEnd w:id="264"/>
    <w:bookmarkStart w:id="266"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65">
        <w:r>
          <w:rPr>
            <w:rStyle w:val="Hyperlink"/>
          </w:rPr>
          <w:t xml:space="preserve">https://doi.org/10.1088/1742-5468/2008/10/P10008</w:t>
        </w:r>
      </w:hyperlink>
      <w:r>
        <w:t xml:space="preserve">.</w:t>
      </w:r>
    </w:p>
    <w:bookmarkEnd w:id="266"/>
    <w:bookmarkStart w:id="268"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267">
        <w:r>
          <w:rPr>
            <w:rStyle w:val="Hyperlink"/>
          </w:rPr>
          <w:t xml:space="preserve">https://doi.org/10.1103/PhysRevE.69.026113</w:t>
        </w:r>
      </w:hyperlink>
      <w:r>
        <w:t xml:space="preserve">.</w:t>
      </w:r>
    </w:p>
    <w:bookmarkEnd w:id="268"/>
    <w:bookmarkStart w:id="270"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69">
        <w:r>
          <w:rPr>
            <w:rStyle w:val="Hyperlink"/>
          </w:rPr>
          <w:t xml:space="preserve">https://doi.org/10.1016/j.socnet.2020.11.005</w:t>
        </w:r>
      </w:hyperlink>
      <w:r>
        <w:t xml:space="preserve">.</w:t>
      </w:r>
    </w:p>
    <w:bookmarkEnd w:id="270"/>
    <w:bookmarkStart w:id="272"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71">
        <w:r>
          <w:rPr>
            <w:rStyle w:val="Hyperlink"/>
          </w:rPr>
          <w:t xml:space="preserve">https://doi.org/10.1198/108571102320</w:t>
        </w:r>
      </w:hyperlink>
      <w:r>
        <w:t xml:space="preserve">.</w:t>
      </w:r>
    </w:p>
    <w:bookmarkEnd w:id="272"/>
    <w:bookmarkStart w:id="274"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273">
        <w:r>
          <w:rPr>
            <w:rStyle w:val="Hyperlink"/>
          </w:rPr>
          <w:t xml:space="preserve">https://doi.org/10.1007/s11258-006-9126-3</w:t>
        </w:r>
      </w:hyperlink>
      <w:r>
        <w:t xml:space="preserve">.</w:t>
      </w:r>
    </w:p>
    <w:bookmarkEnd w:id="274"/>
    <w:bookmarkStart w:id="276"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75">
        <w:r>
          <w:rPr>
            <w:rStyle w:val="Hyperlink"/>
          </w:rPr>
          <w:t xml:space="preserve">https://doi.org/10.1023/A:1023949509487</w:t>
        </w:r>
      </w:hyperlink>
      <w:r>
        <w:t xml:space="preserve">.</w:t>
      </w:r>
    </w:p>
    <w:bookmarkEnd w:id="276"/>
    <w:bookmarkStart w:id="278"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77">
        <w:r>
          <w:rPr>
            <w:rStyle w:val="Hyperlink"/>
          </w:rPr>
          <w:t xml:space="preserve">https://doi.org/10.48550/arXiv.1602.07587</w:t>
        </w:r>
      </w:hyperlink>
      <w:r>
        <w:t xml:space="preserve">.</w:t>
      </w:r>
    </w:p>
    <w:bookmarkEnd w:id="278"/>
    <w:bookmarkStart w:id="280"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279">
        <w:r>
          <w:rPr>
            <w:rStyle w:val="Hyperlink"/>
          </w:rPr>
          <w:t xml:space="preserve">https://doi.org/10.1007/BF01908075</w:t>
        </w:r>
      </w:hyperlink>
      <w:r>
        <w:t xml:space="preserve">.</w:t>
      </w:r>
    </w:p>
    <w:bookmarkEnd w:id="280"/>
    <w:bookmarkStart w:id="282"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281">
        <w:r>
          <w:rPr>
            <w:rStyle w:val="Hyperlink"/>
          </w:rPr>
          <w:t xml:space="preserve">https://doi.org/10.1080/01621459.2022.2116331</w:t>
        </w:r>
      </w:hyperlink>
      <w:r>
        <w:t xml:space="preserve">.</w:t>
      </w:r>
    </w:p>
    <w:bookmarkEnd w:id="282"/>
    <w:bookmarkStart w:id="284"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283">
        <w:r>
          <w:rPr>
            <w:rStyle w:val="Hyperlink"/>
          </w:rPr>
          <w:t xml:space="preserve">https://doi.org/10.1093/biostatistics/kxac047</w:t>
        </w:r>
      </w:hyperlink>
      <w:r>
        <w:t xml:space="preserve">.</w:t>
      </w:r>
    </w:p>
    <w:bookmarkEnd w:id="284"/>
    <w:bookmarkStart w:id="286"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285">
        <w:r>
          <w:rPr>
            <w:rStyle w:val="Hyperlink"/>
          </w:rPr>
          <w:t xml:space="preserve">https://doi.org/10.2307/2529826</w:t>
        </w:r>
      </w:hyperlink>
      <w:r>
        <w:t xml:space="preserve">.</w:t>
      </w:r>
    </w:p>
    <w:bookmarkEnd w:id="286"/>
    <w:bookmarkStart w:id="288"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287">
        <w:r>
          <w:rPr>
            <w:rStyle w:val="Hyperlink"/>
          </w:rPr>
          <w:t xml:space="preserve">https://doi.org/10.1093/bioinformatics/btw438</w:t>
        </w:r>
      </w:hyperlink>
      <w:r>
        <w:t xml:space="preserve">.</w:t>
      </w:r>
    </w:p>
    <w:bookmarkEnd w:id="288"/>
    <w:bookmarkStart w:id="29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289">
        <w:r>
          <w:rPr>
            <w:rStyle w:val="Hyperlink"/>
          </w:rPr>
          <w:t xml:space="preserve">https://doi.org/10.1890/11-1952.1</w:t>
        </w:r>
      </w:hyperlink>
      <w:r>
        <w:t xml:space="preserve">.</w:t>
      </w:r>
    </w:p>
    <w:bookmarkEnd w:id="290"/>
    <w:bookmarkStart w:id="29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291">
        <w:r>
          <w:rPr>
            <w:rStyle w:val="Hyperlink"/>
          </w:rPr>
          <w:t xml:space="preserve">https://doi.org/10.1046/j.1461-0248.2001.00230.x</w:t>
        </w:r>
      </w:hyperlink>
      <w:r>
        <w:t xml:space="preserve">.</w:t>
      </w:r>
    </w:p>
    <w:bookmarkEnd w:id="292"/>
    <w:bookmarkStart w:id="29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293">
        <w:r>
          <w:rPr>
            <w:rStyle w:val="Hyperlink"/>
          </w:rPr>
          <w:t xml:space="preserve">https://doi.org/10.1111/2041-210X.12613</w:t>
        </w:r>
      </w:hyperlink>
      <w:r>
        <w:t xml:space="preserve">.</w:t>
      </w:r>
    </w:p>
    <w:bookmarkEnd w:id="294"/>
    <w:bookmarkStart w:id="29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295">
        <w:r>
          <w:rPr>
            <w:rStyle w:val="Hyperlink"/>
          </w:rPr>
          <w:t xml:space="preserve">https://doi.org/10.1007/978-0-387-21706-2</w:t>
        </w:r>
      </w:hyperlink>
      <w:r>
        <w:t xml:space="preserve">.</w:t>
      </w:r>
    </w:p>
    <w:bookmarkEnd w:id="296"/>
    <w:bookmarkStart w:id="29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97">
        <w:r>
          <w:rPr>
            <w:rStyle w:val="Hyperlink"/>
          </w:rPr>
          <w:t xml:space="preserve">https://doi.org/10.1073/pnas.2520385123</w:t>
        </w:r>
      </w:hyperlink>
      <w:r>
        <w:t xml:space="preserve">.</w:t>
      </w:r>
    </w:p>
    <w:bookmarkEnd w:id="298"/>
    <w:bookmarkEnd w:id="299"/>
    <w:bookmarkEnd w:id="300"/>
    <w:bookmarkEnd w:id="30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3" Target="media/rId143.png" /><Relationship Type="http://schemas.openxmlformats.org/officeDocument/2006/relationships/image" Id="rId173" Target="media/rId173.png" /><Relationship Type="http://schemas.openxmlformats.org/officeDocument/2006/relationships/image" Id="rId180" Target="media/rId180.png" /><Relationship Type="http://schemas.openxmlformats.org/officeDocument/2006/relationships/image" Id="rId132" Target="media/rId132.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190" Target="media/rId190.png" /><Relationship Type="http://schemas.openxmlformats.org/officeDocument/2006/relationships/image" Id="rId219" Target="media/rId219.png" /><Relationship Type="http://schemas.openxmlformats.org/officeDocument/2006/relationships/image" Id="rId207" Target="media/rId207.png" /><Relationship Type="http://schemas.openxmlformats.org/officeDocument/2006/relationships/image" Id="rId199" Target="media/rId199.png" /><Relationship Type="http://schemas.openxmlformats.org/officeDocument/2006/relationships/image" Id="rId151" Target="media/rId151.png" /><Relationship Type="http://schemas.openxmlformats.org/officeDocument/2006/relationships/image" Id="rId37" Target="media/rId37.png" /><Relationship Type="http://schemas.openxmlformats.org/officeDocument/2006/relationships/hyperlink" Id="rId256" Target="https://doi.org/10.1002/jqs.3236" TargetMode="External" /><Relationship Type="http://schemas.openxmlformats.org/officeDocument/2006/relationships/hyperlink" Id="rId295" Target="https://doi.org/10.1007/978-0-387-21706-2" TargetMode="External" /><Relationship Type="http://schemas.openxmlformats.org/officeDocument/2006/relationships/hyperlink" Id="rId259" Target="https://doi.org/10.1007/978-3-211-49294-9_4" TargetMode="External" /><Relationship Type="http://schemas.openxmlformats.org/officeDocument/2006/relationships/hyperlink" Id="rId279" Target="https://doi.org/10.1007/BF01908075" TargetMode="External" /><Relationship Type="http://schemas.openxmlformats.org/officeDocument/2006/relationships/hyperlink" Id="rId273" Target="https://doi.org/10.1007/s11258-006-9126-3" TargetMode="External" /><Relationship Type="http://schemas.openxmlformats.org/officeDocument/2006/relationships/hyperlink" Id="rId250" Target="https://doi.org/10.1007/s41982-017-0004-4" TargetMode="External" /><Relationship Type="http://schemas.openxmlformats.org/officeDocument/2006/relationships/hyperlink" Id="rId263" Target="https://doi.org/10.1007/s41982-025-00246-x" TargetMode="External" /><Relationship Type="http://schemas.openxmlformats.org/officeDocument/2006/relationships/hyperlink" Id="rId254" Target="https://doi.org/10.1016/j.jhevol.2011.06.005" TargetMode="External" /><Relationship Type="http://schemas.openxmlformats.org/officeDocument/2006/relationships/hyperlink" Id="rId248" Target="https://doi.org/10.1016/j.quascirev.2021.106995" TargetMode="External" /><Relationship Type="http://schemas.openxmlformats.org/officeDocument/2006/relationships/hyperlink" Id="rId269" Target="https://doi.org/10.1016/j.socnet.2020.11.005" TargetMode="External" /><Relationship Type="http://schemas.openxmlformats.org/officeDocument/2006/relationships/hyperlink" Id="rId275" Target="https://doi.org/10.1023/A:1023949509487" TargetMode="External" /><Relationship Type="http://schemas.openxmlformats.org/officeDocument/2006/relationships/hyperlink" Id="rId261" Target="https://doi.org/10.1038/nature03585" TargetMode="External" /><Relationship Type="http://schemas.openxmlformats.org/officeDocument/2006/relationships/hyperlink" Id="rId291" Target="https://doi.org/10.1046/j.1461-0248.2001.00230.x" TargetMode="External" /><Relationship Type="http://schemas.openxmlformats.org/officeDocument/2006/relationships/hyperlink" Id="rId297" Target="https://doi.org/10.1073/pnas.2520385123" TargetMode="External" /><Relationship Type="http://schemas.openxmlformats.org/officeDocument/2006/relationships/hyperlink" Id="rId281" Target="https://doi.org/10.1080/01621459.2022.2116331" TargetMode="External" /><Relationship Type="http://schemas.openxmlformats.org/officeDocument/2006/relationships/hyperlink" Id="rId265" Target="https://doi.org/10.1088/1742-5468/2008/10/P10008" TargetMode="External" /><Relationship Type="http://schemas.openxmlformats.org/officeDocument/2006/relationships/hyperlink" Id="rId287" Target="https://doi.org/10.1093/bioinformatics/btw438" TargetMode="External" /><Relationship Type="http://schemas.openxmlformats.org/officeDocument/2006/relationships/hyperlink" Id="rId283" Target="https://doi.org/10.1093/biostatistics/kxac047" TargetMode="External" /><Relationship Type="http://schemas.openxmlformats.org/officeDocument/2006/relationships/hyperlink" Id="rId267" Target="https://doi.org/10.1103/PhysRevE.69.026113" TargetMode="External" /><Relationship Type="http://schemas.openxmlformats.org/officeDocument/2006/relationships/hyperlink" Id="rId293" Target="https://doi.org/10.1111/2041-210X.12613" TargetMode="External" /><Relationship Type="http://schemas.openxmlformats.org/officeDocument/2006/relationships/hyperlink" Id="rId271" Target="https://doi.org/10.1198/108571102320" TargetMode="External" /><Relationship Type="http://schemas.openxmlformats.org/officeDocument/2006/relationships/hyperlink" Id="rId246" Target="https://doi.org/10.18637/jss.v022.i07" TargetMode="External" /><Relationship Type="http://schemas.openxmlformats.org/officeDocument/2006/relationships/hyperlink" Id="rId289" Target="https://doi.org/10.1890/11-1952.1" TargetMode="External" /><Relationship Type="http://schemas.openxmlformats.org/officeDocument/2006/relationships/hyperlink" Id="rId285" Target="https://doi.org/10.2307/2529826" TargetMode="External" /><Relationship Type="http://schemas.openxmlformats.org/officeDocument/2006/relationships/hyperlink" Id="rId252" Target="https://doi.org/10.30861/9781841718309" TargetMode="External" /><Relationship Type="http://schemas.openxmlformats.org/officeDocument/2006/relationships/hyperlink" Id="rId277"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56" Target="https://doi.org/10.1002/jqs.3236" TargetMode="External" /><Relationship Type="http://schemas.openxmlformats.org/officeDocument/2006/relationships/hyperlink" Id="rId295" Target="https://doi.org/10.1007/978-0-387-21706-2" TargetMode="External" /><Relationship Type="http://schemas.openxmlformats.org/officeDocument/2006/relationships/hyperlink" Id="rId259" Target="https://doi.org/10.1007/978-3-211-49294-9_4" TargetMode="External" /><Relationship Type="http://schemas.openxmlformats.org/officeDocument/2006/relationships/hyperlink" Id="rId279" Target="https://doi.org/10.1007/BF01908075" TargetMode="External" /><Relationship Type="http://schemas.openxmlformats.org/officeDocument/2006/relationships/hyperlink" Id="rId273" Target="https://doi.org/10.1007/s11258-006-9126-3" TargetMode="External" /><Relationship Type="http://schemas.openxmlformats.org/officeDocument/2006/relationships/hyperlink" Id="rId250" Target="https://doi.org/10.1007/s41982-017-0004-4" TargetMode="External" /><Relationship Type="http://schemas.openxmlformats.org/officeDocument/2006/relationships/hyperlink" Id="rId263" Target="https://doi.org/10.1007/s41982-025-00246-x" TargetMode="External" /><Relationship Type="http://schemas.openxmlformats.org/officeDocument/2006/relationships/hyperlink" Id="rId254" Target="https://doi.org/10.1016/j.jhevol.2011.06.005" TargetMode="External" /><Relationship Type="http://schemas.openxmlformats.org/officeDocument/2006/relationships/hyperlink" Id="rId248" Target="https://doi.org/10.1016/j.quascirev.2021.106995" TargetMode="External" /><Relationship Type="http://schemas.openxmlformats.org/officeDocument/2006/relationships/hyperlink" Id="rId269" Target="https://doi.org/10.1016/j.socnet.2020.11.005" TargetMode="External" /><Relationship Type="http://schemas.openxmlformats.org/officeDocument/2006/relationships/hyperlink" Id="rId275" Target="https://doi.org/10.1023/A:1023949509487" TargetMode="External" /><Relationship Type="http://schemas.openxmlformats.org/officeDocument/2006/relationships/hyperlink" Id="rId261" Target="https://doi.org/10.1038/nature03585" TargetMode="External" /><Relationship Type="http://schemas.openxmlformats.org/officeDocument/2006/relationships/hyperlink" Id="rId291" Target="https://doi.org/10.1046/j.1461-0248.2001.00230.x" TargetMode="External" /><Relationship Type="http://schemas.openxmlformats.org/officeDocument/2006/relationships/hyperlink" Id="rId297" Target="https://doi.org/10.1073/pnas.2520385123" TargetMode="External" /><Relationship Type="http://schemas.openxmlformats.org/officeDocument/2006/relationships/hyperlink" Id="rId281" Target="https://doi.org/10.1080/01621459.2022.2116331" TargetMode="External" /><Relationship Type="http://schemas.openxmlformats.org/officeDocument/2006/relationships/hyperlink" Id="rId265" Target="https://doi.org/10.1088/1742-5468/2008/10/P10008" TargetMode="External" /><Relationship Type="http://schemas.openxmlformats.org/officeDocument/2006/relationships/hyperlink" Id="rId287" Target="https://doi.org/10.1093/bioinformatics/btw438" TargetMode="External" /><Relationship Type="http://schemas.openxmlformats.org/officeDocument/2006/relationships/hyperlink" Id="rId283" Target="https://doi.org/10.1093/biostatistics/kxac047" TargetMode="External" /><Relationship Type="http://schemas.openxmlformats.org/officeDocument/2006/relationships/hyperlink" Id="rId267" Target="https://doi.org/10.1103/PhysRevE.69.026113" TargetMode="External" /><Relationship Type="http://schemas.openxmlformats.org/officeDocument/2006/relationships/hyperlink" Id="rId293" Target="https://doi.org/10.1111/2041-210X.12613" TargetMode="External" /><Relationship Type="http://schemas.openxmlformats.org/officeDocument/2006/relationships/hyperlink" Id="rId271" Target="https://doi.org/10.1198/108571102320" TargetMode="External" /><Relationship Type="http://schemas.openxmlformats.org/officeDocument/2006/relationships/hyperlink" Id="rId246" Target="https://doi.org/10.18637/jss.v022.i07" TargetMode="External" /><Relationship Type="http://schemas.openxmlformats.org/officeDocument/2006/relationships/hyperlink" Id="rId289" Target="https://doi.org/10.1890/11-1952.1" TargetMode="External" /><Relationship Type="http://schemas.openxmlformats.org/officeDocument/2006/relationships/hyperlink" Id="rId285" Target="https://doi.org/10.2307/2529826" TargetMode="External" /><Relationship Type="http://schemas.openxmlformats.org/officeDocument/2006/relationships/hyperlink" Id="rId252" Target="https://doi.org/10.30861/9781841718309" TargetMode="External" /><Relationship Type="http://schemas.openxmlformats.org/officeDocument/2006/relationships/hyperlink" Id="rId277"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2026-09-06T00:22:02Z</dcterms:created>
  <dcterms:modified xsi:type="dcterms:W3CDTF">2026-09-06T00:22:02Z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