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8.png" ContentType="image/png"/>
  <Override PartName="/word/media/rId30.png" ContentType="image/png"/>
  <Override PartName="/word/media/rId92.png" ContentType="image/png"/>
  <Override PartName="/word/media/rId246.png" ContentType="image/png"/>
  <Override PartName="/word/media/rId275.png" ContentType="image/png"/>
  <Override PartName="/word/media/rId263.png" ContentType="image/png"/>
  <Override PartName="/word/media/rId255.png" ContentType="image/png"/>
  <Override PartName="/word/media/rId79.png" ContentType="image/png"/>
  <Override PartName="/word/media/rId115.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18.png" ContentType="image/png"/>
  <Override PartName="/word/media/rId172.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Override PartName="/word/media/rId199.png" ContentType="image/png"/>
  <Override PartName="/word/media/rId121.png" ContentType="image/png"/>
  <Override PartName="/word/media/rId202.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The main text (</w:t>
      </w:r>
      <w:r>
        <w:rPr>
          <w:rStyle w:val="VerbatimChar"/>
        </w:rPr>
        <w:t xml:space="preserve">paper.qmd:257</w:t>
      </w:r>
      <w:r>
        <w:t xml:space="preserve">) reports the raw SignBase size and the retained sample with inline R code (e.g. retained objects at retained sites), listing the eight archaeologically excluded sites by reason with</w:t>
      </w:r>
      <w:r>
        <w:t xml:space="preserve"> </w:t>
      </w:r>
      <w:r>
        <w:rPr>
          <w:rStyle w:val="VerbatimChar"/>
        </w:rPr>
        <w:t xml:space="preserve">e.g.</w:t>
      </w:r>
      <w:r>
        <w:t xml:space="preserve"> </w:t>
      </w:r>
      <w:r>
        <w:t xml:space="preserve">and pointing to S2 for the full site table. All numbers are inline R, no hard-coding. This section mirrors that logic for the date-parsing step, which otherwise has no disclosure in the main text. It uses the same CSV (</w:t>
      </w:r>
      <w:r>
        <w:rPr>
          <w:rStyle w:val="VerbatimChar"/>
        </w:rPr>
        <w:t xml:space="preserve">data/signBase_Version1.0.csv</w:t>
      </w:r>
      <w:r>
        <w:t xml:space="preserve">) and the same filter (</w:t>
      </w:r>
      <w:r>
        <w:rPr>
          <w:rStyle w:val="VerbatimChar"/>
        </w:rPr>
        <w:t xml:space="preserve">clean_signbase(date_variant="older")</w:t>
      </w:r>
      <w:r>
        <w:t xml:space="preserve"> </w:t>
      </w:r>
      <w:r>
        <w:t xml:space="preserve">at</w:t>
      </w:r>
      <w:r>
        <w:t xml:space="preserve"> </w:t>
      </w:r>
      <w:r>
        <w:rPr>
          <w:rStyle w:val="VerbatimChar"/>
        </w:rPr>
        <w:t xml:space="preserve">functions.R:78-86</w:t>
      </w:r>
      <w:r>
        <w:t xml:space="preserve">, which requires a plus/minus sign to extract an error), only partitioned earlier to enumerate what date parsing removes. S2 remains the canonical site list for phase assignments.</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496 signed objects at 57 sites remain. A further 27 sites carrying 58 signed objects are lost at the date-parsing step and do not enter phase assignment — 16 sites (26 objects) with no</w:t>
      </w:r>
      <w:r>
        <w:t xml:space="preserve"> </w:t>
      </w:r>
      <w:r>
        <w:rPr>
          <w:rStyle w:val="VerbatimChar"/>
        </w:rPr>
        <w:t xml:space="preserve">date_bp_max_min</w:t>
      </w:r>
      <w:r>
        <w:t xml:space="preserve"> </w:t>
      </w:r>
      <w:r>
        <w:t xml:space="preserve">entry and 11 sites (32 objects) with plain</w:t>
      </w:r>
      <w:r>
        <w:t xml:space="preserve"> </w:t>
      </w:r>
      <w:r>
        <w:rPr>
          <w:rStyle w:val="VerbatimChar"/>
        </w:rPr>
        <w:t xml:space="preserve">x - y</w:t>
      </w:r>
      <w:r>
        <w:t xml:space="preserve"> </w:t>
      </w:r>
      <w:r>
        <w:t xml:space="preserve">intervals lacking a reported</w:t>
      </w:r>
      <w:r>
        <w:t xml:space="preserve"> </w:t>
      </w:r>
      <w:r>
        <w:rPr>
          <w:rStyle w:val="VerbatimChar"/>
        </w:rPr>
        <w:t xml:space="preserve">±</w:t>
      </w:r>
      <w:r>
        <w:t xml:space="preserve"> </w:t>
      </w:r>
      <w:r>
        <w:t xml:space="preserve">error, including the largest, Grotte de Goyet (12 objects,</w:t>
      </w:r>
      <w:r>
        <w:t xml:space="preserve"> </w:t>
      </w:r>
      <w:r>
        <w:rPr>
          <w:rStyle w:val="VerbatimChar"/>
        </w:rPr>
        <w:t xml:space="preserve">35160 - 33140</w:t>
      </w:r>
      <w:r>
        <w:t xml:space="preserve">).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lost at date parsing (27 sites, 58 signed objects) — reason per site. Archaeological phase rationale is in S2. Reasons are: no date (empty date_bp_max_min) and plain interval without ± (plain x - y range lacking a reported error, as required by the parser at functions.R:78-86).</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 No re-inclusion is attempted here —</w:t>
      </w:r>
      <w:r>
        <w:t xml:space="preserve"> </w:t>
      </w:r>
      <w:r>
        <w:rPr>
          <w:rStyle w:val="VerbatimChar"/>
        </w:rPr>
        <w:t xml:space="preserve">functions.R:78-86</w:t>
      </w:r>
      <w:r>
        <w:t xml:space="preserve"> </w:t>
      </w:r>
      <w:r>
        <w:t xml:space="preserve">requires</w:t>
      </w:r>
      <w:r>
        <w:t xml:space="preserve"> </w:t>
      </w:r>
      <w:r>
        <w:rPr>
          <w:rStyle w:val="VerbatimChar"/>
        </w:rPr>
        <w:t xml:space="preserve">±</w:t>
      </w:r>
      <w:r>
        <w:t xml:space="preserve"> </w:t>
      </w:r>
      <w:r>
        <w:t xml:space="preserve">to extract an error for</w:t>
      </w:r>
      <w:r>
        <w:t xml:space="preserve"> </w:t>
      </w:r>
      <w:r>
        <w:rPr>
          <w:rStyle w:val="VerbatimChar"/>
        </w:rPr>
        <w:t xml:space="preserve">rcarbon::calibrate()</w:t>
      </w:r>
      <w:r>
        <w:t xml:space="preserve">, so plain intervals are not calibrated — so the loss is a documented filter rather than an imputed age. Option 2 (calibrating plain intervals with a synthetic</w:t>
      </w:r>
      <w:r>
        <w:t xml:space="preserve"> </w:t>
      </w:r>
      <w:r>
        <w:rPr>
          <w:rStyle w:val="VerbatimChar"/>
        </w:rPr>
        <w:t xml:space="preserve">±200</w:t>
      </w:r>
      <w:r>
        <w:t xml:space="preserve"> </w:t>
      </w:r>
      <w:r>
        <w:t xml:space="preserve">yr) would be the</w:t>
      </w:r>
      <w:r>
        <w:t xml:space="preserve"> </w:t>
      </w:r>
      <w:r>
        <w:rPr>
          <w:rStyle w:val="VerbatimChar"/>
        </w:rPr>
        <w:t xml:space="preserve">S8.5</w:t>
      </w:r>
      <w:r>
        <w:t xml:space="preserve"> </w:t>
      </w:r>
      <w:r>
        <w:t xml:space="preserve">sensitivity that recovers the 32 objects; it is not applied in this Option 1 disclosure.</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8</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8</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 degree</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16: Bootstrap 95% confidence intervals for mean degree and modularity at threshold = 0.2, based on 999 within-phase resamples.</w:t>
            </w:r>
          </w:p>
          <w:bookmarkEnd w:id="84"/>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[6]</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215" w:name="sec-s6"/>
    <w:p>
      <w:pPr>
        <w:pStyle w:val="Heading1"/>
      </w:pPr>
      <w:r>
        <w:t xml:space="preserve">S6. Robustness of the Two-Group Structure: Bootstrap Consensus and Stochastic Block Models</w:t>
      </w:r>
    </w:p>
    <w:bookmarkStart w:id="105"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[7]</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[8]</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[9]</w:t>
      </w:r>
      <w:r>
        <w:t xml:space="preserve">.</w:t>
      </w:r>
    </w:p>
    <w:bookmarkEnd w:id="105"/>
    <w:bookmarkStart w:id="114" w:name="sec-s6-2"/>
    <w:p>
      <w:pPr>
        <w:pStyle w:val="Heading2"/>
      </w:pPr>
      <w:r>
        <w:t xml:space="preserve">S6.2 Bootstrap Consensus Analysis</w:t>
      </w:r>
    </w:p>
    <w:bookmarkStart w:id="112" w:name="rationale-6"/>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10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20: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21: Per-site bootstrap consistency: proportion of 1000 resamples in which each site is assigned to its modal (most frequent) block. Consistency near 1 indicates robust assignment; values near 0.5 indicate sites whose group membership flips across resamples.</w:t>
            </w:r>
          </w:p>
          <w:bookmarkEnd w:id="107"/>
        </w:tc>
      </w:tr>
    </w:tbl>
    <w:tbl>
      <w:tblPr>
        <w:tblStyle w:val="Table"/>
        <w:tblW w:type="pct" w:w="5000"/>
        <w:tblLook w:firstRow="0" w:lastRow="0" w:firstColumn="0" w:lastColumn="0" w:noHBand="0" w:noVBand="0" w:val="0000"/>
        <w:jc w:val="start"/>
        <w:tblLayout w:type="fixed"/>
      </w:tblPr>
      <w:tblGrid>
        <w:gridCol w:w="7920"/>
      </w:tblGrid>
      <w:tr>
        <w:tc>
          <w:tcPr/>
          <w:bookmarkStart w:id="111" w:name="fig-bootstrap-consensus"/>
          <w:p>
            <w:pPr>
              <w:pStyle w:val="Compact"/>
              <w:jc w:val="center"/>
            </w:pPr>
            <w:r>
              <w:drawing>
                <wp:inline>
                  <wp:extent cx="5943600" cy="6604000"/>
                  <wp:effectExtent b="0" l="0" r="0" t="0"/>
                  <wp:docPr descr="" title="" id="109" name="Picture"/>
                  <a:graphic>
                    <a:graphicData uri="http://schemas.openxmlformats.org/drawingml/2006/picture">
                      <pic:pic>
                        <pic:nvPicPr>
                          <pic:cNvPr descr="../figures/bootstrap-consensus-plot.png" id="110" name="Picture"/>
                          <pic:cNvPicPr>
                            <a:picLocks noChangeArrowheads="1" noChangeAspect="1"/>
                          </pic:cNvPicPr>
                        </pic:nvPicPr>
                        <pic:blipFill>
                          <a:blip r:embed="rId10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11"/>
        </w:tc>
      </w:tr>
    </w:tbl>
    <w:bookmarkEnd w:id="112"/>
    <w:bookmarkStart w:id="113"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21</w:t>
        </w:r>
      </w:hyperlink>
      <w:r>
        <w:t xml:space="preserve">.</w:t>
      </w:r>
    </w:p>
    <w:bookmarkEnd w:id="113"/>
    <w:bookmarkEnd w:id="114"/>
    <w:bookmarkStart w:id="209" w:name="sec-s6-3"/>
    <w:p>
      <w:pPr>
        <w:pStyle w:val="Heading2"/>
      </w:pPr>
      <w:r>
        <w:t xml:space="preserve">S6.3 Stochastic Block Models</w:t>
      </w:r>
    </w:p>
    <w:bookmarkStart w:id="207" w:name="rationale-7"/>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6" name="Picture"/>
            <a:graphic>
              <a:graphicData uri="http://schemas.openxmlformats.org/drawingml/2006/picture">
                <pic:pic>
                  <pic:nvPicPr>
                    <pic:cNvPr descr="S1-supplement-sensitivity_files/figure-docx/s6-sbm-compute-1.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9" name="Picture"/>
            <a:graphic>
              <a:graphicData uri="http://schemas.openxmlformats.org/drawingml/2006/picture">
                <pic:pic>
                  <pic:nvPicPr>
                    <pic:cNvPr descr="S1-supplement-sensitivity_files/figure-docx/s6-sbm-compute-2.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2" name="Picture"/>
            <a:graphic>
              <a:graphicData uri="http://schemas.openxmlformats.org/drawingml/2006/picture">
                <pic:pic>
                  <pic:nvPicPr>
                    <pic:cNvPr descr="S1-supplement-sensitivity_files/figure-docx/s6-sbm-compute-3.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5" name="Picture"/>
            <a:graphic>
              <a:graphicData uri="http://schemas.openxmlformats.org/drawingml/2006/picture">
                <pic:pic>
                  <pic:nvPicPr>
                    <pic:cNvPr descr="S1-supplement-sensitivity_files/figure-docx/s6-sbm-compute-4.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8" name="Picture"/>
            <a:graphic>
              <a:graphicData uri="http://schemas.openxmlformats.org/drawingml/2006/picture">
                <pic:pic>
                  <pic:nvPicPr>
                    <pic:cNvPr descr="S1-supplement-sensitivity_files/figure-docx/s6-sbm-compute-5.png" id="129" name="Picture"/>
                    <pic:cNvPicPr>
                      <a:picLocks noChangeArrowheads="1" noChangeAspect="1"/>
                    </pic:cNvPicPr>
                  </pic:nvPicPr>
                  <pic:blipFill>
                    <a:blip r:embed="rId1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1" name="Picture"/>
            <a:graphic>
              <a:graphicData uri="http://schemas.openxmlformats.org/drawingml/2006/picture">
                <pic:pic>
                  <pic:nvPicPr>
                    <pic:cNvPr descr="S1-supplement-sensitivity_files/figure-docx/s6-sbm-compute-6.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4" name="Picture"/>
            <a:graphic>
              <a:graphicData uri="http://schemas.openxmlformats.org/drawingml/2006/picture">
                <pic:pic>
                  <pic:nvPicPr>
                    <pic:cNvPr descr="S1-supplement-sensitivity_files/figure-docx/s6-sbm-compute-7.png" id="135" name="Picture"/>
                    <pic:cNvPicPr>
                      <a:picLocks noChangeArrowheads="1" noChangeAspect="1"/>
                    </pic:cNvPicPr>
                  </pic:nvPicPr>
                  <pic:blipFill>
                    <a:blip r:embed="rId1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7" name="Picture"/>
            <a:graphic>
              <a:graphicData uri="http://schemas.openxmlformats.org/drawingml/2006/picture">
                <pic:pic>
                  <pic:nvPicPr>
                    <pic:cNvPr descr="S1-supplement-sensitivity_files/figure-docx/s6-sbm-compute-8.png" id="138" name="Picture"/>
                    <pic:cNvPicPr>
                      <a:picLocks noChangeArrowheads="1" noChangeAspect="1"/>
                    </pic:cNvPicPr>
                  </pic:nvPicPr>
                  <pic:blipFill>
                    <a:blip r:embed="rId1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0" name="Picture"/>
            <a:graphic>
              <a:graphicData uri="http://schemas.openxmlformats.org/drawingml/2006/picture">
                <pic:pic>
                  <pic:nvPicPr>
                    <pic:cNvPr descr="S1-supplement-sensitivity_files/figure-docx/s6-sbm-compute-9.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3" name="Picture"/>
            <a:graphic>
              <a:graphicData uri="http://schemas.openxmlformats.org/drawingml/2006/picture">
                <pic:pic>
                  <pic:nvPicPr>
                    <pic:cNvPr descr="S1-supplement-sensitivity_files/figure-docx/s6-sbm-compute-10.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6" name="Picture"/>
            <a:graphic>
              <a:graphicData uri="http://schemas.openxmlformats.org/drawingml/2006/picture">
                <pic:pic>
                  <pic:nvPicPr>
                    <pic:cNvPr descr="S1-supplement-sensitivity_files/figure-docx/s6-sbm-compute-11.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9" name="Picture"/>
            <a:graphic>
              <a:graphicData uri="http://schemas.openxmlformats.org/drawingml/2006/picture">
                <pic:pic>
                  <pic:nvPicPr>
                    <pic:cNvPr descr="S1-supplement-sensitivity_files/figure-docx/s6-sbm-compute-12.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2" name="Picture"/>
            <a:graphic>
              <a:graphicData uri="http://schemas.openxmlformats.org/drawingml/2006/picture">
                <pic:pic>
                  <pic:nvPicPr>
                    <pic:cNvPr descr="S1-supplement-sensitivity_files/figure-docx/s6-sbm-compute-13.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5" name="Picture"/>
            <a:graphic>
              <a:graphicData uri="http://schemas.openxmlformats.org/drawingml/2006/picture">
                <pic:pic>
                  <pic:nvPicPr>
                    <pic:cNvPr descr="S1-supplement-sensitivity_files/figure-docx/s6-sbm-compute-14.png" id="156" name="Picture"/>
                    <pic:cNvPicPr>
                      <a:picLocks noChangeArrowheads="1" noChangeAspect="1"/>
                    </pic:cNvPicPr>
                  </pic:nvPicPr>
                  <pic:blipFill>
                    <a:blip r:embed="rId1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8" name="Picture"/>
            <a:graphic>
              <a:graphicData uri="http://schemas.openxmlformats.org/drawingml/2006/picture">
                <pic:pic>
                  <pic:nvPicPr>
                    <pic:cNvPr descr="S1-supplement-sensitivity_files/figure-docx/s6-sbm-compute-15.png" id="159" name="Picture"/>
                    <pic:cNvPicPr>
                      <a:picLocks noChangeArrowheads="1" noChangeAspect="1"/>
                    </pic:cNvPicPr>
                  </pic:nvPicPr>
                  <pic:blipFill>
                    <a:blip r:embed="rId1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1" name="Picture"/>
            <a:graphic>
              <a:graphicData uri="http://schemas.openxmlformats.org/drawingml/2006/picture">
                <pic:pic>
                  <pic:nvPicPr>
                    <pic:cNvPr descr="S1-supplement-sensitivity_files/figure-docx/s6-sbm-compute-16.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4" name="Picture"/>
            <a:graphic>
              <a:graphicData uri="http://schemas.openxmlformats.org/drawingml/2006/picture">
                <pic:pic>
                  <pic:nvPicPr>
                    <pic:cNvPr descr="S1-supplement-sensitivity_files/figure-docx/s6-sbm-compute-17.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7" name="Picture"/>
            <a:graphic>
              <a:graphicData uri="http://schemas.openxmlformats.org/drawingml/2006/picture">
                <pic:pic>
                  <pic:nvPicPr>
                    <pic:cNvPr descr="S1-supplement-sensitivity_files/figure-docx/s6-sbm-compute-18.png" id="168" name="Picture"/>
                    <pic:cNvPicPr>
                      <a:picLocks noChangeArrowheads="1" noChangeAspect="1"/>
                    </pic:cNvPicPr>
                  </pic:nvPicPr>
                  <pic:blipFill>
                    <a:blip r:embed="rId1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0" name="Picture"/>
            <a:graphic>
              <a:graphicData uri="http://schemas.openxmlformats.org/drawingml/2006/picture">
                <pic:pic>
                  <pic:nvPicPr>
                    <pic:cNvPr descr="S1-supplement-sensitivity_files/figure-docx/s6-sbm-compute-19.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3" name="Picture"/>
            <a:graphic>
              <a:graphicData uri="http://schemas.openxmlformats.org/drawingml/2006/picture">
                <pic:pic>
                  <pic:nvPicPr>
                    <pic:cNvPr descr="S1-supplement-sensitivity_files/figure-docx/s6-sbm-compute-20.png" id="174" name="Picture"/>
                    <pic:cNvPicPr>
                      <a:picLocks noChangeArrowheads="1" noChangeAspect="1"/>
                    </pic:cNvPicPr>
                  </pic:nvPicPr>
                  <pic:blipFill>
                    <a:blip r:embed="rId1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6" name="Picture"/>
            <a:graphic>
              <a:graphicData uri="http://schemas.openxmlformats.org/drawingml/2006/picture">
                <pic:pic>
                  <pic:nvPicPr>
                    <pic:cNvPr descr="S1-supplement-sensitivity_files/figure-docx/s6-sbm-compute-2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9" name="Picture"/>
            <a:graphic>
              <a:graphicData uri="http://schemas.openxmlformats.org/drawingml/2006/picture">
                <pic:pic>
                  <pic:nvPicPr>
                    <pic:cNvPr descr="S1-supplement-sensitivity_files/figure-docx/s6-sbm-compute-22.png" id="180" name="Picture"/>
                    <pic:cNvPicPr>
                      <a:picLocks noChangeArrowheads="1" noChangeAspect="1"/>
                    </pic:cNvPicPr>
                  </pic:nvPicPr>
                  <pic:blipFill>
                    <a:blip r:embed="rId1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2" name="Picture"/>
            <a:graphic>
              <a:graphicData uri="http://schemas.openxmlformats.org/drawingml/2006/picture">
                <pic:pic>
                  <pic:nvPicPr>
                    <pic:cNvPr descr="S1-supplement-sensitivity_files/figure-docx/s6-sbm-compute-23.png" id="183" name="Picture"/>
                    <pic:cNvPicPr>
                      <a:picLocks noChangeArrowheads="1" noChangeAspect="1"/>
                    </pic:cNvPicPr>
                  </pic:nvPicPr>
                  <pic:blipFill>
                    <a:blip r:embed="rId18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5" name="Picture"/>
            <a:graphic>
              <a:graphicData uri="http://schemas.openxmlformats.org/drawingml/2006/picture">
                <pic:pic>
                  <pic:nvPicPr>
                    <pic:cNvPr descr="S1-supplement-sensitivity_files/figure-docx/s6-sbm-compute-24.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8" name="Picture"/>
            <a:graphic>
              <a:graphicData uri="http://schemas.openxmlformats.org/drawingml/2006/picture">
                <pic:pic>
                  <pic:nvPicPr>
                    <pic:cNvPr descr="S1-supplement-sensitivity_files/figure-docx/s6-sbm-compute-25.png" id="189" name="Picture"/>
                    <pic:cNvPicPr>
                      <a:picLocks noChangeArrowheads="1" noChangeAspect="1"/>
                    </pic:cNvPicPr>
                  </pic:nvPicPr>
                  <pic:blipFill>
                    <a:blip r:embed="rId18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1" name="Picture"/>
            <a:graphic>
              <a:graphicData uri="http://schemas.openxmlformats.org/drawingml/2006/picture">
                <pic:pic>
                  <pic:nvPicPr>
                    <pic:cNvPr descr="S1-supplement-sensitivity_files/figure-docx/s6-sbm-compute-26.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4" name="Picture"/>
            <a:graphic>
              <a:graphicData uri="http://schemas.openxmlformats.org/drawingml/2006/picture">
                <pic:pic>
                  <pic:nvPicPr>
                    <pic:cNvPr descr="S1-supplement-sensitivity_files/figure-docx/s6-sbm-compute-27.png" id="195" name="Picture"/>
                    <pic:cNvPicPr>
                      <a:picLocks noChangeArrowheads="1" noChangeAspect="1"/>
                    </pic:cNvPicPr>
                  </pic:nvPicPr>
                  <pic:blipFill>
                    <a:blip r:embed="rId19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7" name="Picture"/>
            <a:graphic>
              <a:graphicData uri="http://schemas.openxmlformats.org/drawingml/2006/picture">
                <pic:pic>
                  <pic:nvPicPr>
                    <pic:cNvPr descr="S1-supplement-sensitivity_files/figure-docx/s6-sbm-compute-28.png" id="198" name="Picture"/>
                    <pic:cNvPicPr>
                      <a:picLocks noChangeArrowheads="1" noChangeAspect="1"/>
                    </pic:cNvPicPr>
                  </pic:nvPicPr>
                  <pic:blipFill>
                    <a:blip r:embed="rId1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0" name="Picture"/>
            <a:graphic>
              <a:graphicData uri="http://schemas.openxmlformats.org/drawingml/2006/picture">
                <pic:pic>
                  <pic:nvPicPr>
                    <pic:cNvPr descr="S1-supplement-sensitivity_files/figure-docx/s6-sbm-compute-29.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3" name="Picture"/>
            <a:graphic>
              <a:graphicData uri="http://schemas.openxmlformats.org/drawingml/2006/picture">
                <pic:pic>
                  <pic:nvPicPr>
                    <pic:cNvPr descr="S1-supplement-sensitivity_files/figure-docx/s6-sbm-compute-30.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6"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23: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6"/>
        </w:tc>
      </w:tr>
    </w:tbl>
    <w:bookmarkEnd w:id="207"/>
    <w:bookmarkStart w:id="208"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22</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8"/>
    <w:bookmarkEnd w:id="209"/>
    <w:bookmarkStart w:id="213" w:name="sec-s6-4"/>
    <w:p>
      <w:pPr>
        <w:pStyle w:val="Heading2"/>
      </w:pPr>
      <w:r>
        <w:t xml:space="preserve">S6.4 Cross-Validation of Group Assignments (ARI)</w:t>
      </w:r>
    </w:p>
    <w:bookmarkStart w:id="211" w:name="rationale-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1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24: Adjusted Rand Index between the main-text manual restricted/broad assignment, the bootstrap modal blocks (S6.2), and the SBM modal assignments (S6.3), by phase.</w:t>
            </w:r>
          </w:p>
          <w:bookmarkEnd w:id="210"/>
        </w:tc>
      </w:tr>
    </w:tbl>
    <w:bookmarkEnd w:id="211"/>
    <w:bookmarkStart w:id="212"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8</w:t>
        </w:r>
      </w:hyperlink>
      <w:r>
        <w:t xml:space="preserve">.</w:t>
      </w:r>
    </w:p>
    <w:bookmarkEnd w:id="212"/>
    <w:bookmarkEnd w:id="213"/>
    <w:bookmarkStart w:id="21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20</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23</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22</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24</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8</w:t>
        </w:r>
      </w:hyperlink>
      <w:r>
        <w:t xml:space="preserve">, which validates the grouping on withheld data rather than on the data used to define it.</w:t>
      </w:r>
    </w:p>
    <w:bookmarkEnd w:id="214"/>
    <w:bookmarkEnd w:id="215"/>
    <w:bookmarkStart w:id="236" w:name="sec-s6-6"/>
    <w:p>
      <w:pPr>
        <w:pStyle w:val="Heading1"/>
      </w:pPr>
      <w:r>
        <w:t xml:space="preserve">S6.6 Circularity-Breaking Validation of the Restricted/Broad Group Difference</w:t>
      </w:r>
    </w:p>
    <w:bookmarkStart w:id="218" w:name="rationale-9"/>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216"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25: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216"/>
        </w:tc>
      </w:tr>
    </w:tbl>
    <w:bookmarkStart w:id="217"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 restricted/broad contrast is not a circularity artefact: the grouping is 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r>
        <w:t xml:space="preserve"> </w:t>
      </w:r>
      <w:r>
        <w:t xml:space="preserve"># S7. Object-Type Sensitivity: Figurine Exclusion {#sec-s7}</w:t>
      </w:r>
    </w:p>
    <w:bookmarkEnd w:id="217"/>
    <w:bookmarkEnd w:id="218"/>
    <w:bookmarkStart w:id="219" w:name="s7.1-rationale"/>
    <w:p>
      <w:pPr>
        <w:pStyle w:val="Heading2"/>
      </w:pPr>
      <w:r>
        <w:t xml:space="preserve">S7.1 Rationale</w:t>
      </w:r>
    </w:p>
    <w:p>
      <w:pPr>
        <w:pStyle w:val="FirstParagraph"/>
      </w:pPr>
      <w:r>
        <w:t xml:space="preserve">[10]</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9"/>
    <w:bookmarkStart w:id="221"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0"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26: Distribution of figurine objects across phases and sites. Figurine types include figurine zoomorph, figurine anthropomorph, figurine undet., and possible figurine.</w:t>
            </w:r>
          </w:p>
          <w:bookmarkEnd w:id="220"/>
        </w:tc>
      </w:tr>
    </w:tbl>
    <w:p>
      <w:pPr>
        <w:pStyle w:val="BodyText"/>
      </w:pPr>
      <w:hyperlink w:anchor="tbl-figurine-count">
        <w:r>
          <w:rPr>
            <w:rStyle w:val="Hyperlink"/>
          </w:rPr>
          <w:t xml:space="preserve">Table 26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1"/>
    <w:bookmarkStart w:id="226" w:name="s7.3-analysis-1-exclude-all-figurines"/>
    <w:p>
      <w:pPr>
        <w:pStyle w:val="Heading2"/>
      </w:pPr>
      <w:r>
        <w:t xml:space="preserve">S7.3 Analysis 1: Exclude All Figurines</w:t>
      </w:r>
    </w:p>
    <w:bookmarkStart w:id="224"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2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27: Network statistics before and after excluding all figurine objects (figurine zoomorph, figurine anthropomorph, figurine undet., and possible figurine).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28: Number of sites per phase before and after figurine exclusion. Sites are lost when all objects at that site are figurines.</w:t>
            </w:r>
          </w:p>
          <w:bookmarkEnd w:id="223"/>
        </w:tc>
      </w:tr>
    </w:tbl>
    <w:bookmarkEnd w:id="224"/>
    <w:bookmarkStart w:id="225"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5"/>
    <w:bookmarkEnd w:id="226"/>
    <w:bookmarkStart w:id="231" w:name="X7549e60451b9f7bbee640100d361a0cf771ac62"/>
    <w:p>
      <w:pPr>
        <w:pStyle w:val="Heading2"/>
      </w:pPr>
      <w:r>
        <w:t xml:space="preserve">S7.4 Analysis 2: Exclude Vogelherd Figurines Only</w:t>
      </w:r>
    </w:p>
    <w:bookmarkStart w:id="229"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7"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29: Network statistics before and after excluding figurines from Vogelherd only. All other figurines (Hohle Fels, Geissenklösterle, Hohlenstein-Stadel, La Ferrassie) are retained. Threshold = 0.2, Jaccard similarity.</w:t>
            </w:r>
          </w:p>
          <w:bookmarkEnd w:id="22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8"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30: Vogelherd object counts before and after removing figurines. Non-figurine objects at Vogelherd (tools, plaquettes, etc.) are retained.</w:t>
            </w:r>
          </w:p>
          <w:bookmarkEnd w:id="228"/>
        </w:tc>
      </w:tr>
    </w:tbl>
    <w:bookmarkEnd w:id="229"/>
    <w:bookmarkStart w:id="230"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0"/>
    <w:bookmarkEnd w:id="231"/>
    <w:bookmarkStart w:id="233"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3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31: Side-by-side comparison of network statistics across all conditions: baseline (all objects), exclude all figurines, and exclude Vogelherd figurines only. The rightmost columns show the percentage change in mean degree from baseline.</w:t>
            </w:r>
          </w:p>
          <w:bookmarkEnd w:id="232"/>
        </w:tc>
      </w:tr>
    </w:tbl>
    <w:bookmarkEnd w:id="233"/>
    <w:bookmarkStart w:id="235"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34"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32: Mean degree by figurine-exclusion condition, with percentage change from baseline. Reproduced directly from the joint comparison in</w:t>
            </w:r>
            <w:r>
              <w:t xml:space="preserve"> </w:t>
            </w:r>
            <w:hyperlink w:anchor="tbl-objtype-joint">
              <w:r>
                <w:rPr>
                  <w:rStyle w:val="Hyperlink"/>
                </w:rPr>
                <w:t xml:space="preserve">Table 31</w:t>
              </w:r>
            </w:hyperlink>
            <w:r>
              <w:t xml:space="preserve">.</w:t>
            </w:r>
          </w:p>
          <w:bookmarkEnd w:id="234"/>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[10]</w:t>
      </w:r>
      <w:r>
        <w:t xml:space="preserve"> </w:t>
      </w:r>
      <w:r>
        <w:t xml:space="preserve">argument that figurines carry high-information sign sequences, but the communities themselves are defined by shared sign types across all object types.</w:t>
      </w:r>
    </w:p>
    <w:bookmarkEnd w:id="235"/>
    <w:bookmarkEnd w:id="236"/>
    <w:bookmarkStart w:id="244" w:name="sec-s8"/>
    <w:p>
      <w:pPr>
        <w:pStyle w:val="Heading1"/>
      </w:pPr>
      <w:r>
        <w:t xml:space="preserve">S8. Site Reclassification Sensitivity Analysis</w:t>
      </w:r>
    </w:p>
    <w:bookmarkStart w:id="237"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[11,12]</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[13]</w:t>
      </w:r>
      <w:r>
        <w:t xml:space="preserve"> </w:t>
      </w:r>
      <w:r>
        <w:t xml:space="preserve">classify this as Early Aurignacian (Aur-P1) based on carinated scrapers and wide Aurignacian blades. No split-base bone points (Proto-Aurignacian diagnostic) were found</w:t>
      </w:r>
      <w:r>
        <w:t xml:space="preserve"> </w:t>
      </w:r>
      <w:r>
        <w:t xml:space="preserve">[13,14]</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[15]</w:t>
      </w:r>
      <w:r>
        <w:t xml:space="preserve">. Direct dates of ~31 ka ¹⁴C BP (~35–36 cal BP) are too young for Proto-Aurignacian</w:t>
      </w:r>
      <w:r>
        <w:t xml:space="preserve"> </w:t>
      </w:r>
      <w:r>
        <w:t xml:space="preserve">[16]</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[17]</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7"/>
    <w:bookmarkStart w:id="240"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8"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8"/>
        </w:tc>
      </w:tr>
    </w:tbl>
    <w:bookmarkStart w:id="239"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[16]</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9"/>
    <w:bookmarkEnd w:id="240"/>
    <w:bookmarkStart w:id="242"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1"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34: Mean degree by phase under each reassignment condition. The Aur-P1 &gt; Aur-P2 ordering is preserved under every condition.</w:t>
            </w:r>
          </w:p>
          <w:bookmarkEnd w:id="241"/>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42"/>
    <w:bookmarkStart w:id="243"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43"/>
    <w:bookmarkEnd w:id="244"/>
    <w:bookmarkStart w:id="330"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52" w:name="sec-s9-1"/>
    <w:p>
      <w:pPr>
        <w:pStyle w:val="Heading2"/>
      </w:pPr>
      <w:r>
        <w:t xml:space="preserve">S9.1 Object-count distribution and feasible common counts</w:t>
      </w:r>
    </w:p>
    <w:bookmarkStart w:id="250" w:name="rationale-1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5"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35: Per-site object counts by phase and manual restricted(1)/broad(2) group. The reviewer notes the strong Spearman correlation (ρ = 0.86) between object count and sign-type richness across sites.</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s9-objhist"/>
          <w:p>
            <w:pPr>
              <w:pStyle w:val="Compact"/>
              <w:jc w:val="center"/>
            </w:pPr>
            <w:r>
              <w:drawing>
                <wp:inline>
                  <wp:extent cx="5943600" cy="2971800"/>
                  <wp:effectExtent b="0" l="0" r="0" t="0"/>
                  <wp:docPr descr="" title="" id="247" name="Picture"/>
                  <a:graphic>
                    <a:graphicData uri="http://schemas.openxmlformats.org/drawingml/2006/picture">
                      <pic:pic>
                        <pic:nvPicPr>
                          <pic:cNvPr descr="S1-supplement-sensitivity_files/figure-docx/fig-s9-objhist-1.png" id="248" name="Picture"/>
                          <pic:cNvPicPr>
                            <a:picLocks noChangeArrowheads="1" noChangeAspect="1"/>
                          </pic:cNvPicPr>
                        </pic:nvPicPr>
                        <pic:blipFill>
                          <a:blip r:embed="rId24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9"/>
        </w:tc>
      </w:tr>
    </w:tbl>
    <w:bookmarkEnd w:id="250"/>
    <w:bookmarkStart w:id="251"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1"/>
    <w:bookmarkEnd w:id="252"/>
    <w:bookmarkStart w:id="261" w:name="sec-s9-2"/>
    <w:p>
      <w:pPr>
        <w:pStyle w:val="Heading2"/>
      </w:pPr>
      <w:r>
        <w:t xml:space="preserve">S9.2 Object-level downsampling sensitivity</w:t>
      </w:r>
    </w:p>
    <w:bookmarkStart w:id="259" w:name="rationale-1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3"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36: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4"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37: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s9-retention"/>
          <w:p>
            <w:pPr>
              <w:pStyle w:val="Compact"/>
              <w:jc w:val="center"/>
            </w:pPr>
            <w:r>
              <w:drawing>
                <wp:inline>
                  <wp:extent cx="5943600" cy="5943600"/>
                  <wp:effectExtent b="0" l="0" r="0" t="0"/>
                  <wp:docPr descr="" title="" id="256" name="Picture"/>
                  <a:graphic>
                    <a:graphicData uri="http://schemas.openxmlformats.org/drawingml/2006/picture">
                      <pic:pic>
                        <pic:nvPicPr>
                          <pic:cNvPr descr="S1-supplement-sensitivity_files/figure-docx/fig-s9-retention-1.png" id="257" name="Picture"/>
                          <pic:cNvPicPr>
                            <a:picLocks noChangeArrowheads="1" noChangeAspect="1"/>
                          </pic:cNvPicPr>
                        </pic:nvPicPr>
                        <pic:blipFill>
                          <a:blip r:embed="rId25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8"/>
        </w:tc>
      </w:tr>
    </w:tbl>
    <w:bookmarkEnd w:id="259"/>
    <w:bookmarkStart w:id="260"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0"/>
    <w:bookmarkEnd w:id="261"/>
    <w:bookmarkStart w:id="269" w:name="sec-s9-3"/>
    <w:p>
      <w:pPr>
        <w:pStyle w:val="Heading2"/>
      </w:pPr>
      <w:r>
        <w:t xml:space="preserve">S9.3 Coverage-based rarefaction</w:t>
      </w:r>
    </w:p>
    <w:bookmarkStart w:id="267" w:name="rationale-1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[18,19]</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[20]</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2" w:name="tbl-s9-rarefaction"/>
          <w:tbl>
            <w:tblPr>
              <w:tblStyle w:val="Table"/>
              <w:tblW w:type="pct" w:w="5000"/>
              <w:tblLook w:firstRow="1" w:lastRow="0" w:firstColumn="0" w:lastColumn="0" w:noHBand="0" w:noVBand="0" w:val="0020"/>
              <w:jc w:val="start"/>
              <w:tblLayout w:type="fixed"/>
            </w:tblPr>
            <w:tblGrid>
              <w:gridCol w:w="288"/>
              <w:gridCol w:w="1113"/>
              <w:gridCol w:w="453"/>
              <w:gridCol w:w="330"/>
              <w:gridCol w:w="660"/>
              <w:gridCol w:w="660"/>
              <w:gridCol w:w="330"/>
              <w:gridCol w:w="330"/>
              <w:gridCol w:w="783"/>
              <w:gridCol w:w="288"/>
              <w:gridCol w:w="288"/>
              <w:gridCol w:w="247"/>
              <w:gridCol w:w="214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38: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s9-rarefaction"/>
          <w:p>
            <w:pPr>
              <w:pStyle w:val="Compact"/>
              <w:jc w:val="center"/>
            </w:pPr>
            <w:r>
              <w:drawing>
                <wp:inline>
                  <wp:extent cx="5943600" cy="3396342"/>
                  <wp:effectExtent b="0" l="0" r="0" t="0"/>
                  <wp:docPr descr="" title="" id="264" name="Picture"/>
                  <a:graphic>
                    <a:graphicData uri="http://schemas.openxmlformats.org/drawingml/2006/picture">
                      <pic:pic>
                        <pic:nvPicPr>
                          <pic:cNvPr descr="S1-supplement-sensitivity_files/figure-docx/fig-s9-rarefaction-1.png" id="265" name="Picture"/>
                          <pic:cNvPicPr>
                            <a:picLocks noChangeArrowheads="1" noChangeAspect="1"/>
                          </pic:cNvPicPr>
                        </pic:nvPicPr>
                        <pic:blipFill>
                          <a:blip r:embed="rId26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estimated at target coverage = 0.9 with 95% confidence intervals, by manual group, for sites that reach that coverage. Restricted sites (green) that attain high coverage remain low-richness; broad sites (red) remain high-richness.</w:t>
            </w:r>
          </w:p>
          <w:bookmarkEnd w:id="266"/>
        </w:tc>
      </w:tr>
    </w:tbl>
    <w:bookmarkEnd w:id="267"/>
    <w:bookmarkStart w:id="268"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68"/>
    <w:bookmarkEnd w:id="269"/>
    <w:bookmarkStart w:id="273" w:name="sec-s9-4"/>
    <w:p>
      <w:pPr>
        <w:pStyle w:val="Heading2"/>
      </w:pPr>
      <w:r>
        <w:t xml:space="preserve">S9.4 Negative-binomial regression with object-count covariate</w:t>
      </w:r>
    </w:p>
    <w:bookmarkStart w:id="271" w:name="rationale-1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[19]</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[21]</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70"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39: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0"/>
        </w:tc>
      </w:tr>
    </w:tbl>
    <w:bookmarkEnd w:id="271"/>
    <w:bookmarkStart w:id="272"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2"/>
    <w:bookmarkEnd w:id="273"/>
    <w:bookmarkStart w:id="281" w:name="sec-s9-5"/>
    <w:p>
      <w:pPr>
        <w:pStyle w:val="Heading2"/>
      </w:pPr>
      <w:r>
        <w:t xml:space="preserve">S9.5 Equal-effort pool comparison (iNEXT)</w:t>
      </w:r>
    </w:p>
    <w:bookmarkStart w:id="279" w:name="rationale-1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[18,20]</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74"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40: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4"/>
        </w:tc>
      </w:tr>
    </w:tbl>
    <w:tbl>
      <w:tblPr>
        <w:tblStyle w:val="Table"/>
        <w:tblW w:type="pct" w:w="5000"/>
        <w:tblLook w:firstRow="0" w:lastRow="0" w:firstColumn="0" w:lastColumn="0" w:noHBand="0" w:noVBand="0" w:val="0000"/>
        <w:jc w:val="start"/>
        <w:tblLayout w:type="fixed"/>
      </w:tblPr>
      <w:tblGrid>
        <w:gridCol w:w="7920"/>
      </w:tblGrid>
      <w:tr>
        <w:tc>
          <w:tcPr/>
          <w:bookmarkStart w:id="278" w:name="fig-s9-pool-inext"/>
          <w:p>
            <w:pPr>
              <w:pStyle w:val="Compact"/>
              <w:jc w:val="center"/>
            </w:pPr>
            <w:r>
              <w:drawing>
                <wp:inline>
                  <wp:extent cx="5943600" cy="3566160"/>
                  <wp:effectExtent b="0" l="0" r="0" t="0"/>
                  <wp:docPr descr="" title="" id="276" name="Picture"/>
                  <a:graphic>
                    <a:graphicData uri="http://schemas.openxmlformats.org/drawingml/2006/picture">
                      <pic:pic>
                        <pic:nvPicPr>
                          <pic:cNvPr descr="S1-supplement-sensitivity_files/figure-docx/fig-s9-pool-inext-1.png" id="277" name="Picture"/>
                          <pic:cNvPicPr>
                            <a:picLocks noChangeArrowheads="1" noChangeAspect="1"/>
                          </pic:cNvPicPr>
                        </pic:nvPicPr>
                        <pic:blipFill>
                          <a:blip r:embed="rId275"/>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8"/>
        </w:tc>
      </w:tr>
    </w:tbl>
    <w:bookmarkEnd w:id="279"/>
    <w:bookmarkStart w:id="280" w:name="interpretation-1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80"/>
    <w:bookmarkEnd w:id="281"/>
    <w:bookmarkStart w:id="282"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2"/>
    <w:bookmarkStart w:id="286" w:name="sec-s9-7"/>
    <w:p>
      <w:pPr>
        <w:pStyle w:val="Heading2"/>
      </w:pPr>
      <w:r>
        <w:t xml:space="preserve">S9.7 Simpson-dissimilarity group test and richness-preserving nulls</w:t>
      </w:r>
    </w:p>
    <w:bookmarkStart w:id="284" w:name="rationale-15"/>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83"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41: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83"/>
        </w:tc>
      </w:tr>
    </w:tbl>
    <w:bookmarkEnd w:id="284"/>
    <w:bookmarkStart w:id="285" w:name="interpretation-13"/>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85"/>
    <w:bookmarkEnd w:id="286"/>
    <w:bookmarkStart w:id="329" w:name="references-cited"/>
    <w:p>
      <w:pPr>
        <w:pStyle w:val="Heading2"/>
      </w:pPr>
      <w:r>
        <w:t xml:space="preserve">References cited</w:t>
      </w:r>
    </w:p>
    <w:bookmarkStart w:id="328" w:name="refs"/>
    <w:bookmarkStart w:id="288"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7">
        <w:r>
          <w:rPr>
            <w:rStyle w:val="Hyperlink"/>
          </w:rPr>
          <w:t xml:space="preserve">https://doi.org/10.1016/j.quascirev.2021.106995</w:t>
        </w:r>
      </w:hyperlink>
      <w:r>
        <w:t xml:space="preserve">.</w:t>
      </w:r>
    </w:p>
    <w:bookmarkEnd w:id="288"/>
    <w:bookmarkStart w:id="290"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9">
        <w:r>
          <w:rPr>
            <w:rStyle w:val="Hyperlink"/>
          </w:rPr>
          <w:t xml:space="preserve">https://doi.org/10.1007/s41982-017-0004-4</w:t>
        </w:r>
      </w:hyperlink>
      <w:r>
        <w:t xml:space="preserve">.</w:t>
      </w:r>
    </w:p>
    <w:bookmarkEnd w:id="290"/>
    <w:bookmarkStart w:id="292"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1">
        <w:r>
          <w:rPr>
            <w:rStyle w:val="Hyperlink"/>
          </w:rPr>
          <w:t xml:space="preserve">https://doi.org/10.1088/1742-5468/2008/10/P10008</w:t>
        </w:r>
      </w:hyperlink>
      <w:r>
        <w:t xml:space="preserve">.</w:t>
      </w:r>
    </w:p>
    <w:bookmarkEnd w:id="292"/>
    <w:bookmarkStart w:id="294"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93">
        <w:r>
          <w:rPr>
            <w:rStyle w:val="Hyperlink"/>
          </w:rPr>
          <w:t xml:space="preserve">https://doi.org/10.1103/PhysRevE.69.026113</w:t>
        </w:r>
      </w:hyperlink>
      <w:r>
        <w:t xml:space="preserve">.</w:t>
      </w:r>
    </w:p>
    <w:bookmarkEnd w:id="294"/>
    <w:bookmarkStart w:id="296" w:name="ref-Lichstein_2007"/>
    <w:p>
      <w:pPr>
        <w:pStyle w:val="Bibliography"/>
      </w:pPr>
      <w:r>
        <w:t xml:space="preserve">[5]</w:t>
      </w:r>
      <w:r>
        <w:t xml:space="preserve"> </w:t>
      </w:r>
      <w:r>
        <w:t xml:space="preserve">	</w:t>
      </w:r>
      <w:r>
        <w:t xml:space="preserve">Lichstein JW. Multiple regression on distance matrices: A multivariate spatial analysis tool. Plant Ecology 2007;188:117–31.</w:t>
      </w:r>
      <w:r>
        <w:t xml:space="preserve"> </w:t>
      </w:r>
      <w:hyperlink r:id="rId295">
        <w:r>
          <w:rPr>
            <w:rStyle w:val="Hyperlink"/>
          </w:rPr>
          <w:t xml:space="preserve">https://doi.org/10.1007/s11258-006-9126-3</w:t>
        </w:r>
      </w:hyperlink>
      <w:r>
        <w:t xml:space="preserve">.</w:t>
      </w:r>
    </w:p>
    <w:bookmarkEnd w:id="296"/>
    <w:bookmarkStart w:id="298" w:name="ref-Goslee_Urban_2007"/>
    <w:p>
      <w:pPr>
        <w:pStyle w:val="Bibliography"/>
      </w:pPr>
      <w:r>
        <w:t xml:space="preserve">[6]</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7">
        <w:r>
          <w:rPr>
            <w:rStyle w:val="Hyperlink"/>
          </w:rPr>
          <w:t xml:space="preserve">https://doi.org/10.18637/jss.v022.i07</w:t>
        </w:r>
      </w:hyperlink>
      <w:r>
        <w:t xml:space="preserve">.</w:t>
      </w:r>
    </w:p>
    <w:bookmarkEnd w:id="298"/>
    <w:bookmarkStart w:id="300" w:name="ref-Monti_2003"/>
    <w:p>
      <w:pPr>
        <w:pStyle w:val="Bibliography"/>
      </w:pPr>
      <w:r>
        <w:t xml:space="preserve">[7]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99">
        <w:r>
          <w:rPr>
            <w:rStyle w:val="Hyperlink"/>
          </w:rPr>
          <w:t xml:space="preserve">https://doi.org/10.1023/A:1023949509487</w:t>
        </w:r>
      </w:hyperlink>
      <w:r>
        <w:t xml:space="preserve">.</w:t>
      </w:r>
    </w:p>
    <w:bookmarkEnd w:id="300"/>
    <w:bookmarkStart w:id="302" w:name="ref-Leger_2016"/>
    <w:p>
      <w:pPr>
        <w:pStyle w:val="Bibliography"/>
      </w:pPr>
      <w:r>
        <w:t xml:space="preserve">[8]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01">
        <w:r>
          <w:rPr>
            <w:rStyle w:val="Hyperlink"/>
          </w:rPr>
          <w:t xml:space="preserve">https://doi.org/10.48550/arXiv.1602.07587</w:t>
        </w:r>
      </w:hyperlink>
      <w:r>
        <w:t xml:space="preserve">.</w:t>
      </w:r>
    </w:p>
    <w:bookmarkEnd w:id="302"/>
    <w:bookmarkStart w:id="304" w:name="ref-Hubert_Arabie_1985"/>
    <w:p>
      <w:pPr>
        <w:pStyle w:val="Bibliography"/>
      </w:pPr>
      <w:r>
        <w:t xml:space="preserve">[9]</w:t>
      </w:r>
      <w:r>
        <w:t xml:space="preserve"> </w:t>
      </w:r>
      <w:r>
        <w:t xml:space="preserve">	</w:t>
      </w:r>
      <w:r>
        <w:t xml:space="preserve">Hubert L, Arabie P. Comparing partitions. Journal of Classification 1985;2:193–218.</w:t>
      </w:r>
      <w:r>
        <w:t xml:space="preserve"> </w:t>
      </w:r>
      <w:hyperlink r:id="rId303">
        <w:r>
          <w:rPr>
            <w:rStyle w:val="Hyperlink"/>
          </w:rPr>
          <w:t xml:space="preserve">https://doi.org/10.1007/BF01908075</w:t>
        </w:r>
      </w:hyperlink>
      <w:r>
        <w:t xml:space="preserve">.</w:t>
      </w:r>
    </w:p>
    <w:bookmarkEnd w:id="304"/>
    <w:bookmarkStart w:id="306" w:name="ref-Bentz_Dutkiewicz_2026"/>
    <w:p>
      <w:pPr>
        <w:pStyle w:val="Bibliography"/>
      </w:pPr>
      <w:r>
        <w:t xml:space="preserve">[10]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05">
        <w:r>
          <w:rPr>
            <w:rStyle w:val="Hyperlink"/>
          </w:rPr>
          <w:t xml:space="preserve">https://doi.org/10.1073/pnas.2520385123</w:t>
        </w:r>
      </w:hyperlink>
      <w:r>
        <w:t xml:space="preserve">.</w:t>
      </w:r>
    </w:p>
    <w:bookmarkEnd w:id="306"/>
    <w:bookmarkStart w:id="308" w:name="ref-Chiotti_2005"/>
    <w:p>
      <w:pPr>
        <w:pStyle w:val="Bibliography"/>
      </w:pPr>
      <w:r>
        <w:t xml:space="preserve">[11]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7">
        <w:r>
          <w:rPr>
            <w:rStyle w:val="Hyperlink"/>
          </w:rPr>
          <w:t xml:space="preserve">https://doi.org/10.30861/9781841718309</w:t>
        </w:r>
      </w:hyperlink>
      <w:r>
        <w:t xml:space="preserve">.</w:t>
      </w:r>
    </w:p>
    <w:bookmarkEnd w:id="308"/>
    <w:bookmarkStart w:id="310" w:name="ref-Higham_Abri_Pataud_2011"/>
    <w:p>
      <w:pPr>
        <w:pStyle w:val="Bibliography"/>
      </w:pPr>
      <w:r>
        <w:t xml:space="preserve">[12]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9">
        <w:r>
          <w:rPr>
            <w:rStyle w:val="Hyperlink"/>
          </w:rPr>
          <w:t xml:space="preserve">https://doi.org/10.1016/j.jhevol.2011.06.005</w:t>
        </w:r>
      </w:hyperlink>
      <w:r>
        <w:t xml:space="preserve">.</w:t>
      </w:r>
    </w:p>
    <w:bookmarkEnd w:id="310"/>
    <w:bookmarkStart w:id="312" w:name="ref-Talamo_La_Ferrassie_2020"/>
    <w:p>
      <w:pPr>
        <w:pStyle w:val="Bibliography"/>
      </w:pPr>
      <w:r>
        <w:t xml:space="preserve">[13]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1">
        <w:r>
          <w:rPr>
            <w:rStyle w:val="Hyperlink"/>
          </w:rPr>
          <w:t xml:space="preserve">https://doi.org/10.1002/jqs.3236</w:t>
        </w:r>
      </w:hyperlink>
      <w:r>
        <w:t xml:space="preserve">.</w:t>
      </w:r>
    </w:p>
    <w:bookmarkEnd w:id="312"/>
    <w:bookmarkStart w:id="313" w:name="ref-Delporte_1984_Ferrassie"/>
    <w:p>
      <w:pPr>
        <w:pStyle w:val="Bibliography"/>
      </w:pPr>
      <w:r>
        <w:t xml:space="preserve">[14]</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3"/>
    <w:bookmarkStart w:id="315"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4">
        <w:r>
          <w:rPr>
            <w:rStyle w:val="Hyperlink"/>
          </w:rPr>
          <w:t xml:space="preserve">https://doi.org/10.1007/978-3-211-49294-9_4</w:t>
        </w:r>
      </w:hyperlink>
      <w:r>
        <w:t xml:space="preserve">.</w:t>
      </w:r>
    </w:p>
    <w:bookmarkEnd w:id="315"/>
    <w:bookmarkStart w:id="317" w:name="ref-Wild_et_al_2005"/>
    <w:p>
      <w:pPr>
        <w:pStyle w:val="Bibliography"/>
      </w:pPr>
      <w:r>
        <w:t xml:space="preserve">[16]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6">
        <w:r>
          <w:rPr>
            <w:rStyle w:val="Hyperlink"/>
          </w:rPr>
          <w:t xml:space="preserve">https://doi.org/10.1038/nature03585</w:t>
        </w:r>
      </w:hyperlink>
      <w:r>
        <w:t xml:space="preserve">.</w:t>
      </w:r>
    </w:p>
    <w:bookmarkEnd w:id="317"/>
    <w:bookmarkStart w:id="319" w:name="ref-Schurch_Conard_2026_reassess"/>
    <w:p>
      <w:pPr>
        <w:pStyle w:val="Bibliography"/>
      </w:pPr>
      <w:r>
        <w:t xml:space="preserve">[17]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8">
        <w:r>
          <w:rPr>
            <w:rStyle w:val="Hyperlink"/>
          </w:rPr>
          <w:t xml:space="preserve">https://doi.org/10.1007/s41982-025-00246-x</w:t>
        </w:r>
      </w:hyperlink>
      <w:r>
        <w:t xml:space="preserve">.</w:t>
      </w:r>
    </w:p>
    <w:bookmarkEnd w:id="319"/>
    <w:bookmarkStart w:id="321" w:name="ref-Chao_Jost_2012"/>
    <w:p>
      <w:pPr>
        <w:pStyle w:val="Bibliography"/>
      </w:pPr>
      <w:r>
        <w:t xml:space="preserve">[18]</w:t>
      </w:r>
      <w:r>
        <w:t xml:space="preserve"> </w:t>
      </w:r>
      <w:r>
        <w:t xml:space="preserve">	</w:t>
      </w:r>
      <w:r>
        <w:t xml:space="preserve">Chao A, Jost L. Coverage-based rarefaction and extrapolation: Standardizing samples by completeness rather than size. Ecology 2012;93:2533–47.</w:t>
      </w:r>
      <w:r>
        <w:t xml:space="preserve"> </w:t>
      </w:r>
      <w:hyperlink r:id="rId320">
        <w:r>
          <w:rPr>
            <w:rStyle w:val="Hyperlink"/>
          </w:rPr>
          <w:t xml:space="preserve">https://doi.org/10.1890/11-1952.1</w:t>
        </w:r>
      </w:hyperlink>
      <w:r>
        <w:t xml:space="preserve">.</w:t>
      </w:r>
    </w:p>
    <w:bookmarkEnd w:id="321"/>
    <w:bookmarkStart w:id="323" w:name="ref-Gotelli_Colwell_2001"/>
    <w:p>
      <w:pPr>
        <w:pStyle w:val="Bibliography"/>
      </w:pPr>
      <w:r>
        <w:t xml:space="preserve">[19]</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2">
        <w:r>
          <w:rPr>
            <w:rStyle w:val="Hyperlink"/>
          </w:rPr>
          <w:t xml:space="preserve">https://doi.org/10.1046/j.1461-0248.2001.00230.x</w:t>
        </w:r>
      </w:hyperlink>
      <w:r>
        <w:t xml:space="preserve">.</w:t>
      </w:r>
    </w:p>
    <w:bookmarkEnd w:id="323"/>
    <w:bookmarkStart w:id="325" w:name="ref-Hsieh_Ma_Chao_2016"/>
    <w:p>
      <w:pPr>
        <w:pStyle w:val="Bibliography"/>
      </w:pPr>
      <w:r>
        <w:t xml:space="preserve">[20]</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4">
        <w:r>
          <w:rPr>
            <w:rStyle w:val="Hyperlink"/>
          </w:rPr>
          <w:t xml:space="preserve">https://doi.org/10.1111/2041-210X.12613</w:t>
        </w:r>
      </w:hyperlink>
      <w:r>
        <w:t xml:space="preserve">.</w:t>
      </w:r>
    </w:p>
    <w:bookmarkEnd w:id="325"/>
    <w:bookmarkStart w:id="327" w:name="ref-Venables_Ripley_2002"/>
    <w:p>
      <w:pPr>
        <w:pStyle w:val="Bibliography"/>
      </w:pPr>
      <w:r>
        <w:t xml:space="preserve">[21]</w:t>
      </w:r>
      <w:r>
        <w:t xml:space="preserve"> </w:t>
      </w:r>
      <w:r>
        <w:t xml:space="preserve">	</w:t>
      </w:r>
      <w:r>
        <w:t xml:space="preserve">Venables WN, Ripley BD. Modern applied statistics with s. Fourth. Springer; 2002.</w:t>
      </w:r>
      <w:r>
        <w:t xml:space="preserve"> </w:t>
      </w:r>
      <w:hyperlink r:id="rId326">
        <w:r>
          <w:rPr>
            <w:rStyle w:val="Hyperlink"/>
          </w:rPr>
          <w:t xml:space="preserve">https://doi.org/10.1007/978-0-387-21706-2</w:t>
        </w:r>
      </w:hyperlink>
      <w:r>
        <w:t xml:space="preserve">.</w:t>
      </w:r>
    </w:p>
    <w:bookmarkEnd w:id="327"/>
    <w:bookmarkEnd w:id="328"/>
    <w:bookmarkEnd w:id="329"/>
    <w:bookmarkEnd w:id="33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246" Target="media/rId24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255" Target="media/rId255.png" /><Relationship Type="http://schemas.openxmlformats.org/officeDocument/2006/relationships/image" Id="rId79" Target="media/rId79.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18" Target="media/rId118.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hyperlink" Id="rId311" Target="https://doi.org/10.1002/jqs.3236" TargetMode="External" /><Relationship Type="http://schemas.openxmlformats.org/officeDocument/2006/relationships/hyperlink" Id="rId326" Target="https://doi.org/10.1007/978-0-387-21706-2" TargetMode="External" /><Relationship Type="http://schemas.openxmlformats.org/officeDocument/2006/relationships/hyperlink" Id="rId314" Target="https://doi.org/10.1007/978-3-211-49294-9_4" TargetMode="External" /><Relationship Type="http://schemas.openxmlformats.org/officeDocument/2006/relationships/hyperlink" Id="rId303" Target="https://doi.org/10.1007/BF01908075" TargetMode="External" /><Relationship Type="http://schemas.openxmlformats.org/officeDocument/2006/relationships/hyperlink" Id="rId295"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18" Target="https://doi.org/10.1007/s41982-025-00246-x" TargetMode="External" /><Relationship Type="http://schemas.openxmlformats.org/officeDocument/2006/relationships/hyperlink" Id="rId309"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9" Target="https://doi.org/10.1023/A:1023949509487" TargetMode="External" /><Relationship Type="http://schemas.openxmlformats.org/officeDocument/2006/relationships/hyperlink" Id="rId316" Target="https://doi.org/10.1038/nature03585" TargetMode="External" /><Relationship Type="http://schemas.openxmlformats.org/officeDocument/2006/relationships/hyperlink" Id="rId322" Target="https://doi.org/10.1046/j.1461-0248.2001.00230.x" TargetMode="External" /><Relationship Type="http://schemas.openxmlformats.org/officeDocument/2006/relationships/hyperlink" Id="rId305" Target="https://doi.org/10.1073/pnas.2520385123" TargetMode="External" /><Relationship Type="http://schemas.openxmlformats.org/officeDocument/2006/relationships/hyperlink" Id="rId291" Target="https://doi.org/10.1088/1742-5468/2008/10/P10008" TargetMode="External" /><Relationship Type="http://schemas.openxmlformats.org/officeDocument/2006/relationships/hyperlink" Id="rId293" Target="https://doi.org/10.1103/PhysRevE.69.026113" TargetMode="External" /><Relationship Type="http://schemas.openxmlformats.org/officeDocument/2006/relationships/hyperlink" Id="rId324" Target="https://doi.org/10.1111/2041-210X.12613" TargetMode="External" /><Relationship Type="http://schemas.openxmlformats.org/officeDocument/2006/relationships/hyperlink" Id="rId297" Target="https://doi.org/10.18637/jss.v022.i07" TargetMode="External" /><Relationship Type="http://schemas.openxmlformats.org/officeDocument/2006/relationships/hyperlink" Id="rId320" Target="https://doi.org/10.1890/11-1952.1" TargetMode="External" /><Relationship Type="http://schemas.openxmlformats.org/officeDocument/2006/relationships/hyperlink" Id="rId307" Target="https://doi.org/10.30861/9781841718309" TargetMode="External" /><Relationship Type="http://schemas.openxmlformats.org/officeDocument/2006/relationships/hyperlink" Id="rId30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1" Target="https://doi.org/10.1002/jqs.3236" TargetMode="External" /><Relationship Type="http://schemas.openxmlformats.org/officeDocument/2006/relationships/hyperlink" Id="rId326" Target="https://doi.org/10.1007/978-0-387-21706-2" TargetMode="External" /><Relationship Type="http://schemas.openxmlformats.org/officeDocument/2006/relationships/hyperlink" Id="rId314" Target="https://doi.org/10.1007/978-3-211-49294-9_4" TargetMode="External" /><Relationship Type="http://schemas.openxmlformats.org/officeDocument/2006/relationships/hyperlink" Id="rId303" Target="https://doi.org/10.1007/BF01908075" TargetMode="External" /><Relationship Type="http://schemas.openxmlformats.org/officeDocument/2006/relationships/hyperlink" Id="rId295"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18" Target="https://doi.org/10.1007/s41982-025-00246-x" TargetMode="External" /><Relationship Type="http://schemas.openxmlformats.org/officeDocument/2006/relationships/hyperlink" Id="rId309"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9" Target="https://doi.org/10.1023/A:1023949509487" TargetMode="External" /><Relationship Type="http://schemas.openxmlformats.org/officeDocument/2006/relationships/hyperlink" Id="rId316" Target="https://doi.org/10.1038/nature03585" TargetMode="External" /><Relationship Type="http://schemas.openxmlformats.org/officeDocument/2006/relationships/hyperlink" Id="rId322" Target="https://doi.org/10.1046/j.1461-0248.2001.00230.x" TargetMode="External" /><Relationship Type="http://schemas.openxmlformats.org/officeDocument/2006/relationships/hyperlink" Id="rId305" Target="https://doi.org/10.1073/pnas.2520385123" TargetMode="External" /><Relationship Type="http://schemas.openxmlformats.org/officeDocument/2006/relationships/hyperlink" Id="rId291" Target="https://doi.org/10.1088/1742-5468/2008/10/P10008" TargetMode="External" /><Relationship Type="http://schemas.openxmlformats.org/officeDocument/2006/relationships/hyperlink" Id="rId293" Target="https://doi.org/10.1103/PhysRevE.69.026113" TargetMode="External" /><Relationship Type="http://schemas.openxmlformats.org/officeDocument/2006/relationships/hyperlink" Id="rId324" Target="https://doi.org/10.1111/2041-210X.12613" TargetMode="External" /><Relationship Type="http://schemas.openxmlformats.org/officeDocument/2006/relationships/hyperlink" Id="rId297" Target="https://doi.org/10.18637/jss.v022.i07" TargetMode="External" /><Relationship Type="http://schemas.openxmlformats.org/officeDocument/2006/relationships/hyperlink" Id="rId320" Target="https://doi.org/10.1890/11-1952.1" TargetMode="External" /><Relationship Type="http://schemas.openxmlformats.org/officeDocument/2006/relationships/hyperlink" Id="rId307" Target="https://doi.org/10.30861/9781841718309" TargetMode="External" /><Relationship Type="http://schemas.openxmlformats.org/officeDocument/2006/relationships/hyperlink" Id="rId30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2026-09-03T16:30:49Z</dcterms:created>
  <dcterms:modified xsi:type="dcterms:W3CDTF">2026-09-03T16:30:49Z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