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4.png" ContentType="image/png"/>
  <Override PartName="/word/media/rId38.png" ContentType="image/png"/>
  <Override PartName="/word/media/rId42.png" ContentType="image/png"/>
  <Override PartName="/word/media/rId34.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3,</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cal BP) marks a pivotal expansion of</w:t>
      </w:r>
      <w:r>
        <w:t xml:space="preserve"> </w:t>
      </w:r>
      <w:r>
        <w:rPr>
          <w:iCs/>
          <w:i/>
        </w:rPr>
        <w:t xml:space="preserve">Homo sapiens</w:t>
      </w:r>
      <w:r>
        <w:t xml:space="preserve"> </w:t>
      </w:r>
      <w:r>
        <w:t xml:space="preserve">into Western Eurasia, yet the evolution of social organization during this transition remains debated. Here we investigate social dynamics through the analysis of geometric signs on mobile objects within a two-phase framework based on specialist technological attributions in site assignment. Using seriation and network analyses, we examine patterns of sign production in each phase, and investigate how the sign-sharing network differs between the Early and Late Aurignacian. Within the early phase (Aur-P1; 20 sites) we infer and evaluate a two-group structure of restricted versus broad geometric-sign repertoires. However, stochastic block models do not recover this two-group structure (single-block selected for both phases under both Bernoulli and Gaussian emission models, a result expected below the detectability limit for sparse networks of this size), and the richness gap between groups is not distinguishable from a genuine group difference once the saturating richness–effort relationship is modelled, though its separation from sampling effort is not demonstrated for small-object sites. The early phase supports a larger network centred on key sites, but permutation tests indicate that the phases do not differ significantly in edge density, modularity, mean betweenness, or component count, so the observed differences in connectivity track the larger size of the early phase, not a statistically distinguishable community structure. The late phase (Aur-P2; 9 sites) shows a weaker, less resolved structure. Mantel tests did not detect a significant correlation between geographic distance and sign distribution in either phase, and the isolation-by-distance relationship does not differ between them, but bootstrap confidence intervals indicate these tests are underpowered at these sample sizes. Geometric signs do not show the geographically distinct clusters found in personal ornaments; their function (notation, calendrical, identity) remains unresolved.</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to understand the shifting patterns of social organization and diversity of the Upper Palaeolithic</w:t>
      </w:r>
      <w:r>
        <w:t xml:space="preserve"> </w:t>
      </w:r>
      <w:r>
        <w:t xml:space="preserve">[2–7]</w:t>
      </w:r>
      <w:r>
        <w:t xml:space="preserve">. The Aurignacian technocomplex (ca. 43–30 ka cal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connectivity in sign repertoires during this period. We investigated human social organization dynamics implied by the distribution and variation of geometric sign types found on mobile objects in Europe within a two-phase framework [Aur-P1/Aur-P2;</w:t>
      </w:r>
      <w:r>
        <w:t xml:space="preserve"> </w:t>
      </w:r>
      <w:r>
        <w:t xml:space="preserve">[12]</w:t>
      </w:r>
      <w:r>
        <w:t xml:space="preserve">].</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understand patterns of cultural groups. Multivariate analyses of beads from the Gravettian technocomplex suggest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w:t>
      </w:r>
    </w:p>
    <w:p>
      <w:pPr>
        <w:pStyle w:val="BodyText"/>
      </w:pPr>
      <w:r>
        <w:t xml:space="preserve">Cultural groups have also been claimed from forty-two quadrilateral geometric signs from four cave sites in the Cantabrian region of Spain, likely associated with the Magdalenian period, spanning a distance of 30 km</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In this study, we extend this previous work using geometric signs as identity markers to investigate group dynamics in the Aurignacian period, providing a novel approach to understanding how early groups of</w:t>
      </w:r>
      <w:r>
        <w:t xml:space="preserve"> </w:t>
      </w:r>
      <w:r>
        <w:rPr>
          <w:iCs/>
          <w:i/>
        </w:rPr>
        <w:t xml:space="preserve">Homo sapiens</w:t>
      </w:r>
      <w:r>
        <w:t xml:space="preserve"> </w:t>
      </w:r>
      <w:r>
        <w:t xml:space="preserve">interacted with each other and their environments. Our archaeological and modelling results support the view that geometric signs have some potential as informative proxies for reconstructing past cultural patterns and correlate with past population dynamics.</w:t>
      </w:r>
    </w:p>
    <w:bookmarkEnd w:id="21"/>
    <w:bookmarkStart w:id="23" w:name="periodization-of-the-aurignacian"/>
    <w:p>
      <w:pPr>
        <w:pStyle w:val="Heading2"/>
      </w:pPr>
      <w:r>
        <w:t xml:space="preserve">Periodization of the Aurignacian</w:t>
      </w:r>
    </w:p>
    <w:p>
      <w:pPr>
        <w:pStyle w:val="FirstParagraph"/>
      </w:pPr>
      <w:r>
        <w:t xml:space="preserve">The Aurignacian period (~43–30 ka cal BP) is largely characterized by material culture indicators such as carinated scrapers, blades and bladelets, and split-based bone and ivory tools</w:t>
      </w:r>
      <w:r>
        <w:t xml:space="preserve"> </w:t>
      </w:r>
      <w:r>
        <w:t xml:space="preserve">[13]</w:t>
      </w:r>
      <w:r>
        <w:t xml:space="preserve">. Periodization of the Aurignacian is complicated by regional variation with phases starting and ending at different times</w:t>
      </w:r>
      <w:r>
        <w:t xml:space="preserve"> </w:t>
      </w:r>
      <w:r>
        <w:t xml:space="preserve">[14,15]</w:t>
      </w:r>
      <w:r>
        <w:t xml:space="preserve">, and a lack of compositional integrity over time</w:t>
      </w:r>
      <w:r>
        <w:t xml:space="preserve"> </w:t>
      </w:r>
      <w:r>
        <w:t xml:space="preserve">[16]</w:t>
      </w:r>
      <w:r>
        <w:t xml:space="preserve">, with supposed index fossils persisting through multiple phases</w:t>
      </w:r>
      <w:r>
        <w:t xml:space="preserve"> </w:t>
      </w:r>
      <w:r>
        <w:t xml:space="preserve">[17]</w:t>
      </w:r>
      <w:r>
        <w:t xml:space="preserve">. While earlier work on the Aquitaine/Périgord sequences proposed as many as five phases</w:t>
      </w:r>
      <w:r>
        <w:t xml:space="preserve"> </w:t>
      </w:r>
      <w:r>
        <w:t xml:space="preserve">[18]</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[19]</w:t>
      </w:r>
      <w:r>
        <w:t xml:space="preserve">. For example,</w:t>
      </w:r>
      <w:r>
        <w:t xml:space="preserve"> </w:t>
      </w:r>
      <w:r>
        <w:t xml:space="preserve">[20]</w:t>
      </w:r>
      <w:r>
        <w:t xml:space="preserve"> </w:t>
      </w:r>
      <w:r>
        <w:t xml:space="preserve">divided the Aurignacian into two main phases, Aur-P1 (Proto/Early, 43–37 ka cal BP), and Aur-P2 (Evolved/Late, 37–32 ka cal BP), noting that the technological and chronological differences between the Proto and Early Aurignacian are difficult to distinguish.</w:t>
      </w:r>
      <w:r>
        <w:t xml:space="preserve"> </w:t>
      </w:r>
      <w:r>
        <w:t xml:space="preserve">[21]</w:t>
      </w:r>
      <w:r>
        <w:t xml:space="preserve"> </w:t>
      </w:r>
      <w:r>
        <w:t xml:space="preserve">used Bayesian modeling methods to estimate the timing of the transition between the Proto and Early Aurignacian, placing the Proto-Aurignacian at 41.5–39.9 ka cal BP, and the Early Aurignacian at 39.8–37.8 ka cal BP. They found that the Proto-Aurignacian occurs during the Greenland Interstadials (GI) 9 and 10, periods of climatic amelioration, while the Early Aurignacian began with the Heinrich Stadial, which is characterized by dry and arid conditions, and ends with GI 8.</w:t>
      </w:r>
    </w:p>
    <w:p>
      <w:pPr>
        <w:pStyle w:val="BodyText"/>
      </w:pPr>
      <w:r>
        <w:t xml:space="preserve">We adopt the two-phase framework (Aur-P1/Aur-P2) of</w:t>
      </w:r>
      <w:r>
        <w:t xml:space="preserve"> </w:t>
      </w:r>
      <w:r>
        <w:t xml:space="preserve">[20]</w:t>
      </w:r>
      <w:r>
        <w:t xml:space="preserve"> </w:t>
      </w:r>
      <w:r>
        <w:t xml:space="preserve">and</w:t>
      </w:r>
      <w:r>
        <w:t xml:space="preserve"> </w:t>
      </w:r>
      <w:r>
        <w:t xml:space="preserve">[12]</w:t>
      </w:r>
      <w:r>
        <w:t xml:space="preserve"> </w:t>
      </w:r>
      <w:r>
        <w:t xml:space="preserve">as a first-order chronological scaffold, acknowledging that phases are analytical conveniences rather than discrete cultural entities</w:t>
      </w:r>
      <w:r>
        <w:t xml:space="preserve"> </w:t>
      </w:r>
      <w:r>
        <w:t xml:space="preserve">[16,19]</w:t>
      </w:r>
      <w:r>
        <w:t xml:space="preserve">. The chronological and technological distinctness of the Proto- and Early Aurignacian is difficult to sustain</w:t>
      </w:r>
      <w:r>
        <w:t xml:space="preserve"> </w:t>
      </w:r>
      <w:r>
        <w:t xml:space="preserve">[20]</w:t>
      </w:r>
      <w:r>
        <w:t xml:space="preserve">, and some analyses suggest these represent coexisting facies rather than successive phases</w:t>
      </w:r>
      <w:r>
        <w:t xml:space="preserve"> </w:t>
      </w:r>
      <w:r>
        <w:t xml:space="preserve">[22]</w:t>
      </w:r>
      <w:r>
        <w:t xml:space="preserve">. We therefore pool the Proto- and Early Aurignacian into Aur-P1 (43–37 ka cal BP) and treat the Evolved/Late Aurignacian as Aur-P2 (37–32 ka cal BP), following the two-phase scheme of</w:t>
      </w:r>
      <w:r>
        <w:t xml:space="preserve"> </w:t>
      </w:r>
      <w:r>
        <w:t xml:space="preserve">[12]</w:t>
      </w:r>
      <w:r>
        <w:t xml:space="preserve">. This merger is also chronologically warranted: South-west German sites whose lithic technology is assigned to the Early Aurignacian commonly overlap in calibrated age with Mediterranean assemblages attributed to the Proto-Aurignacian. Thus the Proto/Early boundary is a coeval boundary</w:t>
      </w:r>
      <w:r>
        <w:t xml:space="preserve"> </w:t>
      </w:r>
      <w:r>
        <w:t xml:space="preserve">[20,22,e.g. 23]</w:t>
      </w:r>
      <w:r>
        <w:t xml:space="preserve">.</w:t>
      </w:r>
    </w:p>
    <w:p>
      <w:pPr>
        <w:pStyle w:val="BodyText"/>
      </w:pPr>
      <w:r>
        <w:t xml:space="preserve">Our phase assignments follow specialist technological attributions from the published literature, not than radiocarbon dates alone, which can conflict with the archaeological content of a layer. Recent reassessments are therefore incorporated directly into our main analysis: Abri Pataud is placed in the Early Aurignacian (Aur-P1) on the basis of its lithic technology</w:t>
      </w:r>
      <w:r>
        <w:t xml:space="preserve"> </w:t>
      </w:r>
      <w:r>
        <w:t xml:space="preserve">[24,25]</w:t>
      </w:r>
      <w:r>
        <w:t xml:space="preserve">, La Ferrassie in the Early Aurignacian (Aur-P1) on the basis of Layer 7 directly above the Châtelperronian</w:t>
      </w:r>
      <w:r>
        <w:t xml:space="preserve"> </w:t>
      </w:r>
      <w:r>
        <w:t xml:space="preserve">[26]</w:t>
      </w:r>
      <w:r>
        <w:t xml:space="preserve">, Mladeč in the Evolved Aurignacian (Aur-P2) on the basis of its massive-base bone points and ~31 ka ¹⁴C BP (~35–36 ka cal BP) dates</w:t>
      </w:r>
      <w:r>
        <w:t xml:space="preserve"> </w:t>
      </w:r>
      <w:r>
        <w:t xml:space="preserve">[27]</w:t>
      </w:r>
      <w:r>
        <w:t xml:space="preserve">, and the Swabian Jura site of Geissenklösterle in the Early Aurignacian</w:t>
      </w:r>
      <w:r>
        <w:t xml:space="preserve"> </w:t>
      </w:r>
      <w:r>
        <w:t xml:space="preserve">[23,Aur-P1, 28]</w:t>
      </w:r>
      <w:r>
        <w:t xml:space="preserve">. Hohle Fels is assigned at the layer level rather than as a single site: its lower Aurignacian horizons (AH V) are placed in the Early Aurignacian (Aur-P1), whereas its upper horizons (AH IV, III and the II-series) are placed in the Evolved/Late Aurignacian (Aur-P2), following the demonstration that the assemblages of AH IV (and the overlying IIIa and IIIb) are closely comparable to the Western European Late Aurignacian</w:t>
      </w:r>
      <w:r>
        <w:t xml:space="preserve"> </w:t>
      </w:r>
      <w:r>
        <w:t xml:space="preserve">[14,23,28]</w:t>
      </w:r>
      <w:r>
        <w:t xml:space="preserve">. Two sites are excluded from the analysis because their assemblages are too mixed to assign to a single phase reliably: Spy</w:t>
      </w:r>
      <w:r>
        <w:t xml:space="preserve"> </w:t>
      </w:r>
      <w:r>
        <w:t xml:space="preserve">[29,30]</w:t>
      </w:r>
      <w:r>
        <w:t xml:space="preserve"> </w:t>
      </w:r>
      <w:r>
        <w:t xml:space="preserve">and El Castillo. The robustness of these assignments to reverting to purely date-based criteria is tested in S2</w:t>
      </w:r>
      <w:r>
        <w:t xml:space="preserve"> </w:t>
      </w:r>
      <w:r>
        <w:t xml:space="preserve">“</w:t>
      </w:r>
      <w:r>
        <w:t xml:space="preserve">Site Phase Assignments</w:t>
      </w:r>
      <w:r>
        <w:t xml:space="preserve">”</w:t>
      </w:r>
      <w:r>
        <w:t xml:space="preserve">, where stratigraphic mixing concerns at Vogelherd are also addressed</w:t>
      </w:r>
      <w:r>
        <w:t xml:space="preserve"> </w:t>
      </w:r>
      <w:r>
        <w:t xml:space="preserve">[31]</w:t>
      </w:r>
      <w:r>
        <w:t xml:space="preserve">. We detail the rationale and procedure for assigning archaeological sites to Aurignacian phases in our S2</w:t>
      </w:r>
      <w:r>
        <w:t xml:space="preserve"> </w:t>
      </w:r>
      <w:r>
        <w:t xml:space="preserve">“</w:t>
      </w:r>
      <w:r>
        <w:t xml:space="preserve">Site Phase Assignments</w:t>
      </w:r>
      <w:r>
        <w:t xml:space="preserve">”</w:t>
      </w:r>
      <w:r>
        <w:t xml:space="preserve">. We test the sensitivity of our results to this baseline by also running four-phase and boundary-shift variants (S1</w:t>
      </w:r>
      <w:r>
        <w:t xml:space="preserve"> </w:t>
      </w:r>
      <w:r>
        <w:t xml:space="preserve">“</w:t>
      </w:r>
      <w:r>
        <w:t xml:space="preserve">Sensitivity Analyses</w:t>
      </w:r>
      <w:r>
        <w:t xml:space="preserv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5"/>
              <w:gridCol w:w="168"/>
              <w:gridCol w:w="6928"/>
              <w:gridCol w:w="617"/>
            </w:tblGrid>
            <w:tr>
              <w:trPr>
                <w:tblHeader w:val="true"/>
              </w:trPr>
              <w:tc>
                <w:tcPr/>
                <w:p>
                  <w:pPr>
                    <w:pStyle w:val="Compact"/>
                    <w:jc w:val="left"/>
                    <w:jc w:val="center"/>
                  </w:pPr>
                  <w:r>
                    <w:t xml:space="preserve">Time Period Name</w:t>
                  </w:r>
                </w:p>
              </w:tc>
              <w:tc>
                <w:tcPr/>
                <w:p>
                  <w:pPr>
                    <w:pStyle w:val="Compact"/>
                    <w:jc w:val="left"/>
                    <w:jc w:val="center"/>
                  </w:pPr>
                  <w:r>
                    <w:t xml:space="preserve">Dates (ka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center"/>
                  </w:pPr>
                  <w:r>
                    <w:t xml:space="preserve">Starts at Greenland Stadial 12, ends at Greenland Interstadial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[12,13,21,32]</w:t>
            </w:r>
          </w:p>
          <w:bookmarkEnd w:id="22"/>
        </w:tc>
      </w:tr>
    </w:tbl>
    <w:p>
      <w:pPr>
        <w:pStyle w:val="BodyText"/>
      </w:pPr>
      <w:r>
        <w:t xml:space="preserve">We hypothesize that the early and late phases, and the environmental changes across them, may correspond to differences in the dynamics of groups differentiated by their geometric‑sign repertoires.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w:t>
      </w:r>
    </w:p>
    <w:bookmarkEnd w:id="23"/>
    <w:bookmarkStart w:id="28" w:name="geometric-signs-from-the-aurignacian"/>
    <w:p>
      <w:pPr>
        <w:pStyle w:val="Heading2"/>
      </w:pPr>
      <w:r>
        <w:t xml:space="preserve">Geometric signs from the Aurignacian</w:t>
      </w:r>
    </w:p>
    <w:p>
      <w:pPr>
        <w:pStyle w:val="FirstParagraph"/>
      </w:pPr>
      <w:r>
        <w:t xml:space="preserve">Our data comes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30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sites from the sample for the following reasons: only one sign present (e.g. Willendorf); extreme geographic distance from the other sites (e.g. Riparo di Fontana Nuova, Muralovka, Shanidar Cave, Hayonim Cave; lacking reliable chronological and archaeological contextual information (e.g. El Salitre, Grotte De La Princesse Pauline), and dated much later than the rest of the assemblages (e.g. Šandalja II). A full accounting of how we assign archaeological sites to Aurignacian phases is presented in our S2</w:t>
      </w:r>
      <w:r>
        <w:t xml:space="preserve"> </w:t>
      </w:r>
      <w:r>
        <w:t xml:space="preserve">“</w:t>
      </w:r>
      <w:r>
        <w:t xml:space="preserve">Site Phase Assignments</w:t>
      </w:r>
      <w:r>
        <w:t xml:space="preserve">”</w:t>
      </w:r>
      <w:r>
        <w:t xml:space="preserve">. Our sample for analysis includes 409 objects found at 28 unique geographic sites, yielding 29 site-phase assemblages in 7 countries, and 29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 Map data from naturalearthdata.com</w:t>
            </w:r>
            <w:r>
              <w:t xml:space="preserve"> </w:t>
            </w:r>
            <w:r>
              <w:t xml:space="preserve">[33,34]</w:t>
            </w:r>
          </w:p>
          <w:bookmarkEnd w:id="27"/>
        </w:tc>
      </w:tr>
    </w:tbl>
    <w:p>
      <w:pPr>
        <w:pStyle w:val="BodyText"/>
      </w:pPr>
      <w:r>
        <w:t xml:space="preserve">Ages of the objects were determined by calibrating the uncalibrated ages provided by SignBase using the rcarbon package</w:t>
      </w:r>
      <w:r>
        <w:t xml:space="preserve"> </w:t>
      </w:r>
      <w:r>
        <w:t xml:space="preserve">[35]</w:t>
      </w:r>
      <w:r>
        <w:t xml:space="preserve">. The calibrated radiocarbon dates of the sampled data range from approximately 33 to 45 ka cal BP, spanning an overall time range of 12 ka. Each object was assigned to a chronological phase following specialist technological attributions from the published literature, supplemented by calibrated radiocarbon dates where technological attribution is unavailable (</w:t>
      </w:r>
      <w:hyperlink w:anchor="tbl-aur-table">
        <w:r>
          <w:rPr>
            <w:rStyle w:val="Hyperlink"/>
          </w:rPr>
          <w:t xml:space="preserve">Table 1</w:t>
        </w:r>
      </w:hyperlink>
      <w:r>
        <w:t xml:space="preserve"> </w:t>
      </w:r>
      <w:r>
        <w:t xml:space="preserve">and see our S2</w:t>
      </w:r>
      <w:r>
        <w:t xml:space="preserve"> </w:t>
      </w:r>
      <w:r>
        <w:t xml:space="preserve">“</w:t>
      </w:r>
      <w:r>
        <w:t xml:space="preserve">Site Phase Assignments</w:t>
      </w:r>
      <w:r>
        <w:t xml:space="preserve">”</w:t>
      </w:r>
      <w:r>
        <w:t xml:space="preserve"> </w:t>
      </w:r>
      <w:r>
        <w:t xml:space="preserve">for more details about specific sites). The Aur-P1 phase has 20 sites and 26 sign types, and the Aur-P2 phase has 9 sites and 15 sign types. A Mantel test to evaluate the correlation between distance in time and distribution of sign types found a weak but nominally statistically significant correlation (R = 0.062, p = 0.008). The very small effect size (R ≈ 0.06) indicates that temporal distance explains only a small fraction of the variation in sign-type distribution. This weak association shows only that time has little explanatory power for sign composition; it does not demonstrate whether substantial change in sign types did or did not occur through time. We tested this inference more directly with a time-lag analysis (S1</w:t>
      </w:r>
      <w:r>
        <w:t xml:space="preserve"> </w:t>
      </w:r>
      <w:r>
        <w:t xml:space="preserve">“</w:t>
      </w:r>
      <w:r>
        <w:t xml:space="preserve">Sensitivity Analyses</w:t>
      </w:r>
      <w:r>
        <w:t xml:space="preserve">”</w:t>
      </w:r>
      <w:r>
        <w:t xml:space="preserve"> </w:t>
      </w:r>
      <w:r>
        <w:t xml:space="preserve">S5.12): we binned all 28 sites (378 site pairs) by their absolute temporal separation (|ΔMedianBP|) and asked whether Jaccard sign dissimilarity rises with lag. It does not — the Spearman correlation between temporal lag and dissimilarity is -0.04 (p = 0.39) overall and -0.04 (p = 0.58) within phase, and sites in different phases are no more dissimilar (mean Jaccard 0.73) than sites within the same phase (0.76). As with the temporal Mantel, this flat trend is a lack of evidence for time-structured change in sign repertoires, not evidence that change was absent.</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[36]</w:t>
      </w:r>
      <w:r>
        <w:t xml:space="preserve"> </w:t>
      </w:r>
      <w:r>
        <w:t xml:space="preserve">in using presence/absence data for each sign at each site, reducing the effect of variation in object count between sites. Beyond presence/absence coding, we additionally tested the residual object-count confound directly at the object level via downsampling, coverage-based rarefaction, and a negative-binomial regression with log object count as a covariate (see our S1</w:t>
      </w:r>
      <w:r>
        <w:t xml:space="preserve"> </w:t>
      </w:r>
      <w:r>
        <w:t xml:space="preserve">“</w:t>
      </w:r>
      <w:r>
        <w:t xml:space="preserve">Sensitivity Analyses</w:t>
      </w:r>
      <w:r>
        <w:t xml:space="preserve">”</w:t>
      </w:r>
      <w:r>
        <w:t xml:space="preserve"> </w:t>
      </w:r>
      <w:r>
        <w:t xml:space="preserve">S9). We used Mantel tests with a Euclidean object abundance distance matrix and a Jaccard dissimilarity matrix of sign types. The test seeks to determine the level of correspondence between the matrices through permutational evaluation (here 1000 permutations) of the null distribution</w:t>
      </w:r>
      <w:r>
        <w:t xml:space="preserve"> </w:t>
      </w:r>
      <w:r>
        <w:t xml:space="preserve">[37]</w:t>
      </w:r>
      <w:r>
        <w:t xml:space="preserve">, producing a Mantel R statistic and a p-value. The R statistic falls between -1, meaning a strong negative correlation, and 1, meaning a strong positive correlation, while a value of 0 means no correlation. The p-value estimates the probability of obtaining the observed correlation if the null hypothesis of no correlation were true (we use an alpha value of 0.05 for the threshold of statistical significance). The Mantel tests were performed using the vegan package</w:t>
      </w:r>
      <w:r>
        <w:t xml:space="preserve"> </w:t>
      </w:r>
      <w:r>
        <w:t xml:space="preserve">[38]</w:t>
      </w:r>
      <w:r>
        <w:t xml:space="preserve">. The test indicated that there was no significant correlation between object abundance and sign type distribution (R = 0.151, p = 0.082), validating our decision to use presence/absence data.</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[39]</w:t>
      </w:r>
      <w:r>
        <w:t xml:space="preserve">. This relationship can be investigated using the isolation-by-distance framework, which proposes that cultural difference can be primarily explained by geographic distance</w:t>
      </w:r>
      <w:r>
        <w:t xml:space="preserve"> </w:t>
      </w:r>
      <w:r>
        <w:t xml:space="preserve">[36]</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suggesting that isolation-by-distance alone does not fully account for the observed patterns, although this null result should be interpreted cautiously given the small sample sizes (see our S1</w:t>
      </w:r>
      <w:r>
        <w:t xml:space="preserve"> </w:t>
      </w:r>
      <w:r>
        <w:t xml:space="preserve">“</w:t>
      </w:r>
      <w:r>
        <w:t xml:space="preserve">Sensitivity Analyses</w:t>
      </w:r>
      <w:r>
        <w:t xml:space="preserve">”</w:t>
      </w:r>
      <w:r>
        <w:t xml:space="preserve"> </w:t>
      </w:r>
      <w:r>
        <w:t xml:space="preserve">S5.8). Further verification of these results using geodesic distances in kilometres rather than flat-coordinate Euclidean distances also shows a null result (see our S1</w:t>
      </w:r>
      <w:r>
        <w:t xml:space="preserve"> </w:t>
      </w:r>
      <w:r>
        <w:t xml:space="preserve">“</w:t>
      </w:r>
      <w:r>
        <w:t xml:space="preserve">Sensitivity Analyses</w:t>
      </w:r>
      <w:r>
        <w:t xml:space="preserve">”</w:t>
      </w:r>
      <w:r>
        <w:t xml:space="preserve"> </w:t>
      </w:r>
      <w:r>
        <w:t xml:space="preserve">S3). To test whether the non-significant Mantel result reflects a particular alternative process, we additionally fit a multiple regression on distance matrices with sign dissimilarity as the response and geographic, temporal, and object-count distances as predictors (see our S1</w:t>
      </w:r>
      <w:r>
        <w:t xml:space="preserve"> </w:t>
      </w:r>
      <w:r>
        <w:t xml:space="preserve">“</w:t>
      </w:r>
      <w:r>
        <w:t xml:space="preserve">Sensitivity Analyses</w:t>
      </w:r>
      <w:r>
        <w:t xml:space="preserve">”</w:t>
      </w:r>
      <w:r>
        <w:t xml:space="preserve"> </w:t>
      </w:r>
      <w:r>
        <w:t xml:space="preserve">S5.10). This reveals no candidate driver is significant, so the null Mantel does not identify any specific alternative process. A Mantel correlogram likewise shows no significant spatial structure at any distance lag, and bootstrap confidence intervals on the Mantel R indicate the test is underpowered at these sample sizes, so the non-significant result is best read as a lack of evidence rather than evidence of absence (S1</w:t>
      </w:r>
      <w:r>
        <w:t xml:space="preserve"> </w:t>
      </w:r>
      <w:r>
        <w:t xml:space="preserve">“</w:t>
      </w:r>
      <w:r>
        <w:t xml:space="preserve">Sensitivity Analyses</w:t>
      </w:r>
      <w:r>
        <w:t xml:space="preserve">”</w:t>
      </w:r>
      <w:r>
        <w:t xml:space="preserve"> </w:t>
      </w:r>
      <w:r>
        <w:t xml:space="preserve">S5.11).</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r>
            <w:tr>
              <w:tc>
                <w:tcPr/>
                <w:p>
                  <w:pPr>
                    <w:pStyle w:val="Compact"/>
                    <w:jc w:val="left"/>
                    <w:jc w:val="center"/>
                  </w:pPr>
                  <w:r>
                    <w:t xml:space="preserve">Aur-P1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-0.299</w:t>
                  </w:r>
                </w:p>
              </w:tc>
              <w:tc>
                <w:tcPr/>
                <w:p>
                  <w:pPr>
                    <w:pStyle w:val="Compact"/>
                    <w:jc w:val="right"/>
                    <w:jc w:val="center"/>
                  </w:pPr>
                  <w:r>
                    <w:t xml:space="preserve">0.933</w:t>
                  </w:r>
                </w:p>
              </w:tc>
            </w:tr>
          </w:tbl>
          <w:p>
            <w:pPr>
              <w:jc w:val="center"/>
            </w:pPr>
            <w:pPr>
              <w:jc w:val="start"/>
              <w:spacing w:before="200"/>
              <w:pStyle w:val="ImageCaption"/>
            </w:pPr>
            <w:r>
              <w:t xml:space="preserve">Table 2: Table of the results per phase for the Mantel test between a Jaccard dissimilarity matrix of sign type diversity and a geographic distance matrix</w:t>
            </w:r>
          </w:p>
          <w:bookmarkEnd w:id="29"/>
        </w:tc>
      </w:tr>
    </w:tbl>
    <w:bookmarkStart w:id="30" w:name="X1768755924d8862cced21d5157dbe2f8ac80203"/>
    <w:p>
      <w:pPr>
        <w:pStyle w:val="Heading2"/>
      </w:pPr>
      <w:r>
        <w:t xml:space="preserve">Sign Group Detection Using Seriation and Network Analysis</w:t>
      </w:r>
    </w:p>
    <w:p>
      <w:pPr>
        <w:pStyle w:val="FirstParagraph"/>
      </w:pPr>
      <w:r>
        <w:t xml:space="preserve">Seriation analysis is the arrangement of data into a linear order to reveal patterns</w:t>
      </w:r>
      <w:r>
        <w:t xml:space="preserve"> </w:t>
      </w:r>
      <w:r>
        <w:t xml:space="preserve">[40]</w:t>
      </w:r>
      <w:r>
        <w:t xml:space="preserve">. We used the Brower-Kile</w:t>
      </w:r>
      <w:r>
        <w:t xml:space="preserve"> </w:t>
      </w:r>
      <w:r>
        <w:t xml:space="preserve">[41]</w:t>
      </w:r>
      <w:r>
        <w:t xml:space="preserve"> </w:t>
      </w:r>
      <w:r>
        <w:t xml:space="preserve">seriation algorithm implemented as a manual iterative reordering procedure that arranges rows and columns to group the presences along the diagonal. This algorithm was adapted from the original Brower-Kile approach and implemented in R within the functions.R file available in our research compendium.</w:t>
      </w:r>
    </w:p>
    <w:p>
      <w:pPr>
        <w:pStyle w:val="BodyText"/>
      </w:pPr>
      <w:r>
        <w:t xml:space="preserve">To investigate connectivity among clusters of sites in the seriation solution, we used network analysis to represent and quantify the relationship between sites</w:t>
      </w:r>
      <w:r>
        <w:t xml:space="preserve"> </w:t>
      </w:r>
      <w:r>
        <w:t xml:space="preserve">[42]</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(see our S1</w:t>
      </w:r>
      <w:r>
        <w:t xml:space="preserve"> </w:t>
      </w:r>
      <w:r>
        <w:t xml:space="preserve">“</w:t>
      </w:r>
      <w:r>
        <w:t xml:space="preserve">Sensitivity Analyses</w:t>
      </w:r>
      <w:r>
        <w:t xml:space="preserve">”</w:t>
      </w:r>
      <w:r>
        <w:t xml:space="preserve"> </w:t>
      </w:r>
      <w:r>
        <w:t xml:space="preserve">S1, S2, S5.2, S5.6). Results were plotted with the Fruchterman-Reingold layout</w:t>
      </w:r>
      <w:r>
        <w:t xml:space="preserve"> </w:t>
      </w:r>
      <w:r>
        <w:t xml:space="preserve">[43]</w:t>
      </w:r>
      <w:r>
        <w:t xml:space="preserve">, a force-directed graph layout for uniform edge lengths, and network analysis was performed using the vegan</w:t>
      </w:r>
      <w:r>
        <w:t xml:space="preserve"> </w:t>
      </w:r>
      <w:r>
        <w:t xml:space="preserve">[38]</w:t>
      </w:r>
      <w:r>
        <w:t xml:space="preserve">, statnet</w:t>
      </w:r>
      <w:r>
        <w:t xml:space="preserve"> </w:t>
      </w:r>
      <w:r>
        <w:t xml:space="preserve">[44]</w:t>
      </w:r>
      <w:r>
        <w:t xml:space="preserve"> </w:t>
      </w:r>
      <w:r>
        <w:t xml:space="preserve">and igraph</w:t>
      </w:r>
      <w:r>
        <w:t xml:space="preserve"> </w:t>
      </w:r>
      <w:r>
        <w:t xml:space="preserve">[45]</w:t>
      </w:r>
      <w:r>
        <w:t xml:space="preserve"> </w:t>
      </w:r>
      <w:r>
        <w:t xml:space="preserve">packages.</w:t>
      </w:r>
    </w:p>
    <w:bookmarkEnd w:id="30"/>
    <w:bookmarkStart w:id="31" w:name="X6b0efb31d4a2a46c04db3d8b213974bdd2f584b"/>
    <w:p>
      <w:pPr>
        <w:pStyle w:val="Heading2"/>
      </w:pPr>
      <w:r>
        <w:t xml:space="preserve">PerMANOVA for Sign Composition Differences Between Groups</w:t>
      </w:r>
    </w:p>
    <w:p>
      <w:pPr>
        <w:pStyle w:val="FirstParagraph"/>
      </w:pPr>
      <w:r>
        <w:t xml:space="preserve">PerMANOVA quantifies the level of variation between groups versus the level of variation within groups</w:t>
      </w:r>
      <w:r>
        <w:t xml:space="preserve"> </w:t>
      </w:r>
      <w:r>
        <w:t xml:space="preserve">[46,47]</w:t>
      </w:r>
      <w:r>
        <w:t xml:space="preserve"> </w:t>
      </w:r>
      <w:r>
        <w:t xml:space="preserve">and is used here as exploratory, rather than confirmatory.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[38]</w:t>
      </w:r>
      <w:r>
        <w:t xml:space="preserve"> </w:t>
      </w:r>
      <w:r>
        <w:t xml:space="preserve">and igraph</w:t>
      </w:r>
      <w:r>
        <w:t xml:space="preserve"> </w:t>
      </w:r>
      <w:r>
        <w:t xml:space="preserve">[45]</w:t>
      </w:r>
      <w:r>
        <w:t xml:space="preserve"> </w:t>
      </w:r>
      <w:r>
        <w:t xml:space="preserve">packages.</w:t>
      </w:r>
    </w:p>
    <w:p>
      <w:pPr>
        <w:pStyle w:val="BodyText"/>
      </w:pPr>
      <w:r>
        <w:t xml:space="preserve">Because the restricted/broad group assignments were derived from visual inspection of the seriation results using the same sign data tested here, the PerMANOVA p-values therefore cannot be presented as independent confirmation that the groups differ. Thus we interrogate these assignments with several additional methods. We apply data-driven Louvain community detection and report the comparison in our S1</w:t>
      </w:r>
      <w:r>
        <w:t xml:space="preserve"> </w:t>
      </w:r>
      <w:r>
        <w:t xml:space="preserve">“</w:t>
      </w:r>
      <w:r>
        <w:t xml:space="preserve">Sensitivity Analyses</w:t>
      </w:r>
      <w:r>
        <w:t xml:space="preserve">”</w:t>
      </w:r>
      <w:r>
        <w:t xml:space="preserve"> </w:t>
      </w:r>
      <w:r>
        <w:t xml:space="preserve">S5. We further test the robustness of the partition with bootstrap consensus clustering of sites and with stochastic block models, which select the number of groups model-independently and assign posterior membership probabilities to each site (see our S1</w:t>
      </w:r>
      <w:r>
        <w:t xml:space="preserve"> </w:t>
      </w:r>
      <w:r>
        <w:t xml:space="preserve">“</w:t>
      </w:r>
      <w:r>
        <w:t xml:space="preserve">Sensitivity Analyses</w:t>
      </w:r>
      <w:r>
        <w:t xml:space="preserve">”</w:t>
      </w:r>
      <w:r>
        <w:t xml:space="preserve"> </w:t>
      </w:r>
      <w:r>
        <w:t xml:space="preserve">S6). Finally, we apply analyses in which the group definition is included within the permutation and validation procedure, to define the groups fully independently of the seriation. To accomplish this we used a maximally-selected achieved-significance test that re-derives the optimal split from randomised data within every permutation; a leave-one-out and object-half cross-validation analysis that tests the grouping on data withheld from its definition; and a group-free gradient PerMANOVA that regresses sign composition on a continuous ordination axis rather than on the discrete groups (see our S1</w:t>
      </w:r>
      <w:r>
        <w:t xml:space="preserve"> </w:t>
      </w:r>
      <w:r>
        <w:t xml:space="preserve">“</w:t>
      </w:r>
      <w:r>
        <w:t xml:space="preserve">Sensitivity Analyses</w:t>
      </w:r>
      <w:r>
        <w:t xml:space="preserve">”</w:t>
      </w:r>
      <w:r>
        <w:t xml:space="preserve"> </w:t>
      </w:r>
      <w:r>
        <w:t xml:space="preserve">S6.6).</w:t>
      </w:r>
    </w:p>
    <w:bookmarkEnd w:id="31"/>
    <w:bookmarkEnd w:id="32"/>
    <w:bookmarkStart w:id="33"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https://doi.org/10.5281/zenodo.21829663.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S1-supplement-sensitivity.qmd</w:t>
      </w:r>
      <w:r>
        <w:t xml:space="preserve">, and</w:t>
      </w:r>
      <w:r>
        <w:t xml:space="preserve"> </w:t>
      </w:r>
      <w:r>
        <w:rPr>
          <w:rStyle w:val="VerbatimChar"/>
        </w:rPr>
        <w:t xml:space="preserve">S2-supplement-site-assignment.qmd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[48,49]</w:t>
      </w:r>
      <w:r>
        <w:t xml:space="preserve">.</w:t>
      </w:r>
    </w:p>
    <w:bookmarkEnd w:id="33"/>
    <w:bookmarkStart w:id="53" w:name="results"/>
    <w:p>
      <w:pPr>
        <w:pStyle w:val="Heading1"/>
      </w:pPr>
      <w:r>
        <w:t xml:space="preserve">Results</w:t>
      </w:r>
    </w:p>
    <w:bookmarkStart w:id="50" w:name="X139fdd43ada6f49bb2732b513cbf3cc22c88790"/>
    <w:p>
      <w:pPr>
        <w:pStyle w:val="Heading2"/>
      </w:pPr>
      <w:r>
        <w:t xml:space="preserve">Detection of Groups Differentiated by Sign Repertoire</w:t>
      </w:r>
    </w:p>
    <w:tbl>
      <w:tblPr>
        <w:tblStyle w:val="Table"/>
        <w:tblW w:type="pct" w:w="5000"/>
        <w:tblLook w:firstRow="0" w:lastRow="0" w:firstColumn="0" w:lastColumn="0" w:noHBand="0" w:noVBand="0" w:val="0000"/>
        <w:jc w:val="start"/>
        <w:tblLayout w:type="fixed"/>
      </w:tblPr>
      <w:tblGrid>
        <w:gridCol w:w="7920"/>
      </w:tblGrid>
      <w:tr>
        <w:tc>
          <w:tcPr/>
          <w:bookmarkStart w:id="37" w:name="fig-seriation"/>
          <w:p>
            <w:pPr>
              <w:pStyle w:val="Compact"/>
              <w:jc w:val="center"/>
            </w:pPr>
            <w:r>
              <w:drawing>
                <wp:inline>
                  <wp:extent cx="5943600" cy="7429499"/>
                  <wp:effectExtent b="0" l="0" r="0" t="0"/>
                  <wp:docPr descr="" title="" id="35" name="Picture"/>
                  <a:graphic>
                    <a:graphicData uri="http://schemas.openxmlformats.org/drawingml/2006/picture">
                      <pic:pic>
                        <pic:nvPicPr>
                          <pic:cNvPr descr="../figures/seriation-plot.png" id="36" name="Picture"/>
                          <pic:cNvPicPr>
                            <a:picLocks noChangeArrowheads="1" noChangeAspect="1"/>
                          </pic:cNvPicPr>
                        </pic:nvPicPr>
                        <pic:blipFill>
                          <a:blip r:embed="rId34"/>
                          <a:stretch>
                            <a:fillRect/>
                          </a:stretch>
                        </pic:blipFill>
                        <pic:spPr bwMode="auto">
                          <a:xfrm>
                            <a:off x="0" y="0"/>
                            <a:ext cx="5943600" cy="7429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Seriation suggests possible group pattern across Upper Palaeolithic phases. Presence–absence matrices of geometric sign types reordered using manual Brower‑Kile seriation for (A) Aur-P1 and (B) Aur-P2 phases. Rows represent sites and columns represent sign types. Blocks of co-occurring signs indicate coherent groupings of sites with similar geometric‑sign repertoires. Despite chronological turnover in specific sign types, two broad classes of assemblages—restricted-range and broad-range—may be proposed for both phases, suggesting patterning in symbolic signaling practices. Restricted group is in red, broader group is in blue.</w:t>
            </w:r>
          </w:p>
          <w:bookmarkEnd w:id="37"/>
        </w:tc>
      </w:tr>
    </w:tbl>
    <w:p>
      <w:pPr>
        <w:pStyle w:val="BodyText"/>
      </w:pPr>
      <w:r>
        <w:t xml:space="preserve">For each of the two phases, we infer two groups from visual inspection of our seriation results. One group has a restricted range of sign types (1-3 types), which tend to be visually simpler signs.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inferring a two-group structure from the Aur-P1 seriation results seems straightforward, this is less clear for Aur-P2 where the partition rests on only 9 sites.</w:t>
      </w:r>
    </w:p>
    <w:p>
      <w:pPr>
        <w:pStyle w:val="BodyText"/>
      </w:pPr>
      <w:r>
        <w:t xml:space="preserve">To quantitatively explore the robustness of the two-group pattern inferred from the seriation analysis, we used bootstrap resampling and stochastic block models, which we describe in detail in S1</w:t>
      </w:r>
      <w:r>
        <w:t xml:space="preserve"> </w:t>
      </w:r>
      <w:r>
        <w:t xml:space="preserve">“</w:t>
      </w:r>
      <w:r>
        <w:t xml:space="preserve">Sensitivity Analyses</w:t>
      </w:r>
      <w:r>
        <w:t xml:space="preserve">”</w:t>
      </w:r>
      <w:r>
        <w:t xml:space="preserve">. In Aur-P1, mean within-block co-clustering is 0.79 for the restricted-range block and 0.9 for the broader-range block, against 0.26 across the two blocks. The within-block values substantially exceed the across-block value, which is a strong signal that both groups are internally coherent and sharply separated. The strength of this signal is much lower for Aur-P2, where the pattern is 0.57 within the restricted block and 0.83 within the broader block, against 0.37 across the blocks. However the two-group pattern is not supported by the results of the stochastic block model analysis. Both Bernoulli and Gaussian emission models select a single-block structure for both the Aur-P1 and Aur-P2 samples, providing no model-based support for a two-group pattern inferred from the seriation (S1</w:t>
      </w:r>
      <w:r>
        <w:t xml:space="preserve"> </w:t>
      </w:r>
      <w:r>
        <w:t xml:space="preserve">“</w:t>
      </w:r>
      <w:r>
        <w:t xml:space="preserve">Sensitivity Analyses</w:t>
      </w:r>
      <w:r>
        <w:t xml:space="preserve">”</w:t>
      </w:r>
      <w:r>
        <w:t xml:space="preserve"> </w:t>
      </w:r>
      <w:r>
        <w:t xml:space="preserve">S6.3). This single-block result is expected below the detectability limit for sparse networks of this size (Peixoto 2019). In sum, because stochastic block modelling does not recover a multi-block structure, the restricted/broad dichotomy should be considered only as a dominant axis of variation (rich vs. poor sign repertoires) rather than an exact partition that emerges from compositional similarity through an unsupervised model. Network analysis allows us to evaluate how these sites may have been connected along this axis.</w:t>
      </w:r>
    </w:p>
    <w:tbl>
      <w:tblPr>
        <w:tblStyle w:val="Table"/>
        <w:tblW w:type="pct" w:w="5000"/>
        <w:tblLook w:firstRow="0" w:lastRow="0" w:firstColumn="0" w:lastColumn="0" w:noHBand="0" w:noVBand="0" w:val="0000"/>
        <w:jc w:val="start"/>
        <w:tblLayout w:type="fixed"/>
      </w:tblPr>
      <w:tblGrid>
        <w:gridCol w:w="7920"/>
      </w:tblGrid>
      <w:tr>
        <w:tc>
          <w:tcPr/>
          <w:bookmarkStart w:id="41" w:name="fig-neighbor-net"/>
          <w:p>
            <w:pPr>
              <w:pStyle w:val="Compact"/>
              <w:jc w:val="center"/>
            </w:pPr>
            <w:r>
              <w:drawing>
                <wp:inline>
                  <wp:extent cx="5943600" cy="3566160"/>
                  <wp:effectExtent b="0" l="0" r="0" t="0"/>
                  <wp:docPr descr="" title="" id="39" name="Picture"/>
                  <a:graphic>
                    <a:graphicData uri="http://schemas.openxmlformats.org/drawingml/2006/picture">
                      <pic:pic>
                        <pic:nvPicPr>
                          <pic:cNvPr descr="../figures/network-plot.png" id="40" name="Picture"/>
                          <pic:cNvPicPr>
                            <a:picLocks noChangeArrowheads="1" noChangeAspect="1"/>
                          </pic:cNvPicPr>
                        </pic:nvPicPr>
                        <pic:blipFill>
                          <a:blip r:embed="rId38"/>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inter‑site affinity in geometric‑sign repertoires for each phase, derived from the Jaccard similarity of sign presence/absence. Nodes represent sites and edges connect pairs whose Jaccard similarity is ≥0.2 (i.e., the intersection of their sign types is at least 20% of their union). Node size reflects degree centrality, and edge thickness corresponds to similarity strength. These networks illustrate phase-specific differences in the intensity and configuration of inter‑site correspondences among sign repertoires.</w:t>
            </w:r>
          </w:p>
          <w:bookmarkEnd w:id="41"/>
        </w:tc>
      </w:tr>
    </w:tbl>
    <w:tbl>
      <w:tblPr>
        <w:tblStyle w:val="Table"/>
        <w:tblW w:type="pct" w:w="5000"/>
        <w:tblLook w:firstRow="0" w:lastRow="0" w:firstColumn="0" w:lastColumn="0" w:noHBand="0" w:noVBand="0" w:val="0000"/>
        <w:jc w:val="start"/>
        <w:tblLayout w:type="fixed"/>
      </w:tblPr>
      <w:tblGrid>
        <w:gridCol w:w="7920"/>
      </w:tblGrid>
      <w:tr>
        <w:tc>
          <w:tcPr/>
          <w:bookmarkStart w:id="45" w:name="fig-neighbor-net-stats"/>
          <w:p>
            <w:pPr>
              <w:pStyle w:val="Compact"/>
              <w:jc w:val="center"/>
            </w:pPr>
            <w:r>
              <w:drawing>
                <wp:inline>
                  <wp:extent cx="5943600" cy="4086225"/>
                  <wp:effectExtent b="0" l="0" r="0" t="0"/>
                  <wp:docPr descr="" title="" id="43" name="Picture"/>
                  <a:graphic>
                    <a:graphicData uri="http://schemas.openxmlformats.org/drawingml/2006/picture">
                      <pic:pic>
                        <pic:nvPicPr>
                          <pic:cNvPr descr="../figures/network-stats-plot.png" id="44" name="Picture"/>
                          <pic:cNvPicPr>
                            <a:picLocks noChangeArrowheads="1" noChangeAspect="1"/>
                          </pic:cNvPicPr>
                        </pic:nvPicPr>
                        <pic:blipFill>
                          <a:blip r:embed="rId42"/>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 statistics for the two phases. The vertical black lines are the null 95% confidence interval, the observed statistic value is shown as a solid black circle (BH-adjusted p &lt; 0.05) or a hollow circle (not significantly different from a phase-randomized null distribution). The horizontal brackets at the top of each panel show p-values of pairwise randomisation tests for significant differences in network statistics between phases.</w:t>
            </w:r>
          </w:p>
          <w:bookmarkEnd w:id="45"/>
        </w:tc>
      </w:tr>
    </w:tbl>
    <w:p>
      <w:pPr>
        <w:pStyle w:val="BodyText"/>
      </w:pPr>
      <w:r>
        <w:t xml:space="preserve">The results of the network analysis support the restricted-broad groupings inferred from</w:t>
      </w:r>
      <w:r>
        <w:t xml:space="preserve"> </w:t>
      </w:r>
      <w:hyperlink w:anchor="fig-seriation">
        <w:r>
          <w:rPr>
            <w:rStyle w:val="Hyperlink"/>
          </w:rPr>
          <w:t xml:space="preserve">Figure 2</w:t>
        </w:r>
      </w:hyperlink>
      <w:r>
        <w:t xml:space="preserve">, and provide insight into the differences in connectivity between the two phases. In Aur-P1 the network analysis reveals two clearly defined groups consistent with our inference from the seriation results: a broad-range group (Geissenklösterle, Hohle Fels, Vogelherd, Cellier, Blanchard, La Ferrassie, Castanet, Solutré, Grotte du Renne, Les Cottés, Trou al’Wesse) and a restricted-range group (Abri Pataud, Fumane, Pod Hradem, Riparo Bombrini, Grottes de Fonds-de-Forêt, Labeko Koba, Hohlenstein-Stadel, Gatzarria, Grotte de la Verpillière I). As in the seriation, there is some connectivity between the two groups, notably through sites such as La Ferrassie, which links both ranges.</w:t>
      </w:r>
    </w:p>
    <w:p>
      <w:pPr>
        <w:pStyle w:val="BodyText"/>
      </w:pPr>
      <w:r>
        <w:t xml:space="preserve">In Aur-P2 the two-group pattern is again somewhat apparent, with a broad-range group (Trou Magrite, Bockstein-Törle, Hohle Fels) and a restricted-range group (Les Rois, Sirgenstein Cave, La Viña, Mladeč, Gargas, Vindija Cave). Connectivity between sign-use groups remains evident, but the network is far smaller, reflecting the reduced sample of this phase.</w:t>
      </w:r>
    </w:p>
    <w:p>
      <w:pPr>
        <w:pStyle w:val="BodyText"/>
      </w:pPr>
      <w:hyperlink w:anchor="fig-neighbor-net-stats">
        <w:r>
          <w:rPr>
            <w:rStyle w:val="Hyperlink"/>
          </w:rPr>
          <w:t xml:space="preserve">Figure 4</w:t>
        </w:r>
      </w:hyperlink>
      <w:r>
        <w:t xml:space="preserve"> </w:t>
      </w:r>
      <w:r>
        <w:t xml:space="preserve">shows the results of permutation tests (n = 10</w:t>
      </w:r>
      <w:r>
        <w:rPr>
          <w:vertAlign w:val="superscript"/>
        </w:rPr>
        <w:t xml:space="preserve">4</w:t>
      </w:r>
      <w:r>
        <w:t xml:space="preserve">) assessing whether the observed statistics differ from a phase-randomized null distribution, and pairwise randomisation tests comparing the two phases. Under phase randomization, none of the tested statistics — edge density, modularity (Louvain), mean betweenness, or component count — differs significantly from its null distribution in either phase: all observed values fall within the null 95% confidence intervals and all Benjamini–Hochberg-adjusted p-values are ≥ 0.05. The restricted/broad grouping is instead supported by the model-based and null-benchmarked community-structure analyses in our S1</w:t>
      </w:r>
      <w:r>
        <w:t xml:space="preserve"> </w:t>
      </w:r>
      <w:r>
        <w:t xml:space="preserve">“</w:t>
      </w:r>
      <w:r>
        <w:t xml:space="preserve">Sensitivity Analyses</w:t>
      </w:r>
      <w:r>
        <w:t xml:space="preserve">”</w:t>
      </w:r>
      <w:r>
        <w:t xml:space="preserve"> </w:t>
      </w:r>
      <w:r>
        <w:t xml:space="preserve">(S5.1, S5.3, S5.9), which evaluate the observed structure net of network size. Pairwise permutation tests with Benjamini–Hochberg correction show that the phases do not differ significantly in any of the tested network statistics — edge density (p = 0.44), modularity (p = 0.302), mean betweenness (p = 0.622), or component count (p = 0.515). The Aur-P1–Aur-P2 contrast is therefore primarily one of network scale rather than a statistically distinguishable community structure.</w:t>
      </w:r>
    </w:p>
    <w:p>
      <w:pPr>
        <w:pStyle w:val="BodyText"/>
      </w:pPr>
      <w:r>
        <w:t xml:space="preserve">We assessed the sensitivity of our two-phase framework to site assignment criteria in three ways: (1) reverting to purely date-based assignment (S8 Analysis A); (2) excluding the stratigraphically mixed site Vogelherd entirely (S8 Analysis B); (3) excluding figurines concentrated at Vogelherd (S7). Under all conditions, the Aur-P1 &gt; Aur-P2 connectivity ordering is preserved (Aur-P1 mean degree: 7.5 baseline, 7.26 no Vogelherd, 7.4 no figurines; Aur-P2: 4.22). Excluding Vogelherd reduces Aur-P1 edges by 8% and mean degree by 3.2%, but does not alter the phase contrast or the within-phase two-group pattern (S8.3, S7.5). Because the principal results are unchanged when Vogelherd is excluded entirely, our conclusions do not depend on its inclusion or on its precise archaeological attribution.</w:t>
      </w:r>
    </w:p>
    <w:tbl>
      <w:tblPr>
        <w:tblStyle w:val="Table"/>
        <w:tblW w:type="pct" w:w="5000"/>
        <w:tblLook w:firstRow="0" w:lastRow="0" w:firstColumn="0" w:lastColumn="0" w:noHBand="0" w:noVBand="0" w:val="0000"/>
        <w:jc w:val="start"/>
        <w:tblLayout w:type="fixed"/>
      </w:tblPr>
      <w:tblGrid>
        <w:gridCol w:w="7920"/>
      </w:tblGrid>
      <w:tr>
        <w:tc>
          <w:tcPr/>
          <w:bookmarkStart w:id="49" w:name="fig-group-map"/>
          <w:p>
            <w:pPr>
              <w:pStyle w:val="Compact"/>
              <w:jc w:val="center"/>
            </w:pPr>
            <w:r>
              <w:drawing>
                <wp:inline>
                  <wp:extent cx="5943600" cy="4754880"/>
                  <wp:effectExtent b="0" l="0" r="0" t="0"/>
                  <wp:docPr descr="" title="" id="47" name="Picture"/>
                  <a:graphic>
                    <a:graphicData uri="http://schemas.openxmlformats.org/drawingml/2006/picture">
                      <pic:pic>
                        <pic:nvPicPr>
                          <pic:cNvPr descr="paper_files/figure-docx/fig-group-map-1.png" id="48" name="Picture"/>
                          <pic:cNvPicPr>
                            <a:picLocks noChangeArrowheads="1" noChangeAspect="1"/>
                          </pic:cNvPicPr>
                        </pic:nvPicPr>
                        <pic:blipFill>
                          <a:blip r:embed="rId46"/>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sign-use groups (Restricted-range and Broader range) in the two Aurignacian phases (Aur-P1, Aur-P2). Sites are colored according to their group membership (Restricted-range or Broader range) as identified by seriation and network analysis. The spatial arrangement shows that sites belonging to the same sign-use group are not strictly clustered geographically, consistent with the Mantel test results that did not detect a significant correlation between geographic proximity and geometric sign similarity. Map data from naturalearthdata.com and</w:t>
            </w:r>
            <w:r>
              <w:t xml:space="preserve"> </w:t>
            </w:r>
            <w:r>
              <w:t xml:space="preserve">[34]</w:t>
            </w:r>
          </w:p>
          <w:bookmarkEnd w:id="49"/>
        </w:tc>
      </w:tr>
    </w:tbl>
    <w:p>
      <w:pPr>
        <w:pStyle w:val="BodyText"/>
      </w:pPr>
      <w:r>
        <w:t xml:space="preserve">While the results of the seriation and network analyses point to two main groups of sites within each phase, spatial clusters of sites are not highly evident in these groups, in part due to the small numbers of sites in each phase (</w:t>
      </w:r>
      <w:hyperlink w:anchor="fig-group-map">
        <w:r>
          <w:rPr>
            <w:rStyle w:val="Hyperlink"/>
          </w:rPr>
          <w:t xml:space="preserve">Figure 5</w:t>
        </w:r>
      </w:hyperlink>
      <w:r>
        <w:t xml:space="preserve">). In Aur-P1, sites are distributed widely across Western and Central Europe, with some geographical overlapping between the restricted- and broad-range groups, consistent with the connectivity between sign-use groups evident in the network analysis. In Aur-P2, the surviving sites are more widely dispersed, though this reflects the much smaller sample of this phase.</w:t>
      </w:r>
    </w:p>
    <w:bookmarkEnd w:id="50"/>
    <w:bookmarkStart w:id="52" w:name="Xe37851f0b0c22898e5f832a67b7154932fb4d35"/>
    <w:p>
      <w:pPr>
        <w:pStyle w:val="Heading2"/>
      </w:pPr>
      <w:r>
        <w:t xml:space="preserve">Sign Composition Differences Between Groups</w:t>
      </w:r>
    </w:p>
    <w:tbl>
      <w:tblPr>
        <w:tblStyle w:val="Table"/>
        <w:tblW w:type="pct" w:w="5000"/>
        <w:tblLook w:firstRow="0" w:lastRow="0" w:firstColumn="0" w:lastColumn="0" w:noHBand="0" w:noVBand="0" w:val="0000"/>
        <w:jc w:val="start"/>
        <w:tblLayout w:type="fixed"/>
      </w:tblPr>
      <w:tblGrid>
        <w:gridCol w:w="7920"/>
      </w:tblGrid>
      <w:tr>
        <w:tc>
          <w:tcPr/>
          <w:bookmarkStart w:id="51" w:name="tbl-strength-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r>
            <w:tr>
              <w:tc>
                <w:tcPr/>
                <w:p>
                  <w:pPr>
                    <w:pStyle w:val="Compact"/>
                    <w:jc w:val="left"/>
                    <w:jc w:val="center"/>
                  </w:pPr>
                  <w:r>
                    <w:t xml:space="preserve">Aur-P1</w:t>
                  </w:r>
                </w:p>
              </w:tc>
              <w:tc>
                <w:tcPr/>
                <w:p>
                  <w:pPr>
                    <w:pStyle w:val="Compact"/>
                    <w:jc w:val="right"/>
                    <w:jc w:val="center"/>
                  </w:pPr>
                  <w:r>
                    <w:t xml:space="preserve">0.196</w:t>
                  </w:r>
                </w:p>
              </w:tc>
              <w:tc>
                <w:tcPr/>
                <w:p>
                  <w:pPr>
                    <w:pStyle w:val="Compact"/>
                    <w:jc w:val="right"/>
                    <w:jc w:val="center"/>
                  </w:pPr>
                  <w:r>
                    <w:t xml:space="preserve">4.382</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0.223</w:t>
                  </w:r>
                </w:p>
              </w:tc>
              <w:tc>
                <w:tcPr/>
                <w:p>
                  <w:pPr>
                    <w:pStyle w:val="Compact"/>
                    <w:jc w:val="right"/>
                    <w:jc w:val="center"/>
                  </w:pPr>
                  <w:r>
                    <w:t xml:space="preserve">2.008</w:t>
                  </w:r>
                </w:p>
              </w:tc>
              <w:tc>
                <w:tcPr/>
                <w:p>
                  <w:pPr>
                    <w:pStyle w:val="Compact"/>
                    <w:jc w:val="right"/>
                    <w:jc w:val="center"/>
                  </w:pPr>
                  <w:r>
                    <w:t xml:space="preserve">0.076</w:t>
                  </w:r>
                </w:p>
              </w:tc>
            </w:tr>
          </w:tbl>
          <w:p>
            <w:pPr>
              <w:jc w:val="center"/>
            </w:pPr>
            <w:pPr>
              <w:jc w:val="start"/>
              <w:spacing w:before="200"/>
              <w:pStyle w:val="ImageCaption"/>
            </w:pPr>
            <w:r>
              <w:t xml:space="preserve">Table 3: Table of the results per phase for the perMANOVA</w:t>
            </w:r>
          </w:p>
          <w:bookmarkEnd w:id="51"/>
        </w:tc>
      </w:tr>
    </w:tbl>
    <w:p>
      <w:pPr>
        <w:pStyle w:val="BodyText"/>
      </w:pPr>
      <w:r>
        <w:t xml:space="preserve">Because the restricted/broad groups were defined from the same sign data used for the perMANOVA, it is exploratory only. PerMANOVA attributes approximately 0.196 of the variance in sign composition to the restricted/broad grouping in the Aur-P1 phase and 0.223 in the Aur-P2 phase (</w:t>
      </w:r>
      <w:hyperlink w:anchor="tbl-strength-table">
        <w:r>
          <w:rPr>
            <w:rStyle w:val="Hyperlink"/>
          </w:rPr>
          <w:t xml:space="preserve">Table 3</w:t>
        </w:r>
      </w:hyperlink>
      <w:r>
        <w:t xml:space="preserve">). The pseudo-F statistic is larger for Aur-P1 (F = 4.382) than for Aur-P2 (F = 2.008), indicating a stronger nominal separation in the early phase. The betadisper test for homogeneity of multivariate dispersions shows that group dispersion does not differ significantly between restricted and broad groups in either phase (Aur-P1: p = 0.124, Aur-P2: p = 0.771), so for Aur-P1 the perMANOVA signal reflects a difference in group centroids rather than in dispersion.</w:t>
      </w:r>
    </w:p>
    <w:p>
      <w:pPr>
        <w:pStyle w:val="BodyText"/>
      </w:pPr>
      <w:r>
        <w:t xml:space="preserve">Because this perMANOVA is circular, we applied independent tests of whether the restricted/broad difference survives group-definition-independent validation (see our S1</w:t>
      </w:r>
      <w:r>
        <w:t xml:space="preserve"> </w:t>
      </w:r>
      <w:r>
        <w:t xml:space="preserve">“</w:t>
      </w:r>
      <w:r>
        <w:t xml:space="preserve">Sensitivity Analyses</w:t>
      </w:r>
      <w:r>
        <w:t xml:space="preserve">”</w:t>
      </w:r>
      <w:r>
        <w:t xml:space="preserve"> </w:t>
      </w:r>
      <w:r>
        <w:t xml:space="preserve">S6.6). These show that the restricted/broad contrast is recoverable from data not used to define the groups. In leave-one-out cross-validation the manual group label is re-identified for the large majority of Aur-P1 and Aur-P2 sites (permutation p &lt; 0.05 in both phases), and an object-half holdout PerMANOVA remains significant on independently defined groups (Fisher-combined p &lt; 0.05 in both phases). A group-free gradient PerMANOVA on the continuous compositional axis is also significant in both phases. Our most conservative test, re-deriving the optimal split under a fixed-fixed (Curveball) null, is not significant in either phase (Aur-P1 p = 0.106; Aur-P2 p = 0.984), indicating the restricted/broad contrast is a recoverable gradient rather than a sharp partition. We therefore treat the PerMANOVA as descriptive and rely on this cross-validation as the appropriate independent confirmation that the grouping is not a circularity artefact.</w:t>
      </w:r>
    </w:p>
    <w:bookmarkEnd w:id="52"/>
    <w:bookmarkEnd w:id="53"/>
    <w:bookmarkStart w:id="60" w:name="discussion"/>
    <w:p>
      <w:pPr>
        <w:pStyle w:val="Heading1"/>
      </w:pPr>
      <w:r>
        <w:t xml:space="preserve">Discussion</w:t>
      </w:r>
    </w:p>
    <w:bookmarkStart w:id="58"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show that each phase initially suggests two main sign-use groups, with sign type frequency and diversity serving as the major dividing factor. However, quantitative investigation of these groups indicates the contrast is a recoverable gradual axis rather than a sharp partition, so this must be taken as a descriptive pattern rather than a robust structure. Group size differed between phases: in Aur-P1 the restricted-range group (9 sites) was slightly smaller than the broad-range group (11 sites), whereas in the much smaller Aur-P2 the restricted-range group (6 sites) exceeded the broad-range group (3 sites). Because of documented mixing at Vogelherd, we test our network models both with and without the site in our S1</w:t>
      </w:r>
      <w:r>
        <w:t xml:space="preserve"> </w:t>
      </w:r>
      <w:r>
        <w:t xml:space="preserve">“</w:t>
      </w:r>
      <w:r>
        <w:t xml:space="preserve">Sensitivity Analyses</w:t>
      </w:r>
      <w:r>
        <w:t xml:space="preserve">”</w:t>
      </w:r>
      <w:r>
        <w:t xml:space="preserve">. The removal of Vogelherd does not change the fundamental restricted/broad group pattern.</w:t>
      </w:r>
    </w:p>
    <w:p>
      <w:pPr>
        <w:pStyle w:val="BodyText"/>
      </w:pPr>
      <w:hyperlink w:anchor="fig-neighbor-net">
        <w:r>
          <w:rPr>
            <w:rStyle w:val="Hyperlink"/>
          </w:rPr>
          <w:t xml:space="preserve">Figure 3</w:t>
        </w:r>
      </w:hyperlink>
      <w:r>
        <w:t xml:space="preserve"> </w:t>
      </w:r>
      <w:r>
        <w:t xml:space="preserve">suggests apparent differences in connectivity between the phases. At first glance, Aur-P1 appears the more edge-rich network with the higher mean degree (7.5) and a hub structure centred on key sites, while Aur-P2 shows fewer edges and a lower mean degree (4.2). However, pairwise permutation tests indicate that the phases do not differ significantly in any of the tested network statistics (edge density, modularity, mean betweenness, or component count), so the Aur-P1–Aur-P2 contrast is best described as a difference in network scale rather than in overall connectedness or community structure. An exploratory PerMANOVA returns a nominal separation of the restricted- and broad-range groups in Aur-P1 sign composition (R² = 0.196, p = 0.001) but not in Aur-P2 (R² = 0.223, p = 0.076), consistent with the smaller Aur-P2 sample. That said, our sensitivity analyses show that this result is best taken as a gradual axis of variation (see our S1</w:t>
      </w:r>
      <w:r>
        <w:t xml:space="preserve"> </w:t>
      </w:r>
      <w:r>
        <w:t xml:space="preserve">“</w:t>
      </w:r>
      <w:r>
        <w:t xml:space="preserve">Sensitivity Analyses</w:t>
      </w:r>
      <w:r>
        <w:t xml:space="preserve">”</w:t>
      </w:r>
      <w:r>
        <w:t xml:space="preserve">).</w:t>
      </w:r>
    </w:p>
    <w:p>
      <w:pPr>
        <w:pStyle w:val="BodyText"/>
      </w:pPr>
      <w:r>
        <w:t xml:space="preserve">One consistent grouping pattern throughout both phases is the restricted/broader range group divide, which may be influenced by variation in social structure. Variation in hunter-gatherer social structures is well-known from ethnographic and archaeological research</w:t>
      </w:r>
      <w:r>
        <w:t xml:space="preserve"> </w:t>
      </w:r>
      <w:r>
        <w:t xml:space="preserve">[50–57]</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[4,57–68]</w:t>
      </w:r>
      <w:r>
        <w:t xml:space="preserve">. Drawing on this work, we speculate that the broader/restricted range grouping in the geometric sign data may be consistent with variation in social structure: the broader range groups, with a higher variety of signs and more visually complex signs, plausibly indicate communities with a greater variety of formalized social roles, whereas the sites with a restricted range of signs indicate communities with fewer formalized social roles.</w:t>
      </w:r>
    </w:p>
    <w:p>
      <w:pPr>
        <w:pStyle w:val="BodyText"/>
      </w:pPr>
      <w:r>
        <w:t xml:space="preserve">Because the number of sign types recorded at a site is bounded by the number of objects recovered, we considered whether this divide is an artefact of sampling effort. We found that across sites, object count and sign-type count are strongly correlated (Spearman ρ = 0.86, p &lt; 0.001). However, node degree within each phase is not correlated with sign-type richness (see our S1</w:t>
      </w:r>
      <w:r>
        <w:t xml:space="preserve"> </w:t>
      </w:r>
      <w:r>
        <w:t xml:space="preserve">“</w:t>
      </w:r>
      <w:r>
        <w:t xml:space="preserve">Sensitivity Analyses</w:t>
      </w:r>
      <w:r>
        <w:t xml:space="preserve">”</w:t>
      </w:r>
      <w:r>
        <w:t xml:space="preserve"> </w:t>
      </w:r>
      <w:r>
        <w:t xml:space="preserve">S5.4), indicating that the network connectivity patterns are not driven by assemblage size. Two observations argue against sampling effort being the whole explanation. First, group membership is not solely a function of sign-type richness: low-sampling sites such as Les Cottés (two objects) fall within the broad-range group because their sign types are shared with broad-range sites, so composition matters as well as richness. Second, the diversity analysis that controls for sample size (</w:t>
      </w:r>
      <w:hyperlink w:anchor="fig-div-plot">
        <w:r>
          <w:rPr>
            <w:rStyle w:val="Hyperlink"/>
          </w:rPr>
          <w:t xml:space="preserve">Figure 6</w:t>
        </w:r>
      </w:hyperlink>
      <w:r>
        <w:t xml:space="preserve">) identifies sites with above-average diversity of repertoires in both groups, indicating that richness relative to sampling effort does not map cleanly onto group membership. Nevertheless, because the groups were assigned on the basis of the seriation and network results rather than recovered independently, and because sampling effort remains a plausible partial explanation, we treat this interpretation as provisional.</w:t>
      </w:r>
    </w:p>
    <w:p>
      <w:pPr>
        <w:pStyle w:val="BodyText"/>
      </w:pPr>
      <w:r>
        <w:t xml:space="preserve">Taken together, six independent checks show that large assemblages differ in repertoire size along a recoverable gradient, but small assemblages cannot be placed on that gradient with confidence. For well-sampled sites, three analyses favor a richness axis: the largest sites keep their group under downsampling to a common object count (S9.2); the contrast persists among the sites assessable at equal coverage (S9.3); and with the richness–effort exponent estimated at 0.38 (95% CI 0.23–0.53) rather than fixed at 1, broad-range sites remain richer at equal object count (rate ratio 2.31, p = 0.003; S9.4). For small sites, our checks urge caution: small-site assignments flip at rates near chance (S9.2), most never reach comparable coverage (S9.3), and the Jaccard separation falls within richness structure alone under fixed margins (S9.7). Cross-validation recovers group separation from withheld data while the maximally-selected split test is not significant (Aur-P1 p = 0.106; Aur-P2 p = 0.984; S6.6), and Simpson turnover dissimilarity shows no group separation with single-block SBM solutions (S9.7, S6.3). The pattern is therefore best read as a richness gradient that is real for large assemblages, provisional for small ones, and not a discrete partition in either case.</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is consistent with possible non-utilitarian mobility among these larger communities, among other processes.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(see our S1</w:t>
      </w:r>
      <w:r>
        <w:t xml:space="preserve"> </w:t>
      </w:r>
      <w:r>
        <w:t xml:space="preserve">“</w:t>
      </w:r>
      <w:r>
        <w:t xml:space="preserve">Sensitivity Analyses</w:t>
      </w:r>
      <w:r>
        <w:t xml:space="preserve">”</w:t>
      </w:r>
      <w:r>
        <w:t xml:space="preserve"> </w:t>
      </w:r>
      <w:r>
        <w:t xml:space="preserve">S5.8), and bootstrap confidence intervals on the Mantel R show that a moderate geographic correlation could not be excluded at these sample sizes (S1</w:t>
      </w:r>
      <w:r>
        <w:t xml:space="preserve"> </w:t>
      </w:r>
      <w:r>
        <w:t xml:space="preserve">“</w:t>
      </w:r>
      <w:r>
        <w:t xml:space="preserve">Sensitivity Analyses</w:t>
      </w:r>
      <w:r>
        <w:t xml:space="preserve">”</w:t>
      </w:r>
      <w:r>
        <w:t xml:space="preserve"> </w:t>
      </w:r>
      <w:r>
        <w:t xml:space="preserve">S5.11). A non-significant Mantel result cannot establish any particular social process: it indicates only that isolation-by-distance was not detected. Non-utilitarian mobility remains a possible interpretation of the network structure, but it is not specifically demonstrated by this analysis. Previous studies have shown a range of variation in magnitudes and types of mobility among hunter-gatherer groups</w:t>
      </w:r>
      <w:r>
        <w:t xml:space="preserve"> </w:t>
      </w:r>
      <w:r>
        <w:t xml:space="preserve">[69]</w:t>
      </w:r>
      <w:r>
        <w:t xml:space="preserve">;</w:t>
      </w:r>
      <w:r>
        <w:t xml:space="preserve"> </w:t>
      </w:r>
      <w:r>
        <w:t xml:space="preserve">[70]</w:t>
      </w:r>
      <w:r>
        <w:t xml:space="preserve">;</w:t>
      </w:r>
      <w:r>
        <w:t xml:space="preserve"> </w:t>
      </w:r>
      <w:r>
        <w:t xml:space="preserve">[55]</w:t>
      </w:r>
      <w:r>
        <w:t xml:space="preserve">;</w:t>
      </w:r>
      <w:r>
        <w:t xml:space="preserve"> </w:t>
      </w:r>
      <w:r>
        <w:t xml:space="preserve">[71]</w:t>
      </w:r>
      <w:r>
        <w:t xml:space="preserve">;</w:t>
      </w:r>
      <w:r>
        <w:t xml:space="preserve"> </w:t>
      </w:r>
      <w:r>
        <w:t xml:space="preserve">[56]</w:t>
      </w:r>
      <w:r>
        <w:t xml:space="preserve">. Non-utilitarian mobility establishes regional social networks which facilitate the spread of information and the survival of hunter-gatherers in uncertain environments</w:t>
      </w:r>
      <w:r>
        <w:t xml:space="preserve"> </w:t>
      </w:r>
      <w:r>
        <w:t xml:space="preserve">[72]</w:t>
      </w:r>
      <w:r>
        <w:t xml:space="preserve">;</w:t>
      </w:r>
      <w:r>
        <w:t xml:space="preserve"> </w:t>
      </w:r>
      <w:r>
        <w:t xml:space="preserve">[73]</w:t>
      </w:r>
      <w:r>
        <w:t xml:space="preserve">;</w:t>
      </w:r>
      <w:r>
        <w:t xml:space="preserve"> </w:t>
      </w:r>
      <w:r>
        <w:t xml:space="preserve">[74]</w:t>
      </w:r>
      <w:r>
        <w:t xml:space="preserve">;</w:t>
      </w:r>
      <w:r>
        <w:t xml:space="preserve"> </w:t>
      </w:r>
      <w:r>
        <w:t xml:space="preserve">[75]</w:t>
      </w:r>
      <w:r>
        <w:t xml:space="preserve">;</w:t>
      </w:r>
      <w:r>
        <w:t xml:space="preserve"> </w:t>
      </w:r>
      <w:r>
        <w:t xml:space="preserve">[76]</w:t>
      </w:r>
      <w:r>
        <w:t xml:space="preserve">. The exchange and production of decorative items, such as objects with geometric signs, has been associated with non-utilitarian mobility and recognized as an indicator of social contact</w:t>
      </w:r>
      <w:r>
        <w:t xml:space="preserve"> </w:t>
      </w:r>
      <w:r>
        <w:t xml:space="preserve">[72]</w:t>
      </w:r>
      <w:r>
        <w:t xml:space="preserve">;</w:t>
      </w:r>
      <w:r>
        <w:t xml:space="preserve"> </w:t>
      </w:r>
      <w:r>
        <w:t xml:space="preserve">[77]</w:t>
      </w:r>
      <w:r>
        <w:t xml:space="preserve">;</w:t>
      </w:r>
      <w:r>
        <w:t xml:space="preserve"> </w:t>
      </w:r>
      <w:r>
        <w:t xml:space="preserve">[78]</w:t>
      </w:r>
      <w:r>
        <w:t xml:space="preserve">;</w:t>
      </w:r>
      <w:r>
        <w:t xml:space="preserve"> </w:t>
      </w:r>
      <w:r>
        <w:t xml:space="preserve">[79]</w:t>
      </w:r>
      <w:r>
        <w:t xml:space="preserve">;</w:t>
      </w:r>
      <w:r>
        <w:t xml:space="preserve"> </w:t>
      </w:r>
      <w:r>
        <w:t xml:space="preserve">[80]</w:t>
      </w:r>
      <w:r>
        <w:t xml:space="preserve">. We stress, however, that connectivity in shared sign types cannot by itself establish the direction or mechanism of contact, which our data do not measure directly.</w:t>
      </w:r>
    </w:p>
    <w:p>
      <w:pPr>
        <w:pStyle w:val="BodyText"/>
      </w:pPr>
      <w:r>
        <w:t xml:space="preserve">Non-utilitarian mobility can be divided into shorter-term information exchange and longer-term residential movement. One form of longer-term residential movement that may be related to non-utilitarian mobility are aggregation/dispersion patterns, which are a type of hunter-gatherer settlement pattern in which groups both break off in dispersed fragments and congregate in large groups, typically for subsistence or social reasons</w:t>
      </w:r>
      <w:r>
        <w:t xml:space="preserve"> </w:t>
      </w:r>
      <w:r>
        <w:t xml:space="preserve">[81]</w:t>
      </w:r>
      <w:r>
        <w:t xml:space="preserve">. Aggregation sites are the places where those group fragments or individuals congregate. In the archaeological literature, aggregation sites are often associated with high degrees of social connectivity and identified by indicators including proximity to certain environmental resources and a more diverse artifact assemblage</w:t>
      </w:r>
      <w:r>
        <w:t xml:space="preserve"> </w:t>
      </w:r>
      <w:r>
        <w:t xml:space="preserve">[81]</w:t>
      </w:r>
      <w:r>
        <w:t xml:space="preserve">, including, in some cases, decorative objects</w:t>
      </w:r>
      <w:r>
        <w:t xml:space="preserve"> </w:t>
      </w:r>
      <w:r>
        <w:t xml:space="preserve">[77]</w:t>
      </w:r>
      <w:r>
        <w:t xml:space="preserve">; of these indicators, only assemblage diversity is testable in our data, which we evaluate below. Notably, our results complicate the association between aggregation and high connectivity: the sites whose diversity lies above the simulated mean (a possible indicator of aggregation)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connectivity in sign repertoires, which we discuss further below. Previous studies have also identified evidence of aggregation/dispersion patterns among the early modern humans of the Upper Palaeolithic</w:t>
      </w:r>
      <w:r>
        <w:t xml:space="preserve"> </w:t>
      </w:r>
      <w:r>
        <w:t xml:space="preserve">[2,82–88]</w:t>
      </w:r>
      <w:r>
        <w:t xml:space="preserve">.</w:t>
      </w:r>
    </w:p>
    <w:p>
      <w:pPr>
        <w:pStyle w:val="BodyText"/>
      </w:pPr>
      <w:r>
        <w:t xml:space="preserve">One way to potentially identify aggregation sites is by measuring sign diversity. Sites with a higher than expected sign diversity index may be consistent with aggregation, but could also reflect sample size, recovery history, or site function; this is a possible archaeological interpretation, not a statistical result. However, a limitation of this approach is that while higher diversity may be consistent with interpretation as an aggregation site,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[89,90]</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having connections between groups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average diversity in</w:t>
      </w:r>
      <w:r>
        <w:t xml:space="preserve"> </w:t>
      </w:r>
      <w:hyperlink w:anchor="fig-div-plot">
        <w:r>
          <w:rPr>
            <w:rStyle w:val="Hyperlink"/>
          </w:rPr>
          <w:t xml:space="preserve">Figure 6</w:t>
        </w:r>
      </w:hyperlink>
      <w:r>
        <w:t xml:space="preserve">). Supporting this distinction, sites whose diversity lies above the simulated mean (a possible indicator of aggregation) showed a weak, non-significant trend with network degree after Benjamini‑Hochberg correction (ρ = -0.35, p = 0.095). However, because this trend is not significant, it is not evidence either way about whether these sites are more or less connected. The correlation with mean betweenness was not significant (ρ = -0.24, p = 0.246). Object count was weak, non-significantly positively correlated with degree centrality after correction (degree: ρ = 0.35, p = 0.095). The sites’ diversity excess (how much more diverse a site is than the randomised null would predict for its sample size) is distributed significantly differently for the restricted‑range group versus the broad‑range group (Wilcoxon W = 59, p = 0.044), so the diversity‑excess measure is associated with which of the two groups a site belongs to.</w:t>
      </w:r>
    </w:p>
    <w:tbl>
      <w:tblPr>
        <w:tblStyle w:val="Table"/>
        <w:tblW w:type="pct" w:w="5000"/>
        <w:tblLook w:firstRow="0" w:lastRow="0" w:firstColumn="0" w:lastColumn="0" w:noHBand="0" w:noVBand="0" w:val="0000"/>
        <w:jc w:val="start"/>
        <w:tblLayout w:type="fixed"/>
      </w:tblPr>
      <w:tblGrid>
        <w:gridCol w:w="7920"/>
      </w:tblGrid>
      <w:tr>
        <w:tc>
          <w:tcPr/>
          <w:bookmarkStart w:id="57" w:name="fig-div-plot"/>
          <w:p>
            <w:pPr>
              <w:pStyle w:val="Compact"/>
              <w:jc w:val="center"/>
            </w:pPr>
            <w:r>
              <w:drawing>
                <wp:inline>
                  <wp:extent cx="3669832" cy="7339665"/>
                  <wp:effectExtent b="0" l="0" r="0" t="0"/>
                  <wp:docPr descr="" title="" id="55" name="Picture"/>
                  <a:graphic>
                    <a:graphicData uri="http://schemas.openxmlformats.org/drawingml/2006/picture">
                      <pic:pic>
                        <pic:nvPicPr>
                          <pic:cNvPr descr="../figures/diversity-plot.png" id="56" name="Picture"/>
                          <pic:cNvPicPr>
                            <a:picLocks noChangeArrowheads="1" noChangeAspect="1"/>
                          </pic:cNvPicPr>
                        </pic:nvPicPr>
                        <pic:blipFill>
                          <a:blip r:embed="rId54"/>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Observed geometric sign diversity at each site compared with expectations derived from randomised assemblages controlling for sample size. The blue expectation curve is the mean simulated diversity index per sample size. The red lines enclose a band that is the 95% confidence interval of the null distribution (no sites exceed this interval). Sites above the blue expectation curve have higher than average diversity, given their sample size.</w:t>
            </w:r>
          </w:p>
          <w:bookmarkEnd w:id="57"/>
        </w:tc>
      </w:tr>
    </w:tbl>
    <w:bookmarkEnd w:id="58"/>
    <w:bookmarkStart w:id="59"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phases do not differ significantly in size-adjusted network statistics and that raw differences in inter-site connectivity mainly reflect the early Aurignacian (Aur-P1) having more sites.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 This null result reflects limited statistical power at these sample sizes rather than positive evidence that geography is irrelevant, as quantified by bootstrap confidence intervals on the Mantel R (S1</w:t>
      </w:r>
      <w:r>
        <w:t xml:space="preserve"> </w:t>
      </w:r>
      <w:r>
        <w:t xml:space="preserve">“</w:t>
      </w:r>
      <w:r>
        <w:t xml:space="preserve">Sensitivity Analyses</w:t>
      </w:r>
      <w:r>
        <w:t xml:space="preserve">”</w:t>
      </w:r>
      <w:r>
        <w:t xml:space="preserve"> </w:t>
      </w:r>
      <w:r>
        <w:t xml:space="preserve">S5.11).</w:t>
      </w:r>
    </w:p>
    <w:p>
      <w:pPr>
        <w:pStyle w:val="BodyText"/>
      </w:pPr>
      <w:r>
        <w:t xml:space="preserve">These results are broadly consistent with previous work on the environmental and population change during these phases. From 45–43.25 ka cal BP, the population density in Europe was extremely low, due to the unfavorable environmental conditions of Greenland Stadial 12 (44 ka cal BP) and the slow westward expansion of early modern humans</w:t>
      </w:r>
      <w:r>
        <w:t xml:space="preserve"> </w:t>
      </w:r>
      <w:r>
        <w:t xml:space="preserve">[91]</w:t>
      </w:r>
      <w:r>
        <w:t xml:space="preserve">. This was followed by rapid expansion from 43.25–41 ka cal BP, with the maximum extent of early Aurignacian (Aur-P1) settlement being reached around 41 ka cal BP (</w:t>
      </w:r>
      <w:r>
        <w:t xml:space="preserve">[20]</w:t>
      </w:r>
      <w:r>
        <w:t xml:space="preserve">). Although population growth is the condition under which sign systems typically gain a communicative function, the causal link between demographic expansion and the emergence of geometric signs as a group-membership marker cannot be established from the sign-sharing data alone and should be treated as a contextual correlate rather than a demonstrated driver. Other studies have also found similar associations in other regions and time periods between increases in quantity and diversity of art, and increases in population density</w:t>
      </w:r>
      <w:r>
        <w:t xml:space="preserve"> </w:t>
      </w:r>
      <w:r>
        <w:t xml:space="preserve">[92–100]</w:t>
      </w:r>
      <w:r>
        <w:t xml:space="preserve">. Quantitative demographic reconstructions suggest that western and central European Aurignacian populations numbered approximately 1500 individuals</w:t>
      </w:r>
      <w:r>
        <w:t xml:space="preserve"> </w:t>
      </w:r>
      <w:r>
        <w:t xml:space="preserve">[20]</w:t>
      </w:r>
      <w:r>
        <w:t xml:space="preserve">, a relatively small number that may partly explain why our networks remain small and sparsely connected across both phases.</w:t>
      </w:r>
      <w:r>
        <w:t xml:space="preserve"> </w:t>
      </w:r>
      <w:r>
        <w:t xml:space="preserve">[20]</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where our network’s high-degree nodes are located — notably the Dordogne (La Ferrassie) in Aur-P1. This Core/Extended framework is consistent with our finding from the larger Aur-P1 network, with the lower-connectivity periphery potentially representing periodically visited Extended Areas. In Aur-P2 the reduced network is consistent with more localised interaction as populations consolidated. That said, the contraction of the geometric sign-type pool from Aur-P1 (26 types) to Aur-P2 (15 types), consistent with cultural drift in small populations (1500 individuals;</w:t>
      </w:r>
      <w:r>
        <w:t xml:space="preserve"> </w:t>
      </w:r>
      <w:r>
        <w:t xml:space="preserve">[20]</w:t>
      </w:r>
      <w:r>
        <w:t xml:space="preserve">), does not survive testing. At equal sampling effort with incidence-frequency rarefaction to 63 objects (S1 S9.5, all types and shared object types only), the rarefied Aur-P1 pool overlaps the Aur-P2 pool, so the raw difference in the number of sign types is not distinguishable from sampling variation. Neither the networks or sign diversity can be clearly linked to demographic dynamics with the current sample.</w:t>
      </w:r>
    </w:p>
    <w:p>
      <w:pPr>
        <w:pStyle w:val="BodyText"/>
      </w:pPr>
      <w:r>
        <w:t xml:space="preserve">Our results partially align with</w:t>
      </w:r>
      <w:r>
        <w:t xml:space="preserve"> </w:t>
      </w:r>
      <w:r>
        <w:t xml:space="preserve">[21]</w:t>
      </w:r>
      <w:r>
        <w:t xml:space="preserve">, who used eco-cultural niche modeling to show that Heinrich Stadial 4 (HS4) at the very beginning of the Early Aurignacian resulted in an expansion of people into new environmental niches, hypothesised to involve an expansion of social networks both within and between populations. Our finding of no significant changes in networks over time suggests that if</w:t>
      </w:r>
      <w:r>
        <w:t xml:space="preserve"> </w:t>
      </w:r>
      <w:r>
        <w:t xml:space="preserve">[21]</w:t>
      </w:r>
      <w:r>
        <w:t xml:space="preserve">’s model is accurate, we do not see a signal of it in the geometric sign data. Neither phase shows a significant geographic signal (Aur-P1 Mantel R = 0.046, Aur-P2 Mantel R = -0.299), suggesting that sign sharing was not primarily driven by expansion into new, spatially structured niches. Similarly,</w:t>
      </w:r>
      <w:r>
        <w:t xml:space="preserve"> </w:t>
      </w:r>
      <w:r>
        <w:t xml:space="preserve">[12]</w:t>
      </w:r>
      <w:r>
        <w:t xml:space="preserve"> </w:t>
      </w:r>
      <w:r>
        <w:t xml:space="preserve">developed a human-existence probability model for the Aurignacian, finding an expanded, more dispersed settlement area for the Evolved/Late Aurignacian, and</w:t>
      </w:r>
      <w:r>
        <w:t xml:space="preserve"> </w:t>
      </w:r>
      <w:r>
        <w:t xml:space="preserve">[91]</w:t>
      </w:r>
      <w:r>
        <w:t xml:space="preserve"> </w:t>
      </w:r>
      <w:r>
        <w:t xml:space="preserve">also identifies increased expansion marking the beginning of the Evolved Aurignacian. In our data Aur-P2’s wider spatial spread was not accompanied by stronger sign-type sharing. These patterns of connectivity and geographic structure also have implications for understanding how geometric signs functioned as markers of group identity, which we explore next.</w:t>
      </w:r>
    </w:p>
    <w:p>
      <w:pPr>
        <w:pStyle w:val="BodyText"/>
      </w:pPr>
      <w:r>
        <w:t xml:space="preserve">Our results support a general theory of geometric signs as a form of cultural identification and communication during the Palaeolithic, as proposed by previous work</w:t>
      </w:r>
      <w:r>
        <w:t xml:space="preserve"> </w:t>
      </w:r>
      <w:r>
        <w:t xml:space="preserve">[3]</w:t>
      </w:r>
      <w:r>
        <w:t xml:space="preserve">. However, our results do not identify geographically distinct groups differentiated by sign repertoire: geographic distance had little influence on sign distribution in either phase (Aur-P1: R = 0.046; Aur-P2: R = -0.299), and so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geographically distinct cultural groups in the Gravettian, as reported by</w:t>
      </w:r>
      <w:r>
        <w:t xml:space="preserve"> </w:t>
      </w:r>
      <w:r>
        <w:t xml:space="preserve">[3]</w:t>
      </w:r>
      <w:r>
        <w:t xml:space="preserve">. We might hypothesize that the distribution found in the Aur-P2 phase (</w:t>
      </w:r>
      <w:hyperlink w:anchor="fig-group-map">
        <w:r>
          <w:rPr>
            <w:rStyle w:val="Hyperlink"/>
          </w:rPr>
          <w:t xml:space="preserve">Figure 5</w:t>
        </w:r>
      </w:hyperlink>
      <w:r>
        <w:t xml:space="preserve">) evolved into the clusters proposed by</w:t>
      </w:r>
      <w:r>
        <w:t xml:space="preserve"> </w:t>
      </w:r>
      <w:r>
        <w:t xml:space="preserve">[3]</w:t>
      </w:r>
      <w:r>
        <w:t xml:space="preserve"> </w:t>
      </w:r>
      <w:r>
        <w:t xml:space="preserve">for the Gravettian period. This transition is consistent with recent evidence for cultural continuity in personal ornaments between these technocomplexes</w:t>
      </w:r>
      <w:r>
        <w:t xml:space="preserve"> </w:t>
      </w:r>
      <w:r>
        <w:t xml:space="preserve">[2]</w:t>
      </w:r>
      <w:r>
        <w:t xml:space="preserve">, though our geometric sign data do not show the same pattern. The data used by</w:t>
      </w:r>
      <w:r>
        <w:t xml:space="preserve"> </w:t>
      </w:r>
      <w:r>
        <w:t xml:space="preserve">[6]</w:t>
      </w:r>
      <w:r>
        <w:t xml:space="preserve"> </w:t>
      </w:r>
      <w:r>
        <w:t xml:space="preserve">was also analyzed by</w:t>
      </w:r>
      <w:r>
        <w:t xml:space="preserve"> </w:t>
      </w:r>
      <w:r>
        <w:t xml:space="preserve">[101]</w:t>
      </w:r>
      <w:r>
        <w:t xml:space="preserve">, who used Approximate Bayesian Computation to simulate and compare Aurignacian personal ornament distribution as a result of structured ethnic identity versus as a result of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[101]</w:t>
      </w:r>
      <w:r>
        <w:t xml:space="preserve"> </w:t>
      </w:r>
      <w:r>
        <w:t xml:space="preserve">complicate claims by</w:t>
      </w:r>
      <w:r>
        <w:t xml:space="preserve"> </w:t>
      </w:r>
      <w:r>
        <w:t xml:space="preserve">[6]</w:t>
      </w:r>
      <w:r>
        <w:t xml:space="preserve"> </w:t>
      </w:r>
      <w:r>
        <w:t xml:space="preserve">for geographically distinct cultural groups in the Aurignacian, and validate our findings. To understand how these patterns of sign sharing might have been produced, we now turn to cultural transmission theory.</w:t>
      </w:r>
    </w:p>
    <w:p>
      <w:pPr>
        <w:pStyle w:val="BodyText"/>
      </w:pPr>
      <w:r>
        <w:t xml:space="preserve">Our results can be interpreted through the lens of cultural transmission theory</w:t>
      </w:r>
      <w:r>
        <w:t xml:space="preserve"> </w:t>
      </w:r>
      <w:r>
        <w:t xml:space="preserve">[102–104]</w:t>
      </w:r>
      <w:r>
        <w:t xml:space="preserve">. Smaller populations are predicted to experience greater drift and reduced capacity to maintain complex cultural repertoires</w:t>
      </w:r>
      <w:r>
        <w:t xml:space="preserve"> </w:t>
      </w:r>
      <w:r>
        <w:t xml:space="preserve">[105]</w:t>
      </w:r>
      <w:r>
        <w:t xml:space="preserve">, which is consistent with our observation that the sign-type pool is larger in the Aur-P1 phase (26 types) than in the Aur-P2 phase (15 types). Network structure also shapes cultural information flow: highly connected networks with high-degree node structures facilitate rapid transmission and reduce drift</w:t>
      </w:r>
      <w:r>
        <w:t xml:space="preserve"> </w:t>
      </w:r>
      <w:r>
        <w:t xml:space="preserve">[106,107]</w:t>
      </w:r>
      <w:r>
        <w:t xml:space="preserve">, while more clustered networks promote localised conformist transmission and differentiation within subgroups</w:t>
      </w:r>
      <w:r>
        <w:t xml:space="preserve"> </w:t>
      </w:r>
      <w:r>
        <w:t xml:space="preserve">[108]</w:t>
      </w:r>
      <w:r>
        <w:t xml:space="preserve">. Our finding of no statistically significant difference in connectivity metrics across the two phases suggests that relative interaction levels remained consistent over time, even as populations consolidated into fewer sites. The lack of significant geographic structure in either phase contradicts simple isolation-by-distance models</w:t>
      </w:r>
      <w:r>
        <w:t xml:space="preserve"> </w:t>
      </w:r>
      <w:r>
        <w:t xml:space="preserve">[105,109]</w:t>
      </w:r>
      <w:r>
        <w:t xml:space="preserve">. A non-significant Mantel result cannot establish which social process generated the pattern; ritual gatherings or ceremonial exchange remain speculative possibilities, not demonstrated mechanisms. These interpretations are speculative: network structure reflects sign-sharing patterns, not direct evidence of social organisation, and simpler sign types may reflect independent invention or functional constraints rather than social transmission.</w:t>
      </w:r>
    </w:p>
    <w:p>
      <w:pPr>
        <w:pStyle w:val="BodyText"/>
      </w:pPr>
      <w:r>
        <w:t xml:space="preserve">The contrast with personal ornaments, such as the decorated ivory pendant from Stajnia Cave</w:t>
      </w:r>
      <w:r>
        <w:t xml:space="preserve"> </w:t>
      </w:r>
      <w:r>
        <w:t xml:space="preserve">[11]</w:t>
      </w:r>
      <w:r>
        <w:t xml:space="preserve">, is informative.</w:t>
      </w:r>
      <w:r>
        <w:t xml:space="preserve"> </w:t>
      </w:r>
      <w:r>
        <w:t xml:space="preserve">[6]</w:t>
      </w:r>
      <w:r>
        <w:t xml:space="preserve"> </w:t>
      </w:r>
      <w:r>
        <w:t xml:space="preserve">identified nine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This null result does not by itself establish the signs’ function. One speculative possibility is that different material classes encode different identity dimensions, for example, ornaments may signal ethnic affiliation, while geometric signs could serve functions such as notation, calendrical recording, or information storage. But these remain untested hypotheses. This aligns with work by</w:t>
      </w:r>
      <w:r>
        <w:t xml:space="preserve"> </w:t>
      </w:r>
      <w:r>
        <w:t xml:space="preserve">[110]</w:t>
      </w:r>
      <w:r>
        <w:t xml:space="preserve"> </w:t>
      </w:r>
      <w:r>
        <w:t xml:space="preserve">(sign sequences having protocuneiform-like information density, suggesting notational function) and</w:t>
      </w:r>
      <w:r>
        <w:t xml:space="preserve"> </w:t>
      </w:r>
      <w:r>
        <w:t xml:space="preserve">[111]</w:t>
      </w:r>
      <w:r>
        <w:t xml:space="preserve"> </w:t>
      </w:r>
      <w:r>
        <w:t xml:space="preserve">(some signs recording seasonal prey information). However, both hypotheses are contested:</w:t>
      </w:r>
      <w:r>
        <w:t xml:space="preserve"> </w:t>
      </w:r>
      <w:r>
        <w:t xml:space="preserve">[112]</w:t>
      </w:r>
      <w:r>
        <w:t xml:space="preserve"> </w:t>
      </w:r>
      <w:r>
        <w:t xml:space="preserve">note methodological issues in Bentz &amp; Dutkiewicz;</w:t>
      </w:r>
      <w:r>
        <w:t xml:space="preserve"> </w:t>
      </w:r>
      <w:r>
        <w:t xml:space="preserve">[113]</w:t>
      </w:r>
      <w:r>
        <w:t xml:space="preserve"> </w:t>
      </w:r>
      <w:r>
        <w:t xml:space="preserve">and</w:t>
      </w:r>
      <w:r>
        <w:t xml:space="preserve"> </w:t>
      </w:r>
      <w:r>
        <w:t xml:space="preserve">[114]</w:t>
      </w:r>
      <w:r>
        <w:t xml:space="preserve"> </w:t>
      </w:r>
      <w:r>
        <w:t xml:space="preserve">argue the lunar calendar hypothesis is untestable, circular, and selectively uses data;</w:t>
      </w:r>
      <w:r>
        <w:t xml:space="preserve"> </w:t>
      </w:r>
      <w:r>
        <w:t xml:space="preserve">[115]</w:t>
      </w:r>
      <w:r>
        <w:t xml:space="preserve"> </w:t>
      </w:r>
      <w:r>
        <w:t xml:space="preserve">finds multiple theoretical weaknesses. Our results neither confirm nor rule out these hypotheses, and sign-type ambiguity remains a limitation.</w:t>
      </w:r>
    </w:p>
    <w:bookmarkEnd w:id="59"/>
    <w:bookmarkEnd w:id="60"/>
    <w:bookmarkStart w:id="61" w:name="conclusion"/>
    <w:p>
      <w:pPr>
        <w:pStyle w:val="Heading1"/>
      </w:pPr>
      <w:r>
        <w:t xml:space="preserve">Conclusion</w:t>
      </w:r>
    </w:p>
    <w:p>
      <w:pPr>
        <w:pStyle w:val="FirstParagraph"/>
      </w:pPr>
      <w:r>
        <w:t xml:space="preserve">This study adds to our knowledge of social networks within the Aurignacian period, as our results may reflect patterns of possible social exchange and connection. Previous work</w:t>
      </w:r>
      <w:r>
        <w:t xml:space="preserve"> </w:t>
      </w:r>
      <w:r>
        <w:t xml:space="preserve">[3,83,116–119]</w:t>
      </w:r>
      <w:r>
        <w:t xml:space="preserve"> </w:t>
      </w:r>
      <w:r>
        <w:t xml:space="preserve">has used material culture analysis to reconstruct Upper Palaeolithic social networks, which have been argued to be a driver of cultural and evolutionary change</w:t>
      </w:r>
      <w:r>
        <w:t xml:space="preserve"> </w:t>
      </w:r>
      <w:r>
        <w:t xml:space="preserve">[2,76,120–124]</w:t>
      </w:r>
      <w:r>
        <w:t xml:space="preserve">. Permutation tests (n = 10,000) show no significant difference between phases in any size-adjusted network statistic — edge density (p = 0.44), modularity (p = 0.302), mean betweenness (p = 0.622), or component count (p = 0.515) — so the Aur-P1–Aur-P2 contrast is one of network scale, not community structure.</w:t>
      </w:r>
    </w:p>
    <w:p>
      <w:pPr>
        <w:pStyle w:val="BodyText"/>
      </w:pPr>
      <w:r>
        <w:t xml:space="preserve">A restricted/broad repertoire axis is visually evident in seriation and supported by bootstrap co-clustering (Aur-P1: within-block 0.79/0.9 vs. across-block 0.26; Aur-P2: 0.57/0.83 vs. 0.37). However, stochastic block models do not recover a two-group partition for either phase (single block selected under both Bernoulli and Gaussian emission models; S6.3). Cross-validation (leave-one-out, object-half holdout, gradient PerMANOVA) recovers the axis, yet the maximally-selected split test under a fixed-fixed (Curveball) null is not significant in either phase (Aur-P1 p = 0.106; Aur-P2 p = 0.984). Critically, a negative-binomial regression with an estimated richness–effort exponent finds the group contrast persists at equal object count (rate ratio 2.31, p = 0.003; S9.4). Richness-preserving nulls bound this reading both ways: the Jaccard separation falls within richness structure alone under fixed margins, exceeds object-sampling expectation in Aur-P1 only, and vanishes entirely on Simpson turnover dissimilarity, which shows no group separation in either phase (S9.7). The raw richness gap is therefore not distinguishable from a genuine group difference carried by the nestedness component. The restricted/broad division should be read only as a descriptive gradient whose independence from sampling effort is not demonstrated for sites with small numbers of signs.</w:t>
      </w:r>
    </w:p>
    <w:p>
      <w:pPr>
        <w:pStyle w:val="BodyText"/>
      </w:pPr>
      <w:r>
        <w:t xml:space="preserve">No significant isolation-by-distance signal is detected in either phase (Mantel R = 0.046, p = 0.301; R = -0.299, p = 0.933), but bootstrap confidence intervals (S5.11) show the tests are underpowered at n = 20 and 9 sites — these are null results reflecting limited power, not evidence of geographic irrelevance. Geometric signs do not exhibit the geographically distinct clusters reported for personal ornaments</w:t>
      </w:r>
      <w:r>
        <w:t xml:space="preserve"> </w:t>
      </w:r>
      <w:r>
        <w:t xml:space="preserve">[3,6]</w:t>
      </w:r>
      <w:r>
        <w:t xml:space="preserve">; whether they encode different identity dimensions (notation, calendrical recording, information storage) remains speculative and untested</w:t>
      </w:r>
      <w:r>
        <w:t xml:space="preserve"> </w:t>
      </w:r>
      <w:r>
        <w:t xml:space="preserve">[110–115]</w:t>
      </w:r>
      <w:r>
        <w:t xml:space="preserve">. Our findings are consistent with the conclusions of</w:t>
      </w:r>
      <w:r>
        <w:t xml:space="preserve"> </w:t>
      </w:r>
      <w:r>
        <w:t xml:space="preserve">[101]</w:t>
      </w:r>
      <w:r>
        <w:t xml:space="preserve"> </w:t>
      </w:r>
      <w:r>
        <w:t xml:space="preserve">that cultural identity by-descent with modification is a likely explanation for the distribution of Aurignacian ornaments.</w:t>
      </w:r>
    </w:p>
    <w:p>
      <w:pPr>
        <w:pStyle w:val="BodyText"/>
      </w:pPr>
      <w:r>
        <w:t xml:space="preserve">Our study has four important limitations. First is the potential ambiguity that arises with some of the sign types. While</w:t>
      </w:r>
      <w:r>
        <w:t xml:space="preserve"> </w:t>
      </w:r>
      <w:r>
        <w:t xml:space="preserve">[125]</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connectivity in sign repertoires regardless of function, even if it is random copying</w:t>
      </w:r>
      <w:r>
        <w:t xml:space="preserve"> </w:t>
      </w:r>
      <w:r>
        <w:t xml:space="preserve">[126]</w:t>
      </w:r>
      <w:r>
        <w:t xml:space="preserve">, and additionally, greater quantities of included sign types serve to establish stronger connections</w:t>
      </w:r>
      <w:r>
        <w:t xml:space="preserve"> </w:t>
      </w:r>
      <w:r>
        <w:t xml:space="preserve">[127]</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[110]</w:t>
      </w:r>
      <w:r>
        <w:t xml:space="preserve">.</w:t>
      </w:r>
    </w:p>
    <w:p>
      <w:pPr>
        <w:pStyle w:val="BodyText"/>
      </w:pPr>
      <w:r>
        <w:t xml:space="preserve">A second limitation concerns the effects of time-averaging on our network reconstructions.</w:t>
      </w:r>
      <w:r>
        <w:t xml:space="preserve"> </w:t>
      </w:r>
      <w:r>
        <w:t xml:space="preserve">[128]</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[71]</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inferring social organisation patterns from the analyses discussed above.</w:t>
      </w:r>
    </w:p>
    <w:p>
      <w:pPr>
        <w:pStyle w:val="BodyText"/>
      </w:pPr>
      <w:r>
        <w:t xml:space="preserve">A third limitation relates to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[24,25]</w:t>
      </w:r>
      <w:r>
        <w:t xml:space="preserve">, La Ferrassie’s Aurignacian begins with the Early Aurignacian directly above the Châtelperronian</w:t>
      </w:r>
      <w:r>
        <w:t xml:space="preserve"> </w:t>
      </w:r>
      <w:r>
        <w:t xml:space="preserve">[26]</w:t>
      </w:r>
      <w:r>
        <w:t xml:space="preserve">, and Mladeč’s massive-base bone points and ~31 ka ¹⁴C BP (~35–36 ka cal BP) dates indicate an Evolved (Aur-P2) attribution</w:t>
      </w:r>
      <w:r>
        <w:t xml:space="preserve"> </w:t>
      </w:r>
      <w:r>
        <w:t xml:space="preserve">[27]</w:t>
      </w:r>
      <w:r>
        <w:t xml:space="preserve">. Additionally, Vogelherd Cave’s stratigraphy is compromised by excavation methodology and post-depositional disturbance, with documented mixing between Aurignacian, Gravettian, and Magdalenian layers</w:t>
      </w:r>
      <w:r>
        <w:t xml:space="preserve"> </w:t>
      </w:r>
      <w:r>
        <w:t xml:space="preserve">[31]</w:t>
      </w:r>
      <w:r>
        <w:t xml:space="preserve">. After exclusions, Aur-P2 rests on only 9 sites and 63 objects, so its two-group structure and network statistics have limited power. To manage this limitation we tested the sensitivity of our assignments to reverting to purely date-based criteria in S1</w:t>
      </w:r>
      <w:r>
        <w:t xml:space="preserve"> </w:t>
      </w:r>
      <w:r>
        <w:t xml:space="preserve">“</w:t>
      </w:r>
      <w:r>
        <w:t xml:space="preserve">Sensitivity Analyses</w:t>
      </w:r>
      <w:r>
        <w:t xml:space="preserve">”</w:t>
      </w:r>
      <w:r>
        <w:t xml:space="preserve"> </w:t>
      </w:r>
      <w:r>
        <w:t xml:space="preserve">and find that the main structures are generally robust.</w:t>
      </w:r>
    </w:p>
    <w:p>
      <w:pPr>
        <w:pStyle w:val="BodyText"/>
      </w:pPr>
      <w:r>
        <w:t xml:space="preserve">Fourth, the restricted/broad division may not be independent from sampling intensity. Object-level resampling shows that only the best-sampled sites retain stable group assignments when compared at a common object count. A negative-binomial regression with an estimated richness–effort exponent finds the group contrast persists at equal object count (rate ratio 2.31, p = 0.003; S1 S9.4); the offset specification that found no effect fixed the exponent at 1, which the data reject. The raw richness gap is therefore not distinguishable from a genuine group difference, and for sites represented by only a few objects the restricted/broad membership remains provisional. The division should accordingly be read as a descriptive axis of variation whose separation from sampling effort is not demonstrated for small-object sites.</w:t>
      </w:r>
    </w:p>
    <w:bookmarkEnd w:id="61"/>
    <w:bookmarkStart w:id="304" w:name="references"/>
    <w:p>
      <w:pPr>
        <w:pStyle w:val="Heading1"/>
      </w:pPr>
      <w:r>
        <w:t xml:space="preserve">References</w:t>
      </w:r>
    </w:p>
    <w:bookmarkStart w:id="303"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2025;20:e0323148.</w:t>
      </w:r>
      <w:r>
        <w:t xml:space="preserve"> </w:t>
      </w:r>
      <w:hyperlink r:id="rId64">
        <w:r>
          <w:rPr>
            <w:rStyle w:val="Hyperlink"/>
          </w:rPr>
          <w:t xml:space="preserve">https://doi.org/10.1371/journal.pone.0323148</w:t>
        </w:r>
      </w:hyperlink>
      <w:r>
        <w:t xml:space="preserve">.</w:t>
      </w:r>
    </w:p>
    <w:bookmarkEnd w:id="65"/>
    <w:bookmarkStart w:id="67"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r>
        <w:t xml:space="preserve"> </w:t>
      </w:r>
      <w:hyperlink r:id="rId66">
        <w:r>
          <w:rPr>
            <w:rStyle w:val="Hyperlink"/>
          </w:rPr>
          <w:t xml:space="preserve">https://doi.org/10.1038/s41562-023-01803-6</w:t>
        </w:r>
      </w:hyperlink>
      <w:r>
        <w:t xml:space="preserve">.</w:t>
      </w:r>
    </w:p>
    <w:bookmarkEnd w:id="67"/>
    <w:bookmarkStart w:id="69"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Quaternary International 2018;491:99–109.</w:t>
      </w:r>
      <w:r>
        <w:t xml:space="preserve"> </w:t>
      </w:r>
      <w:hyperlink r:id="rId68">
        <w:r>
          <w:rPr>
            <w:rStyle w:val="Hyperlink"/>
          </w:rPr>
          <w:t xml:space="preserve">https://doi.org/10.1016/j.quaint.2017.01.039</w:t>
        </w:r>
      </w:hyperlink>
      <w:r>
        <w:t xml:space="preserve">.</w:t>
      </w:r>
    </w:p>
    <w:bookmarkEnd w:id="69"/>
    <w:bookmarkStart w:id="71"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70">
        <w:r>
          <w:rPr>
            <w:rStyle w:val="Hyperlink"/>
          </w:rPr>
          <w:t xml:space="preserve">https://doi.org/10.1177/0392192107076870</w:t>
        </w:r>
      </w:hyperlink>
      <w:r>
        <w:t xml:space="preserve">.</w:t>
      </w:r>
    </w:p>
    <w:bookmarkEnd w:id="71"/>
    <w:bookmarkStart w:id="73"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2">
        <w:r>
          <w:rPr>
            <w:rStyle w:val="Hyperlink"/>
          </w:rPr>
          <w:t xml:space="preserve">https://doi.org/10.1016/j.jas.2005.11.017</w:t>
        </w:r>
      </w:hyperlink>
      <w:r>
        <w:t xml:space="preserve">.</w:t>
      </w:r>
    </w:p>
    <w:bookmarkEnd w:id="73"/>
    <w:bookmarkStart w:id="75"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4">
        <w:r>
          <w:rPr>
            <w:rStyle w:val="Hyperlink"/>
          </w:rPr>
          <w:t xml:space="preserve">https://doi.org/10.1016/j.quaint.2017.12.017</w:t>
        </w:r>
      </w:hyperlink>
      <w:r>
        <w:t xml:space="preserve">.</w:t>
      </w:r>
    </w:p>
    <w:bookmarkEnd w:id="75"/>
    <w:bookmarkStart w:id="77"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6">
        <w:r>
          <w:rPr>
            <w:rStyle w:val="Hyperlink"/>
          </w:rPr>
          <w:t xml:space="preserve">https://doi.org/10.1016/j.jas.2015.05.003</w:t>
        </w:r>
      </w:hyperlink>
      <w:r>
        <w:t xml:space="preserve">.</w:t>
      </w:r>
    </w:p>
    <w:bookmarkEnd w:id="77"/>
    <w:bookmarkStart w:id="79"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8">
        <w:r>
          <w:rPr>
            <w:rStyle w:val="Hyperlink"/>
          </w:rPr>
          <w:t xml:space="preserve">https://doi.org/10.1016/j.jas.2012.02.003</w:t>
        </w:r>
      </w:hyperlink>
      <w:r>
        <w:t xml:space="preserve">.</w:t>
      </w:r>
    </w:p>
    <w:bookmarkEnd w:id="79"/>
    <w:bookmarkStart w:id="81"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80">
        <w:r>
          <w:rPr>
            <w:rStyle w:val="Hyperlink"/>
          </w:rPr>
          <w:t xml:space="preserve">https://doi.org/10.1038/s41597-020-00704-x</w:t>
        </w:r>
      </w:hyperlink>
      <w:r>
        <w:t xml:space="preserve">.</w:t>
      </w:r>
    </w:p>
    <w:bookmarkEnd w:id="81"/>
    <w:bookmarkStart w:id="83" w:name="ref-Talamo_2022"/>
    <w:p>
      <w:pPr>
        <w:pStyle w:val="Bibliography"/>
      </w:pPr>
      <w:r>
        <w:t xml:space="preserve">[11]</w:t>
      </w:r>
      <w:r>
        <w:t xml:space="preserve"> </w:t>
      </w:r>
      <w:r>
        <w:t xml:space="preserve">	</w:t>
      </w:r>
      <w:r>
        <w:t xml:space="preserve">Talamo S, Nowaczewska W, Picin A, Vazzana A, Binkowski M, Bosch MD,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Scientific Reports 2021;11:22078.</w:t>
      </w:r>
      <w:r>
        <w:t xml:space="preserve"> </w:t>
      </w:r>
      <w:hyperlink r:id="rId82">
        <w:r>
          <w:rPr>
            <w:rStyle w:val="Hyperlink"/>
          </w:rPr>
          <w:t xml:space="preserve">https://doi.org/10.1038/s41598-021-01221-6</w:t>
        </w:r>
      </w:hyperlink>
      <w:r>
        <w:t xml:space="preserve">.</w:t>
      </w:r>
    </w:p>
    <w:bookmarkEnd w:id="83"/>
    <w:bookmarkStart w:id="85" w:name="X68cdd7ba62fc5dd3e1e9b497937717305f7b9a0"/>
    <w:p>
      <w:pPr>
        <w:pStyle w:val="Bibliography"/>
      </w:pPr>
      <w:r>
        <w:t xml:space="preserve">[12]</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84">
        <w:r>
          <w:rPr>
            <w:rStyle w:val="Hyperlink"/>
          </w:rPr>
          <w:t xml:space="preserve">https://doi.org/10.1016/j.quascirev.2021.106995</w:t>
        </w:r>
      </w:hyperlink>
      <w:r>
        <w:t xml:space="preserve">.</w:t>
      </w:r>
    </w:p>
    <w:bookmarkEnd w:id="85"/>
    <w:bookmarkStart w:id="87" w:name="ref-Chu_Richter_2020"/>
    <w:p>
      <w:pPr>
        <w:pStyle w:val="Bibliography"/>
      </w:pPr>
      <w:r>
        <w:t xml:space="preserve">[13]</w:t>
      </w:r>
      <w:r>
        <w:t xml:space="preserve"> </w:t>
      </w:r>
      <w:r>
        <w:t xml:space="preserve">	</w:t>
      </w:r>
      <w:r>
        <w:t xml:space="preserve">Chu W, Richter J.</w:t>
      </w:r>
      <w:r>
        <w:t xml:space="preserve"> </w:t>
      </w:r>
      <w:r>
        <w:t xml:space="preserve">Aurignacian</w:t>
      </w:r>
      <w:r>
        <w:t xml:space="preserve"> </w:t>
      </w:r>
      <w:r>
        <w:t xml:space="preserve">cultural unit. In: Smith C, editor. Encyclopedia of global archaeology. 2nd ed., Cham: Springer International Publishing; 2020, p. 1–10.</w:t>
      </w:r>
      <w:r>
        <w:t xml:space="preserve"> </w:t>
      </w:r>
      <w:hyperlink r:id="rId86">
        <w:r>
          <w:rPr>
            <w:rStyle w:val="Hyperlink"/>
          </w:rPr>
          <w:t xml:space="preserve">https://doi.org/10.1007/978-3-319-51726-1_3441-1</w:t>
        </w:r>
      </w:hyperlink>
      <w:r>
        <w:t xml:space="preserve">.</w:t>
      </w:r>
    </w:p>
    <w:bookmarkEnd w:id="87"/>
    <w:bookmarkStart w:id="89" w:name="ref-Dinnis_et_al_2019"/>
    <w:p>
      <w:pPr>
        <w:pStyle w:val="Bibliography"/>
      </w:pPr>
      <w:r>
        <w:t xml:space="preserve">[14]</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88">
        <w:r>
          <w:rPr>
            <w:rStyle w:val="Hyperlink"/>
          </w:rPr>
          <w:t xml:space="preserve">https://doi.org/10.1017/ppr.2019.11</w:t>
        </w:r>
      </w:hyperlink>
      <w:r>
        <w:t xml:space="preserve">.</w:t>
      </w:r>
    </w:p>
    <w:bookmarkEnd w:id="89"/>
    <w:bookmarkStart w:id="91" w:name="ref-falcucci2020breaking"/>
    <w:p>
      <w:pPr>
        <w:pStyle w:val="Bibliography"/>
      </w:pPr>
      <w:r>
        <w:t xml:space="preserve">[15]</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90">
        <w:r>
          <w:rPr>
            <w:rStyle w:val="Hyperlink"/>
          </w:rPr>
          <w:t xml:space="preserve">https://doi.org/10.4436/JASS.98021</w:t>
        </w:r>
      </w:hyperlink>
      <w:r>
        <w:t xml:space="preserve">.</w:t>
      </w:r>
    </w:p>
    <w:bookmarkEnd w:id="91"/>
    <w:bookmarkStart w:id="92" w:name="ref-clark200917"/>
    <w:p>
      <w:pPr>
        <w:pStyle w:val="Bibliography"/>
      </w:pPr>
      <w:r>
        <w:t xml:space="preserve">[16]</w:t>
      </w:r>
      <w:r>
        <w:t xml:space="preserve"> </w:t>
      </w:r>
      <w:r>
        <w:t xml:space="preserve">	</w:t>
      </w:r>
      <w:r>
        <w:t xml:space="preserve">Clark GA, Riel-Salvatore J. What’s in a name? Observations on the compositional integrity of the</w:t>
      </w:r>
      <w:r>
        <w:t xml:space="preserve"> </w:t>
      </w:r>
      <w:r>
        <w:t xml:space="preserve">Aurignacian</w:t>
      </w:r>
      <w:r>
        <w:t xml:space="preserve">. In: Camps M, Szmidt C, editors. The</w:t>
      </w:r>
      <w:r>
        <w:t xml:space="preserve"> </w:t>
      </w:r>
      <w:r>
        <w:t xml:space="preserve">Mediterranean</w:t>
      </w:r>
      <w:r>
        <w:t xml:space="preserve"> </w:t>
      </w:r>
      <w:r>
        <w:t xml:space="preserve">from 50 000 to 25 000</w:t>
      </w:r>
      <w:r>
        <w:t xml:space="preserve"> </w:t>
      </w:r>
      <w:r>
        <w:t xml:space="preserve">BP</w:t>
      </w:r>
      <w:r>
        <w:t xml:space="preserve">: Turning points and new directions, Oxford: Oxbow Books; 2009, p. 323–38.</w:t>
      </w:r>
    </w:p>
    <w:bookmarkEnd w:id="92"/>
    <w:bookmarkStart w:id="94" w:name="ref-zilhao2024data"/>
    <w:p>
      <w:pPr>
        <w:pStyle w:val="Bibliography"/>
      </w:pPr>
      <w:r>
        <w:t xml:space="preserve">[17]</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r>
        <w:t xml:space="preserve"> </w:t>
      </w:r>
      <w:hyperlink r:id="rId93">
        <w:r>
          <w:rPr>
            <w:rStyle w:val="Hyperlink"/>
          </w:rPr>
          <w:t xml:space="preserve">https://doi.org/10.1016/j.qeh.2024.100037</w:t>
        </w:r>
      </w:hyperlink>
      <w:r>
        <w:t xml:space="preserve">.</w:t>
      </w:r>
    </w:p>
    <w:bookmarkEnd w:id="94"/>
    <w:bookmarkStart w:id="95" w:name="ref-bordes2006news"/>
    <w:p>
      <w:pPr>
        <w:pStyle w:val="Bibliography"/>
      </w:pPr>
      <w:r>
        <w:t xml:space="preserve">[18]</w:t>
      </w:r>
      <w:r>
        <w:t xml:space="preserve"> </w:t>
      </w:r>
      <w:r>
        <w:t xml:space="preserve">	</w:t>
      </w:r>
      <w:r>
        <w:t xml:space="preserve">Bordes J-G. News from the</w:t>
      </w:r>
      <w:r>
        <w:t xml:space="preserve"> </w:t>
      </w:r>
      <w:r>
        <w:t xml:space="preserve">West</w:t>
      </w:r>
      <w:r>
        <w:t xml:space="preserve">: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In: Bar-Yosef O, Zilhão J, editors. Towards a definition of the</w:t>
      </w:r>
      <w:r>
        <w:t xml:space="preserve"> </w:t>
      </w:r>
      <w:r>
        <w:t xml:space="preserve">Aurignacian</w:t>
      </w:r>
      <w:r>
        <w:t xml:space="preserve">, vol. 45, Instituto Portugu</w:t>
      </w:r>
      <w:r>
        <w:t xml:space="preserve">ê</w:t>
      </w:r>
      <w:r>
        <w:t xml:space="preserve">s de Arqueologia Lisbon; 2006, p. 147–71.</w:t>
      </w:r>
    </w:p>
    <w:bookmarkEnd w:id="95"/>
    <w:bookmarkStart w:id="97" w:name="ref-canessa2026unpacking"/>
    <w:p>
      <w:pPr>
        <w:pStyle w:val="Bibliography"/>
      </w:pPr>
      <w:r>
        <w:t xml:space="preserve">[19]</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r>
        <w:t xml:space="preserve"> </w:t>
      </w:r>
      <w:hyperlink r:id="rId96">
        <w:r>
          <w:rPr>
            <w:rStyle w:val="Hyperlink"/>
          </w:rPr>
          <w:t xml:space="preserve">https://doi.org/10.1371/journal.pone.0345202</w:t>
        </w:r>
      </w:hyperlink>
      <w:r>
        <w:t xml:space="preserve">.</w:t>
      </w:r>
    </w:p>
    <w:bookmarkEnd w:id="97"/>
    <w:bookmarkStart w:id="99" w:name="ref-Schmidt_Zimmermann_2019"/>
    <w:p>
      <w:pPr>
        <w:pStyle w:val="Bibliography"/>
      </w:pPr>
      <w:r>
        <w:t xml:space="preserve">[20]</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98">
        <w:r>
          <w:rPr>
            <w:rStyle w:val="Hyperlink"/>
          </w:rPr>
          <w:t xml:space="preserve">https://doi.org/10.1371/journal.pone.0211562</w:t>
        </w:r>
      </w:hyperlink>
      <w:r>
        <w:t xml:space="preserve">.</w:t>
      </w:r>
    </w:p>
    <w:bookmarkEnd w:id="99"/>
    <w:bookmarkStart w:id="101" w:name="ref-Banks_dErrico_Zilhao_2013"/>
    <w:p>
      <w:pPr>
        <w:pStyle w:val="Bibliography"/>
      </w:pPr>
      <w:r>
        <w:t xml:space="preserve">[21]</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w:t>
      </w:r>
      <w:r>
        <w:t xml:space="preserve"> </w:t>
      </w:r>
      <w:hyperlink r:id="rId100">
        <w:r>
          <w:rPr>
            <w:rStyle w:val="Hyperlink"/>
          </w:rPr>
          <w:t xml:space="preserve">https://doi.org/10.1016/j.jhevol.2012.10.001</w:t>
        </w:r>
      </w:hyperlink>
      <w:r>
        <w:t xml:space="preserve">.</w:t>
      </w:r>
    </w:p>
    <w:bookmarkEnd w:id="101"/>
    <w:bookmarkStart w:id="103" w:name="ref-Falcucci_Peresani_2017"/>
    <w:p>
      <w:pPr>
        <w:pStyle w:val="Bibliography"/>
      </w:pPr>
      <w:r>
        <w:t xml:space="preserve">[22]</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102">
        <w:r>
          <w:rPr>
            <w:rStyle w:val="Hyperlink"/>
          </w:rPr>
          <w:t xml:space="preserve">https://doi.org/10.1371/journal.pone.0189241</w:t>
        </w:r>
      </w:hyperlink>
      <w:r>
        <w:t xml:space="preserve">.</w:t>
      </w:r>
    </w:p>
    <w:bookmarkEnd w:id="103"/>
    <w:bookmarkStart w:id="105" w:name="ref-Bataille_Conard_2019"/>
    <w:p>
      <w:pPr>
        <w:pStyle w:val="Bibliography"/>
      </w:pPr>
      <w:r>
        <w:t xml:space="preserve">[23]</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104">
        <w:r>
          <w:rPr>
            <w:rStyle w:val="Hyperlink"/>
          </w:rPr>
          <w:t xml:space="preserve">https://doi.org/10.7485/QU65_1</w:t>
        </w:r>
      </w:hyperlink>
      <w:r>
        <w:t xml:space="preserve">.</w:t>
      </w:r>
    </w:p>
    <w:bookmarkEnd w:id="105"/>
    <w:bookmarkStart w:id="107" w:name="ref-Chiotti_2005"/>
    <w:p>
      <w:pPr>
        <w:pStyle w:val="Bibliography"/>
      </w:pPr>
      <w:r>
        <w:t xml:space="preserve">[24]</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106">
        <w:r>
          <w:rPr>
            <w:rStyle w:val="Hyperlink"/>
          </w:rPr>
          <w:t xml:space="preserve">https://doi.org/10.30861/9781841718309</w:t>
        </w:r>
      </w:hyperlink>
      <w:r>
        <w:t xml:space="preserve">.</w:t>
      </w:r>
    </w:p>
    <w:bookmarkEnd w:id="107"/>
    <w:bookmarkStart w:id="109" w:name="ref-Higham_Abri_Pataud_2011"/>
    <w:p>
      <w:pPr>
        <w:pStyle w:val="Bibliography"/>
      </w:pPr>
      <w:r>
        <w:t xml:space="preserve">[25]</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108">
        <w:r>
          <w:rPr>
            <w:rStyle w:val="Hyperlink"/>
          </w:rPr>
          <w:t xml:space="preserve">https://doi.org/10.1016/j.jhevol.2011.06.005</w:t>
        </w:r>
      </w:hyperlink>
      <w:r>
        <w:t xml:space="preserve">.</w:t>
      </w:r>
    </w:p>
    <w:bookmarkEnd w:id="109"/>
    <w:bookmarkStart w:id="111" w:name="ref-Talamo_La_Ferrassie_2020"/>
    <w:p>
      <w:pPr>
        <w:pStyle w:val="Bibliography"/>
      </w:pPr>
      <w:r>
        <w:t xml:space="preserve">[26]</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110">
        <w:r>
          <w:rPr>
            <w:rStyle w:val="Hyperlink"/>
          </w:rPr>
          <w:t xml:space="preserve">https://doi.org/10.1002/jqs.3236</w:t>
        </w:r>
      </w:hyperlink>
      <w:r>
        <w:t xml:space="preserve">.</w:t>
      </w:r>
    </w:p>
    <w:bookmarkEnd w:id="111"/>
    <w:bookmarkStart w:id="113" w:name="ref-Wild_et_al_2005"/>
    <w:p>
      <w:pPr>
        <w:pStyle w:val="Bibliography"/>
      </w:pPr>
      <w:r>
        <w:t xml:space="preserve">[27]</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112">
        <w:r>
          <w:rPr>
            <w:rStyle w:val="Hyperlink"/>
          </w:rPr>
          <w:t xml:space="preserve">https://doi.org/10.1038/nature03585</w:t>
        </w:r>
      </w:hyperlink>
      <w:r>
        <w:t xml:space="preserve">.</w:t>
      </w:r>
    </w:p>
    <w:bookmarkEnd w:id="113"/>
    <w:bookmarkStart w:id="115" w:name="ref-Bataille_Conard_2018"/>
    <w:p>
      <w:pPr>
        <w:pStyle w:val="Bibliography"/>
      </w:pPr>
      <w:r>
        <w:t xml:space="preserve">[28]</w:t>
      </w:r>
      <w:r>
        <w:t xml:space="preserve"> </w:t>
      </w:r>
      <w:r>
        <w:t xml:space="preserve">	</w:t>
      </w:r>
      <w:r>
        <w:t xml:space="preserve">Bataille G, Conard NJ. Blade and bladelet production at</w:t>
      </w:r>
      <w:r>
        <w:t xml:space="preserve"> </w:t>
      </w:r>
      <w:r>
        <w:t xml:space="preserve">Hohle Fels Cave</w:t>
      </w:r>
      <w:r>
        <w:t xml:space="preserve">,</w:t>
      </w:r>
      <w:r>
        <w:t xml:space="preserve"> </w:t>
      </w:r>
      <w:r>
        <w:t xml:space="preserve">AH IV</w:t>
      </w:r>
      <w:r>
        <w:t xml:space="preserve"> </w:t>
      </w:r>
      <w:r>
        <w:t xml:space="preserve">in the</w:t>
      </w:r>
      <w:r>
        <w:t xml:space="preserve"> </w:t>
      </w:r>
      <w:r>
        <w:t xml:space="preserve">Swabian Jura</w:t>
      </w:r>
      <w:r>
        <w:t xml:space="preserve"> </w:t>
      </w:r>
      <w:r>
        <w:t xml:space="preserve">and its importance for characterizing the technological variability of the</w:t>
      </w:r>
      <w:r>
        <w:t xml:space="preserve"> </w:t>
      </w:r>
      <w:r>
        <w:t xml:space="preserve">Aurignacian</w:t>
      </w:r>
      <w:r>
        <w:t xml:space="preserve"> </w:t>
      </w:r>
      <w:r>
        <w:t xml:space="preserve">in</w:t>
      </w:r>
      <w:r>
        <w:t xml:space="preserve"> </w:t>
      </w:r>
      <w:r>
        <w:t xml:space="preserve">Central Europe</w:t>
      </w:r>
      <w:r>
        <w:t xml:space="preserve">. PLOS ONE 2018;13:e0194097.</w:t>
      </w:r>
      <w:r>
        <w:t xml:space="preserve"> </w:t>
      </w:r>
      <w:hyperlink r:id="rId114">
        <w:r>
          <w:rPr>
            <w:rStyle w:val="Hyperlink"/>
          </w:rPr>
          <w:t xml:space="preserve">https://doi.org/10.1371/journal.pone.0194097</w:t>
        </w:r>
      </w:hyperlink>
      <w:r>
        <w:t xml:space="preserve">.</w:t>
      </w:r>
    </w:p>
    <w:bookmarkEnd w:id="115"/>
    <w:bookmarkStart w:id="116" w:name="ref-Flas_et_al_2013"/>
    <w:p>
      <w:pPr>
        <w:pStyle w:val="Bibliography"/>
      </w:pPr>
      <w:r>
        <w:t xml:space="preserve">[29]</w:t>
      </w:r>
      <w:r>
        <w:t xml:space="preserve"> </w:t>
      </w:r>
      <w:r>
        <w:t xml:space="preserve">	</w:t>
      </w:r>
      <w:r>
        <w:t xml:space="preserve">Flas D, Tartar É, Bordes J-G, Le Brun-Ricalens F, Zwyns N. New perspectives on the</w:t>
      </w:r>
      <w:r>
        <w:t xml:space="preserve"> </w:t>
      </w:r>
      <w:r>
        <w:t xml:space="preserve">Aurignacian</w:t>
      </w:r>
      <w:r>
        <w:t xml:space="preserve"> </w:t>
      </w:r>
      <w:r>
        <w:t xml:space="preserve">from</w:t>
      </w:r>
      <w:r>
        <w:t xml:space="preserve"> </w:t>
      </w:r>
      <w:r>
        <w:t xml:space="preserve">Spy</w:t>
      </w:r>
      <w:r>
        <w:t xml:space="preserve">: Lithic assemblage, osseous artefacts and chronocultural sequence. In: Rougier H, Semal P, editors.</w:t>
      </w:r>
      <w:r>
        <w:t xml:space="preserve"> </w:t>
      </w:r>
      <w:r>
        <w:t xml:space="preserve">Spy</w:t>
      </w:r>
      <w:r>
        <w:t xml:space="preserve"> </w:t>
      </w:r>
      <w:r>
        <w:t xml:space="preserve">cave. 125 years of multidisciplinary research at the</w:t>
      </w:r>
      <w:r>
        <w:t xml:space="preserve"> </w:t>
      </w:r>
      <w:r>
        <w:t xml:space="preserve">Betche</w:t>
      </w:r>
      <w:r>
        <w:t xml:space="preserve"> </w:t>
      </w:r>
      <w:r>
        <w:t xml:space="preserve">aux</w:t>
      </w:r>
      <w:r>
        <w:t xml:space="preserve"> </w:t>
      </w:r>
      <w:r>
        <w:t xml:space="preserve">Rotches</w:t>
      </w:r>
      <w:r>
        <w:t xml:space="preserve"> </w:t>
      </w:r>
      <w:r>
        <w:t xml:space="preserve">(</w:t>
      </w:r>
      <w:r>
        <w:t xml:space="preserve">Jemeppe</w:t>
      </w:r>
      <w:r>
        <w:t xml:space="preserve">-sur-</w:t>
      </w:r>
      <w:r>
        <w:t xml:space="preserve">Sambre</w:t>
      </w:r>
      <w:r>
        <w:t xml:space="preserve">, province of</w:t>
      </w:r>
      <w:r>
        <w:t xml:space="preserve"> </w:t>
      </w:r>
      <w:r>
        <w:t xml:space="preserve">Namur</w:t>
      </w:r>
      <w:r>
        <w:t xml:space="preserve">,</w:t>
      </w:r>
      <w:r>
        <w:t xml:space="preserve"> </w:t>
      </w:r>
      <w:r>
        <w:t xml:space="preserve">Belgium</w:t>
      </w:r>
      <w:r>
        <w:t xml:space="preserve">), volume 1, vol. 123/2012, Royal Belgian Institute of Natural Sciences, Royal Belgian Society of Anthropology; Prehistory,; NESPOS Society; 2013, p. 231–55.</w:t>
      </w:r>
    </w:p>
    <w:bookmarkEnd w:id="116"/>
    <w:bookmarkStart w:id="118" w:name="ref-Flas_2015"/>
    <w:p>
      <w:pPr>
        <w:pStyle w:val="Bibliography"/>
      </w:pPr>
      <w:r>
        <w:t xml:space="preserve">[30]</w:t>
      </w:r>
      <w:r>
        <w:t xml:space="preserve"> </w:t>
      </w:r>
      <w:r>
        <w:t xml:space="preserve">	</w:t>
      </w:r>
      <w:r>
        <w:t xml:space="preserve">Flas D. The chronocultural sequence of</w:t>
      </w:r>
      <w:r>
        <w:t xml:space="preserve"> </w:t>
      </w:r>
      <w:r>
        <w:t xml:space="preserve">Belgian</w:t>
      </w:r>
      <w:r>
        <w:t xml:space="preserve"> </w:t>
      </w:r>
      <w:r>
        <w:t xml:space="preserve">complexes in the</w:t>
      </w:r>
      <w:r>
        <w:t xml:space="preserve"> </w:t>
      </w:r>
      <w:r>
        <w:t xml:space="preserve">European</w:t>
      </w:r>
      <w:r>
        <w:t xml:space="preserve"> </w:t>
      </w:r>
      <w:r>
        <w:t xml:space="preserve">Aurignacian</w:t>
      </w:r>
      <w:r>
        <w:t xml:space="preserve"> </w:t>
      </w:r>
      <w:r>
        <w:t xml:space="preserve">context. In: White R, Bourrillon R, editors.</w:t>
      </w:r>
      <w:r>
        <w:t xml:space="preserve"> </w:t>
      </w:r>
      <w:r>
        <w:t xml:space="preserve">Aurignacian</w:t>
      </w:r>
      <w:r>
        <w:t xml:space="preserve"> </w:t>
      </w:r>
      <w:r>
        <w:t xml:space="preserve">genius: Art, technology and society of the first modern humans in</w:t>
      </w:r>
      <w:r>
        <w:t xml:space="preserve"> </w:t>
      </w:r>
      <w:r>
        <w:t xml:space="preserve">Europe</w:t>
      </w:r>
      <w:r>
        <w:t xml:space="preserve">, vol. 7, Palethnology, Toulouse; 2015, p. 57–75.</w:t>
      </w:r>
      <w:r>
        <w:t xml:space="preserve"> </w:t>
      </w:r>
      <w:hyperlink r:id="rId117">
        <w:r>
          <w:rPr>
            <w:rStyle w:val="Hyperlink"/>
          </w:rPr>
          <w:t xml:space="preserve">https://doi.org/10.4000/palethnologie.736</w:t>
        </w:r>
      </w:hyperlink>
      <w:r>
        <w:t xml:space="preserve">.</w:t>
      </w:r>
    </w:p>
    <w:bookmarkEnd w:id="118"/>
    <w:bookmarkStart w:id="120" w:name="ref-Schurch_Conard_2026_reassess"/>
    <w:p>
      <w:pPr>
        <w:pStyle w:val="Bibliography"/>
      </w:pPr>
      <w:r>
        <w:t xml:space="preserve">[31]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119">
        <w:r>
          <w:rPr>
            <w:rStyle w:val="Hyperlink"/>
          </w:rPr>
          <w:t xml:space="preserve">https://doi.org/10.1007/s41982-025-00246-x</w:t>
        </w:r>
      </w:hyperlink>
      <w:r>
        <w:t xml:space="preserve">.</w:t>
      </w:r>
    </w:p>
    <w:bookmarkEnd w:id="120"/>
    <w:bookmarkStart w:id="122" w:name="ref-Fletcher_Sánchez"/>
    <w:p>
      <w:pPr>
        <w:pStyle w:val="Bibliography"/>
      </w:pPr>
      <w:r>
        <w:t xml:space="preserve">[32]</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21">
        <w:r>
          <w:rPr>
            <w:rStyle w:val="Hyperlink"/>
          </w:rPr>
          <w:t xml:space="preserve">https://doi.org/10.1016/j.quascirev.2009.11.015</w:t>
        </w:r>
      </w:hyperlink>
      <w:r>
        <w:t xml:space="preserve">.</w:t>
      </w:r>
    </w:p>
    <w:bookmarkEnd w:id="122"/>
    <w:bookmarkStart w:id="124" w:name="ref-Pebesma_2018"/>
    <w:p>
      <w:pPr>
        <w:pStyle w:val="Bibliography"/>
      </w:pPr>
      <w:r>
        <w:t xml:space="preserve">[33]</w:t>
      </w:r>
      <w:r>
        <w:t xml:space="preserve"> </w:t>
      </w:r>
      <w:r>
        <w:t xml:space="preserve">	</w:t>
      </w:r>
      <w:r>
        <w:t xml:space="preserve">Pebesma E. Simple features for</w:t>
      </w:r>
      <w:r>
        <w:t xml:space="preserve"> </w:t>
      </w:r>
      <w:r>
        <w:t xml:space="preserve">R</w:t>
      </w:r>
      <w:r>
        <w:t xml:space="preserve">: Standardized support for spatial vector data. The R Journal 2018;10:439–46.</w:t>
      </w:r>
      <w:r>
        <w:t xml:space="preserve"> </w:t>
      </w:r>
      <w:hyperlink r:id="rId123">
        <w:r>
          <w:rPr>
            <w:rStyle w:val="Hyperlink"/>
          </w:rPr>
          <w:t xml:space="preserve">https://doi.org/10.32614/rj-2018-009</w:t>
        </w:r>
      </w:hyperlink>
      <w:r>
        <w:t xml:space="preserve">.</w:t>
      </w:r>
    </w:p>
    <w:bookmarkEnd w:id="124"/>
    <w:bookmarkStart w:id="126" w:name="ref-rnaturalearth"/>
    <w:p>
      <w:pPr>
        <w:pStyle w:val="Bibliography"/>
      </w:pPr>
      <w:r>
        <w:t xml:space="preserve">[34]</w:t>
      </w:r>
      <w:r>
        <w:t xml:space="preserve"> </w:t>
      </w:r>
      <w:r>
        <w:t xml:space="preserve">	</w:t>
      </w:r>
      <w:r>
        <w:t xml:space="preserve">Massicotte P, South A.</w:t>
      </w:r>
      <w:r>
        <w:t xml:space="preserve"> </w:t>
      </w:r>
      <w:hyperlink r:id="rId125">
        <w:r>
          <w:rPr>
            <w:rStyle w:val="Hyperlink"/>
          </w:rPr>
          <w:t xml:space="preserve">Rnaturalearth: World map data from</w:t>
        </w:r>
        <w:r>
          <w:rPr>
            <w:rStyle w:val="Hyperlink"/>
          </w:rPr>
          <w:t xml:space="preserve"> </w:t>
        </w:r>
        <w:r>
          <w:rPr>
            <w:rStyle w:val="Hyperlink"/>
          </w:rPr>
          <w:t xml:space="preserve">Natural Earth</w:t>
        </w:r>
      </w:hyperlink>
      <w:r>
        <w:t xml:space="preserve">. 2026.</w:t>
      </w:r>
    </w:p>
    <w:bookmarkEnd w:id="126"/>
    <w:bookmarkStart w:id="128" w:name="ref-Crema_Bevan_2021"/>
    <w:p>
      <w:pPr>
        <w:pStyle w:val="Bibliography"/>
      </w:pPr>
      <w:r>
        <w:t xml:space="preserve">[35]</w:t>
      </w:r>
      <w:r>
        <w:t xml:space="preserve"> </w:t>
      </w:r>
      <w:r>
        <w:t xml:space="preserve">	</w:t>
      </w:r>
      <w:r>
        <w:t xml:space="preserve">Crema ER, Bevan A. Inference from large sets of radiocarbon dates: Software and methods. Radiocarbon 2021;63:23–39.</w:t>
      </w:r>
      <w:r>
        <w:t xml:space="preserve"> </w:t>
      </w:r>
      <w:hyperlink r:id="rId127">
        <w:r>
          <w:rPr>
            <w:rStyle w:val="Hyperlink"/>
          </w:rPr>
          <w:t xml:space="preserve">https://doi.org/10.1017/RDC.2020.95</w:t>
        </w:r>
      </w:hyperlink>
      <w:r>
        <w:t xml:space="preserve">.</w:t>
      </w:r>
    </w:p>
    <w:bookmarkEnd w:id="128"/>
    <w:bookmarkStart w:id="130" w:name="ref-Lycett_2019"/>
    <w:p>
      <w:pPr>
        <w:pStyle w:val="Bibliography"/>
      </w:pPr>
      <w:r>
        <w:t xml:space="preserve">[36]</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29">
        <w:r>
          <w:rPr>
            <w:rStyle w:val="Hyperlink"/>
          </w:rPr>
          <w:t xml:space="preserve">https://doi.org/10.1007/s12520-018-0742-3</w:t>
        </w:r>
      </w:hyperlink>
      <w:r>
        <w:t xml:space="preserve">.</w:t>
      </w:r>
    </w:p>
    <w:bookmarkEnd w:id="130"/>
    <w:bookmarkStart w:id="132" w:name="ref-Mantel_Smouse"/>
    <w:p>
      <w:pPr>
        <w:pStyle w:val="Bibliography"/>
      </w:pPr>
      <w:r>
        <w:t xml:space="preserve">[37]</w:t>
      </w:r>
      <w:r>
        <w:t xml:space="preserve"> </w:t>
      </w:r>
      <w:r>
        <w:t xml:space="preserve">	</w:t>
      </w:r>
      <w:r>
        <w:t xml:space="preserve">Smouse PE, Long JC. Matrix correlation analysis in anthropology and genetics. American Journal of Physical Anthropology 1992;35:187–213.</w:t>
      </w:r>
      <w:r>
        <w:t xml:space="preserve"> </w:t>
      </w:r>
      <w:hyperlink r:id="rId131">
        <w:r>
          <w:rPr>
            <w:rStyle w:val="Hyperlink"/>
          </w:rPr>
          <w:t xml:space="preserve">https://doi.org/10.1002/ajpa.1330350608</w:t>
        </w:r>
      </w:hyperlink>
      <w:r>
        <w:t xml:space="preserve">.</w:t>
      </w:r>
    </w:p>
    <w:bookmarkEnd w:id="132"/>
    <w:bookmarkStart w:id="134" w:name="ref-Vegan2001"/>
    <w:p>
      <w:pPr>
        <w:pStyle w:val="Bibliography"/>
      </w:pPr>
      <w:r>
        <w:t xml:space="preserve">[38]</w:t>
      </w:r>
      <w:r>
        <w:t xml:space="preserve"> </w:t>
      </w:r>
      <w:r>
        <w:t xml:space="preserve">	</w:t>
      </w:r>
      <w:r>
        <w:t xml:space="preserve">Oksanen J, Simpson GL, Blanchet FG, Kindt R, Legendre P, Minchin PR, et al. Vegan: Community ecology package 2023.</w:t>
      </w:r>
      <w:r>
        <w:t xml:space="preserve"> </w:t>
      </w:r>
      <w:hyperlink r:id="rId133">
        <w:r>
          <w:rPr>
            <w:rStyle w:val="Hyperlink"/>
          </w:rPr>
          <w:t xml:space="preserve">https://doi.org/10.32614/CRAN.package.vegan</w:t>
        </w:r>
      </w:hyperlink>
      <w:r>
        <w:t xml:space="preserve">.</w:t>
      </w:r>
    </w:p>
    <w:bookmarkEnd w:id="134"/>
    <w:bookmarkStart w:id="136" w:name="ref-Rigaud_dErrico_Vanhaeren_2015"/>
    <w:p>
      <w:pPr>
        <w:pStyle w:val="Bibliography"/>
      </w:pPr>
      <w:r>
        <w:t xml:space="preserve">[39]</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35">
        <w:r>
          <w:rPr>
            <w:rStyle w:val="Hyperlink"/>
          </w:rPr>
          <w:t xml:space="preserve">https://doi.org/10.1371/journal.pone.0121166</w:t>
        </w:r>
      </w:hyperlink>
      <w:r>
        <w:t xml:space="preserve">.</w:t>
      </w:r>
    </w:p>
    <w:bookmarkEnd w:id="136"/>
    <w:bookmarkStart w:id="138" w:name="ref-seriation_pckge"/>
    <w:p>
      <w:pPr>
        <w:pStyle w:val="Bibliography"/>
      </w:pPr>
      <w:r>
        <w:t xml:space="preserve">[40]</w:t>
      </w:r>
      <w:r>
        <w:t xml:space="preserve"> </w:t>
      </w:r>
      <w:r>
        <w:t xml:space="preserve">	</w:t>
      </w:r>
      <w:r>
        <w:t xml:space="preserve">Hahsler M, Hornik K, Buchta C. Getting things in order: An introduction to the</w:t>
      </w:r>
      <w:r>
        <w:t xml:space="preserve"> </w:t>
      </w:r>
      <w:r>
        <w:t xml:space="preserve">R</w:t>
      </w:r>
      <w:r>
        <w:t xml:space="preserve"> </w:t>
      </w:r>
      <w:r>
        <w:t xml:space="preserve">package seriation. Journal of Statistical Software 2008;25:1–34.</w:t>
      </w:r>
      <w:r>
        <w:t xml:space="preserve"> </w:t>
      </w:r>
      <w:hyperlink r:id="rId137">
        <w:r>
          <w:rPr>
            <w:rStyle w:val="Hyperlink"/>
          </w:rPr>
          <w:t xml:space="preserve">https://doi.org/10.18637/jss.v025.i03</w:t>
        </w:r>
      </w:hyperlink>
      <w:r>
        <w:t xml:space="preserve">.</w:t>
      </w:r>
    </w:p>
    <w:bookmarkEnd w:id="138"/>
    <w:bookmarkStart w:id="140" w:name="ref-Brower_Kile_1988"/>
    <w:p>
      <w:pPr>
        <w:pStyle w:val="Bibliography"/>
      </w:pPr>
      <w:r>
        <w:t xml:space="preserve">[41]</w:t>
      </w:r>
      <w:r>
        <w:t xml:space="preserve"> </w:t>
      </w:r>
      <w:r>
        <w:t xml:space="preserve">	</w:t>
      </w:r>
      <w:r>
        <w:t xml:space="preserve">Brower JC, Kile KM. Seriation of an original data matrix as applied to paleoecology. Lethaia 1988;21:79–93.</w:t>
      </w:r>
      <w:r>
        <w:t xml:space="preserve"> </w:t>
      </w:r>
      <w:hyperlink r:id="rId139">
        <w:r>
          <w:rPr>
            <w:rStyle w:val="Hyperlink"/>
          </w:rPr>
          <w:t xml:space="preserve">https://doi.org/10.1111/j.1502-3931.1988.tb01756.x</w:t>
        </w:r>
      </w:hyperlink>
      <w:r>
        <w:t xml:space="preserve">.</w:t>
      </w:r>
    </w:p>
    <w:bookmarkEnd w:id="140"/>
    <w:bookmarkStart w:id="142" w:name="ref-Mills_2017"/>
    <w:p>
      <w:pPr>
        <w:pStyle w:val="Bibliography"/>
      </w:pPr>
      <w:r>
        <w:t xml:space="preserve">[42]</w:t>
      </w:r>
      <w:r>
        <w:t xml:space="preserve"> </w:t>
      </w:r>
      <w:r>
        <w:t xml:space="preserve">	</w:t>
      </w:r>
      <w:r>
        <w:t xml:space="preserve">Mills BJ. Social network analysis in archaeology. Annual Review of Anthropology 2017;46:379–97.</w:t>
      </w:r>
      <w:r>
        <w:t xml:space="preserve"> </w:t>
      </w:r>
      <w:hyperlink r:id="rId141">
        <w:r>
          <w:rPr>
            <w:rStyle w:val="Hyperlink"/>
          </w:rPr>
          <w:t xml:space="preserve">https://doi.org/10.1146/annurev-anthro-102116-041423</w:t>
        </w:r>
      </w:hyperlink>
      <w:r>
        <w:t xml:space="preserve">.</w:t>
      </w:r>
    </w:p>
    <w:bookmarkEnd w:id="142"/>
    <w:bookmarkStart w:id="144" w:name="ref-Fruchterman_Reingold_1991"/>
    <w:p>
      <w:pPr>
        <w:pStyle w:val="Bibliography"/>
      </w:pPr>
      <w:r>
        <w:t xml:space="preserve">[43]</w:t>
      </w:r>
      <w:r>
        <w:t xml:space="preserve"> </w:t>
      </w:r>
      <w:r>
        <w:t xml:space="preserve">	</w:t>
      </w:r>
      <w:r>
        <w:t xml:space="preserve">Fruchterman TMJ, Reingold EM. Graph drawing by force-directed placement. Software: Practice and Experience 1991;21:1129–64.</w:t>
      </w:r>
      <w:r>
        <w:t xml:space="preserve"> </w:t>
      </w:r>
      <w:hyperlink r:id="rId143">
        <w:r>
          <w:rPr>
            <w:rStyle w:val="Hyperlink"/>
          </w:rPr>
          <w:t xml:space="preserve">https://doi.org/10.1002/spe.4380211102</w:t>
        </w:r>
      </w:hyperlink>
      <w:r>
        <w:t xml:space="preserve">.</w:t>
      </w:r>
    </w:p>
    <w:bookmarkEnd w:id="144"/>
    <w:bookmarkStart w:id="146" w:name="ref-statnet_package"/>
    <w:p>
      <w:pPr>
        <w:pStyle w:val="Bibliography"/>
      </w:pPr>
      <w:r>
        <w:t xml:space="preserve">[44]</w:t>
      </w:r>
      <w:r>
        <w:t xml:space="preserve"> </w:t>
      </w:r>
      <w:r>
        <w:t xml:space="preserve">	</w:t>
      </w:r>
      <w:r>
        <w:t xml:space="preserve">Handcock MS, Hunter DR, Butts CT, Goodreau SM, Krivitsky PN, Bender-deMoll S, et al.</w:t>
      </w:r>
      <w:r>
        <w:t xml:space="preserve"> </w:t>
      </w:r>
      <w:hyperlink r:id="rId145">
        <w:r>
          <w:rPr>
            <w:rStyle w:val="Hyperlink"/>
          </w:rPr>
          <w:t xml:space="preserve">Statnet: Software tools for the statistical analysis of network data</w:t>
        </w:r>
      </w:hyperlink>
      <w:r>
        <w:t xml:space="preserve"> </w:t>
      </w:r>
      <w:r>
        <w:t xml:space="preserve">2019.</w:t>
      </w:r>
    </w:p>
    <w:bookmarkEnd w:id="146"/>
    <w:bookmarkStart w:id="148" w:name="ref-igraph_package"/>
    <w:p>
      <w:pPr>
        <w:pStyle w:val="Bibliography"/>
      </w:pPr>
      <w:r>
        <w:t xml:space="preserve">[45]</w:t>
      </w:r>
      <w:r>
        <w:t xml:space="preserve"> </w:t>
      </w:r>
      <w:r>
        <w:t xml:space="preserve">	</w:t>
      </w:r>
      <w:r>
        <w:t xml:space="preserve">Csardi G, Nepusz T.</w:t>
      </w:r>
      <w:r>
        <w:t xml:space="preserve"> </w:t>
      </w:r>
      <w:hyperlink r:id="rId147">
        <w:r>
          <w:rPr>
            <w:rStyle w:val="Hyperlink"/>
          </w:rPr>
          <w:t xml:space="preserve">The igraph software package for complex network research</w:t>
        </w:r>
      </w:hyperlink>
      <w:r>
        <w:t xml:space="preserve">. InterJournal 2006;Complex Systems:1695.</w:t>
      </w:r>
    </w:p>
    <w:bookmarkEnd w:id="148"/>
    <w:bookmarkStart w:id="150" w:name="ref-Anderson_2017"/>
    <w:p>
      <w:pPr>
        <w:pStyle w:val="Bibliography"/>
      </w:pPr>
      <w:r>
        <w:t xml:space="preserve">[46]</w:t>
      </w:r>
      <w:r>
        <w:t xml:space="preserve"> </w:t>
      </w:r>
      <w:r>
        <w:t xml:space="preserve">	</w:t>
      </w:r>
      <w:r>
        <w:t xml:space="preserve">Anderson MJ. Permutational multivariate analysis of variance (</w:t>
      </w:r>
      <w:r>
        <w:t xml:space="preserve">PERMANOVA</w:t>
      </w:r>
      <w:r>
        <w:t xml:space="preserve">). Wiley StatsRef: Statistics reference online, John Wiley &amp; Sons, Ltd; 2017, p. 1–15.</w:t>
      </w:r>
      <w:r>
        <w:t xml:space="preserve"> </w:t>
      </w:r>
      <w:hyperlink r:id="rId149">
        <w:r>
          <w:rPr>
            <w:rStyle w:val="Hyperlink"/>
          </w:rPr>
          <w:t xml:space="preserve">https://doi.org/10.1002/9781118445112.stat07841</w:t>
        </w:r>
      </w:hyperlink>
      <w:r>
        <w:t xml:space="preserve">.</w:t>
      </w:r>
    </w:p>
    <w:bookmarkEnd w:id="150"/>
    <w:bookmarkStart w:id="152" w:name="ref-Shennan_Crema_Kerig_2015"/>
    <w:p>
      <w:pPr>
        <w:pStyle w:val="Bibliography"/>
      </w:pPr>
      <w:r>
        <w:t xml:space="preserve">[47]</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51">
        <w:r>
          <w:rPr>
            <w:rStyle w:val="Hyperlink"/>
          </w:rPr>
          <w:t xml:space="preserve">https://doi.org/10.1016/j.evolhumbehav.2014.09.006</w:t>
        </w:r>
      </w:hyperlink>
      <w:r>
        <w:t xml:space="preserve">.</w:t>
      </w:r>
    </w:p>
    <w:bookmarkEnd w:id="152"/>
    <w:bookmarkStart w:id="154" w:name="ref-Marwick2017"/>
    <w:p>
      <w:pPr>
        <w:pStyle w:val="Bibliography"/>
      </w:pPr>
      <w:r>
        <w:t xml:space="preserve">[48]</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153">
        <w:r>
          <w:rPr>
            <w:rStyle w:val="Hyperlink"/>
          </w:rPr>
          <w:t xml:space="preserve">https://doi.org/10.1007/s10816-015-9272-9</w:t>
        </w:r>
      </w:hyperlink>
      <w:r>
        <w:t xml:space="preserve">.</w:t>
      </w:r>
    </w:p>
    <w:bookmarkEnd w:id="154"/>
    <w:bookmarkStart w:id="156" w:name="ref-Marwick_2025"/>
    <w:p>
      <w:pPr>
        <w:pStyle w:val="Bibliography"/>
      </w:pPr>
      <w:r>
        <w:t xml:space="preserve">[49]</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155">
        <w:r>
          <w:rPr>
            <w:rStyle w:val="Hyperlink"/>
          </w:rPr>
          <w:t xml:space="preserve">https://doi.org/10.1016/j.jas.2025.106281</w:t>
        </w:r>
      </w:hyperlink>
      <w:r>
        <w:t xml:space="preserve">.</w:t>
      </w:r>
    </w:p>
    <w:bookmarkEnd w:id="156"/>
    <w:bookmarkStart w:id="158" w:name="ref-Finlayson_Warren_2017"/>
    <w:p>
      <w:pPr>
        <w:pStyle w:val="Bibliography"/>
      </w:pPr>
      <w:r>
        <w:t xml:space="preserve">[50]</w:t>
      </w:r>
      <w:r>
        <w:t xml:space="preserve"> </w:t>
      </w:r>
      <w:r>
        <w:t xml:space="preserve">	</w:t>
      </w:r>
      <w:r>
        <w:t xml:space="preserve">Finlayson B, Warren G.</w:t>
      </w:r>
      <w:r>
        <w:t xml:space="preserve"> </w:t>
      </w:r>
      <w:hyperlink r:id="rId157">
        <w:r>
          <w:rPr>
            <w:rStyle w:val="Hyperlink"/>
          </w:rPr>
          <w:t xml:space="preserve">The diversity of hunter-gatherer pasts: An introduction</w:t>
        </w:r>
      </w:hyperlink>
      <w:r>
        <w:t xml:space="preserve">. In: Finlayson B, Warren G, editors. The diversity of hunter gatherer pasts. 1st ed., Oxbow Books; 2017, p. 1–14.</w:t>
      </w:r>
    </w:p>
    <w:bookmarkEnd w:id="158"/>
    <w:bookmarkStart w:id="160" w:name="ref-Riches_1995"/>
    <w:p>
      <w:pPr>
        <w:pStyle w:val="Bibliography"/>
      </w:pPr>
      <w:r>
        <w:t xml:space="preserve">[51]</w:t>
      </w:r>
      <w:r>
        <w:t xml:space="preserve"> </w:t>
      </w:r>
      <w:r>
        <w:t xml:space="preserve">	</w:t>
      </w:r>
      <w:r>
        <w:t xml:space="preserve">Riches D. Hunter-gatherer structural transformations. The Journal of the Royal Anthropological Institute 1995;1:679–701.</w:t>
      </w:r>
      <w:r>
        <w:t xml:space="preserve"> </w:t>
      </w:r>
      <w:hyperlink r:id="rId159">
        <w:r>
          <w:rPr>
            <w:rStyle w:val="Hyperlink"/>
          </w:rPr>
          <w:t xml:space="preserve">https://doi.org/10.2307/3034956</w:t>
        </w:r>
      </w:hyperlink>
      <w:r>
        <w:t xml:space="preserve">.</w:t>
      </w:r>
    </w:p>
    <w:bookmarkEnd w:id="160"/>
    <w:bookmarkStart w:id="162" w:name="ref-Price_Brown_1985"/>
    <w:p>
      <w:pPr>
        <w:pStyle w:val="Bibliography"/>
      </w:pPr>
      <w:r>
        <w:t xml:space="preserve">[52]</w:t>
      </w:r>
      <w:r>
        <w:t xml:space="preserve"> </w:t>
      </w:r>
      <w:r>
        <w:t xml:space="preserve">	</w:t>
      </w:r>
      <w:r>
        <w:t xml:space="preserve">Price TD, Brown JA. Aspects of hunter–gatherer complexity. In: Price TD, Brown JA, editors. Prehistoric hunters-gatherers, Academic Press; 1985, p. 3–20.</w:t>
      </w:r>
      <w:r>
        <w:t xml:space="preserve"> </w:t>
      </w:r>
      <w:hyperlink r:id="rId161">
        <w:r>
          <w:rPr>
            <w:rStyle w:val="Hyperlink"/>
          </w:rPr>
          <w:t xml:space="preserve">https://doi.org/10.1016/B978-0-12-564750-2.50006-8</w:t>
        </w:r>
      </w:hyperlink>
      <w:r>
        <w:t xml:space="preserve">.</w:t>
      </w:r>
    </w:p>
    <w:bookmarkEnd w:id="162"/>
    <w:bookmarkStart w:id="164" w:name="ref-Lane_2017"/>
    <w:p>
      <w:pPr>
        <w:pStyle w:val="Bibliography"/>
      </w:pPr>
      <w:r>
        <w:t xml:space="preserve">[53]</w:t>
      </w:r>
      <w:r>
        <w:t xml:space="preserve"> </w:t>
      </w:r>
      <w:r>
        <w:t xml:space="preserve">	</w:t>
      </w:r>
      <w:r>
        <w:t xml:space="preserve">Lane PJ.</w:t>
      </w:r>
      <w:r>
        <w:t xml:space="preserve"> </w:t>
      </w:r>
      <w:hyperlink r:id="rId163">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64"/>
    <w:bookmarkStart w:id="165" w:name="ref-Pate_2006"/>
    <w:p>
      <w:pPr>
        <w:pStyle w:val="Bibliography"/>
      </w:pPr>
      <w:r>
        <w:t xml:space="preserve">[54]</w:t>
      </w:r>
      <w:r>
        <w:t xml:space="preserve"> </w:t>
      </w:r>
      <w:r>
        <w:t xml:space="preserve">	</w:t>
      </w:r>
      <w:r>
        <w:t xml:space="preserve">Pate F. Hunter-gatherer social complexity at</w:t>
      </w:r>
      <w:r>
        <w:t xml:space="preserve"> </w:t>
      </w:r>
      <w:r>
        <w:t xml:space="preserve">Roonka Flat</w:t>
      </w:r>
      <w:r>
        <w:t xml:space="preserve">,</w:t>
      </w:r>
      <w:r>
        <w:t xml:space="preserve"> </w:t>
      </w:r>
      <w:r>
        <w:t xml:space="preserve">South Australia</w:t>
      </w:r>
      <w:r>
        <w:t xml:space="preserve">. In: David B, Barker B, McNiven IJ, editors. The social archaeology of</w:t>
      </w:r>
      <w:r>
        <w:t xml:space="preserve"> </w:t>
      </w:r>
      <w:r>
        <w:t xml:space="preserve">Australian</w:t>
      </w:r>
      <w:r>
        <w:t xml:space="preserve"> </w:t>
      </w:r>
      <w:r>
        <w:t xml:space="preserve">Indigenous</w:t>
      </w:r>
      <w:r>
        <w:t xml:space="preserve"> </w:t>
      </w:r>
      <w:r>
        <w:t xml:space="preserve">societies, Aboriginal Studies Press; 2006, p. 226–41.</w:t>
      </w:r>
    </w:p>
    <w:bookmarkEnd w:id="165"/>
    <w:bookmarkStart w:id="167" w:name="ref-Johnson_2014"/>
    <w:p>
      <w:pPr>
        <w:pStyle w:val="Bibliography"/>
      </w:pPr>
      <w:r>
        <w:t xml:space="preserve">[55]</w:t>
      </w:r>
      <w:r>
        <w:t xml:space="preserve"> </w:t>
      </w:r>
      <w:r>
        <w:t xml:space="preserve">	</w:t>
      </w:r>
      <w:r>
        <w:t xml:space="preserve">Johnson AL. Exploring adaptive variation among hunter-gatherers with</w:t>
      </w:r>
      <w:r>
        <w:t xml:space="preserve"> </w:t>
      </w:r>
      <w:r>
        <w:t xml:space="preserve">Binford</w:t>
      </w:r>
      <w:r>
        <w:t xml:space="preserve">’s frames of reference. Journal of Archaeological Research 2014;22:1–42.</w:t>
      </w:r>
      <w:r>
        <w:t xml:space="preserve"> </w:t>
      </w:r>
      <w:hyperlink r:id="rId166">
        <w:r>
          <w:rPr>
            <w:rStyle w:val="Hyperlink"/>
          </w:rPr>
          <w:t xml:space="preserve">https://doi.org/10.1007/s10814-013-9068-y</w:t>
        </w:r>
      </w:hyperlink>
      <w:r>
        <w:t xml:space="preserve">.</w:t>
      </w:r>
    </w:p>
    <w:bookmarkEnd w:id="167"/>
    <w:bookmarkStart w:id="169" w:name="ref-Singh_Glowacki_2022"/>
    <w:p>
      <w:pPr>
        <w:pStyle w:val="Bibliography"/>
      </w:pPr>
      <w:r>
        <w:t xml:space="preserve">[56]</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w:t>
      </w:r>
      <w:r>
        <w:t xml:space="preserve"> </w:t>
      </w:r>
      <w:hyperlink r:id="rId168">
        <w:r>
          <w:rPr>
            <w:rStyle w:val="Hyperlink"/>
          </w:rPr>
          <w:t xml:space="preserve">https://doi.org/10.1016/j.evolhumbehav.2022.07.003</w:t>
        </w:r>
      </w:hyperlink>
      <w:r>
        <w:t xml:space="preserve">.</w:t>
      </w:r>
    </w:p>
    <w:bookmarkEnd w:id="169"/>
    <w:bookmarkStart w:id="171" w:name="ref-Schwendler_2012"/>
    <w:p>
      <w:pPr>
        <w:pStyle w:val="Bibliography"/>
      </w:pPr>
      <w:r>
        <w:t xml:space="preserve">[57]</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w:t>
      </w:r>
      <w:r>
        <w:t xml:space="preserve"> </w:t>
      </w:r>
      <w:r>
        <w:t xml:space="preserve">BP</w:t>
      </w:r>
      <w:r>
        <w:t xml:space="preserve">. Quaternary International 2012;272–273:333–53.</w:t>
      </w:r>
      <w:r>
        <w:t xml:space="preserve"> </w:t>
      </w:r>
      <w:hyperlink r:id="rId170">
        <w:r>
          <w:rPr>
            <w:rStyle w:val="Hyperlink"/>
          </w:rPr>
          <w:t xml:space="preserve">https://doi.org/10.1016/j.quaint.2012.03.054</w:t>
        </w:r>
      </w:hyperlink>
      <w:r>
        <w:t xml:space="preserve">.</w:t>
      </w:r>
    </w:p>
    <w:bookmarkEnd w:id="171"/>
    <w:bookmarkStart w:id="173" w:name="ref-Morwood_1987"/>
    <w:p>
      <w:pPr>
        <w:pStyle w:val="Bibliography"/>
      </w:pPr>
      <w:r>
        <w:t xml:space="preserve">[58]</w:t>
      </w:r>
      <w:r>
        <w:t xml:space="preserve"> </w:t>
      </w:r>
      <w:r>
        <w:t xml:space="preserve">	</w:t>
      </w:r>
      <w:r>
        <w:t xml:space="preserve">Morwood MJ. The archaeology of social complexity in</w:t>
      </w:r>
      <w:r>
        <w:t xml:space="preserve"> </w:t>
      </w:r>
      <w:r>
        <w:t xml:space="preserve">South</w:t>
      </w:r>
      <w:r>
        <w:t xml:space="preserve">-east</w:t>
      </w:r>
      <w:r>
        <w:t xml:space="preserve"> </w:t>
      </w:r>
      <w:r>
        <w:t xml:space="preserve">Queensland</w:t>
      </w:r>
      <w:r>
        <w:t xml:space="preserve">. Proceedings of the Prehistoric Society 1987;53:337–50.</w:t>
      </w:r>
      <w:r>
        <w:t xml:space="preserve"> </w:t>
      </w:r>
      <w:hyperlink r:id="rId172">
        <w:r>
          <w:rPr>
            <w:rStyle w:val="Hyperlink"/>
          </w:rPr>
          <w:t xml:space="preserve">https://doi.org/10.1017/S0079497X00006265</w:t>
        </w:r>
      </w:hyperlink>
      <w:r>
        <w:t xml:space="preserve">.</w:t>
      </w:r>
    </w:p>
    <w:bookmarkEnd w:id="173"/>
    <w:bookmarkStart w:id="175" w:name="ref-Mattson_2021"/>
    <w:p>
      <w:pPr>
        <w:pStyle w:val="Bibliography"/>
      </w:pPr>
      <w:r>
        <w:t xml:space="preserve">[59]</w:t>
      </w:r>
      <w:r>
        <w:t xml:space="preserve"> </w:t>
      </w:r>
      <w:r>
        <w:t xml:space="preserve">	</w:t>
      </w:r>
      <w:r>
        <w:t xml:space="preserve">Mattson HV. Personal adornment and identity construction in archaeology: An introduction. In: Mattson HV, editor. Personal adornment and the construction of identity, Oxbow Books; 2021, p. 1–24.</w:t>
      </w:r>
      <w:r>
        <w:t xml:space="preserve"> </w:t>
      </w:r>
      <w:hyperlink r:id="rId174">
        <w:r>
          <w:rPr>
            <w:rStyle w:val="Hyperlink"/>
          </w:rPr>
          <w:t xml:space="preserve">https://doi.org/10.2307/j.ctv24q4z2g.5</w:t>
        </w:r>
      </w:hyperlink>
      <w:r>
        <w:t xml:space="preserve">.</w:t>
      </w:r>
    </w:p>
    <w:bookmarkEnd w:id="175"/>
    <w:bookmarkStart w:id="176" w:name="ref-Larsson_2006"/>
    <w:p>
      <w:pPr>
        <w:pStyle w:val="Bibliography"/>
      </w:pPr>
      <w:r>
        <w:t xml:space="preserve">[60]</w:t>
      </w:r>
      <w:r>
        <w:t xml:space="preserve"> </w:t>
      </w:r>
      <w:r>
        <w:t xml:space="preserve">	</w:t>
      </w:r>
      <w:r>
        <w:t xml:space="preserve">Larsson L. A tooth for a tooth: Tooth ornaments from the graves at the cemeteries of</w:t>
      </w:r>
      <w:r>
        <w:t xml:space="preserve"> </w:t>
      </w:r>
      <w:r>
        <w:t xml:space="preserve">Zvejnieki</w:t>
      </w:r>
      <w:r>
        <w:t xml:space="preserve">. In: Larsson L, Zagorska I, editors. Back to the origin: New research in the</w:t>
      </w:r>
      <w:r>
        <w:t xml:space="preserve"> </w:t>
      </w:r>
      <w:r>
        <w:t xml:space="preserve">Mesolithic</w:t>
      </w:r>
      <w:r>
        <w:t xml:space="preserve">-</w:t>
      </w:r>
      <w:r>
        <w:t xml:space="preserve">Neolithic</w:t>
      </w:r>
      <w:r>
        <w:t xml:space="preserve"> </w:t>
      </w:r>
      <w:r>
        <w:t xml:space="preserve">Zvejnieki</w:t>
      </w:r>
      <w:r>
        <w:t xml:space="preserve"> </w:t>
      </w:r>
      <w:r>
        <w:t xml:space="preserve">cemetery and environment,</w:t>
      </w:r>
      <w:r>
        <w:t xml:space="preserve"> </w:t>
      </w:r>
      <w:r>
        <w:t xml:space="preserve">Northern Latvia</w:t>
      </w:r>
      <w:r>
        <w:t xml:space="preserve">, vol. 52, Almqvist &amp; Wiksell International; 2006, p. 253–87.</w:t>
      </w:r>
    </w:p>
    <w:bookmarkEnd w:id="176"/>
    <w:bookmarkStart w:id="178" w:name="ref-Moore_2010"/>
    <w:p>
      <w:pPr>
        <w:pStyle w:val="Bibliography"/>
      </w:pPr>
      <w:r>
        <w:t xml:space="preserve">[61]</w:t>
      </w:r>
      <w:r>
        <w:t xml:space="preserve"> </w:t>
      </w:r>
      <w:r>
        <w:t xml:space="preserve">	</w:t>
      </w:r>
      <w:r>
        <w:t xml:space="preserve">Moore CR. A macroscopic investigation of technological style and the production of</w:t>
      </w:r>
      <w:r>
        <w:t xml:space="preserve"> </w:t>
      </w:r>
      <w:r>
        <w:t xml:space="preserve">Middle to Late Archaic</w:t>
      </w:r>
      <w:r>
        <w:t xml:space="preserve"> </w:t>
      </w:r>
      <w:r>
        <w:t xml:space="preserve">fishhooks at the</w:t>
      </w:r>
      <w:r>
        <w:t xml:space="preserve"> </w:t>
      </w:r>
      <w:r>
        <w:t xml:space="preserve">Chiggerville</w:t>
      </w:r>
      <w:r>
        <w:t xml:space="preserve">,</w:t>
      </w:r>
      <w:r>
        <w:t xml:space="preserve"> </w:t>
      </w:r>
      <w:r>
        <w:t xml:space="preserve">Read</w:t>
      </w:r>
      <w:r>
        <w:t xml:space="preserve">, and</w:t>
      </w:r>
      <w:r>
        <w:t xml:space="preserve"> </w:t>
      </w:r>
      <w:r>
        <w:t xml:space="preserve">Baker</w:t>
      </w:r>
      <w:r>
        <w:t xml:space="preserve"> </w:t>
      </w:r>
      <w:r>
        <w:t xml:space="preserve">sites,</w:t>
      </w:r>
      <w:r>
        <w:t xml:space="preserve"> </w:t>
      </w:r>
      <w:r>
        <w:t xml:space="preserve">Western Kentucky</w:t>
      </w:r>
      <w:r>
        <w:t xml:space="preserve">. Southeastern Archaeology 2010;29:197–221.</w:t>
      </w:r>
      <w:r>
        <w:t xml:space="preserve"> </w:t>
      </w:r>
      <w:hyperlink r:id="rId177">
        <w:r>
          <w:rPr>
            <w:rStyle w:val="Hyperlink"/>
          </w:rPr>
          <w:t xml:space="preserve">https://doi.org/10.1179/sea.2010.29.1.013</w:t>
        </w:r>
      </w:hyperlink>
      <w:r>
        <w:t xml:space="preserve">.</w:t>
      </w:r>
    </w:p>
    <w:bookmarkEnd w:id="178"/>
    <w:bookmarkStart w:id="180" w:name="ref-Alfonso-Durrruty_Giles_Misarti2015"/>
    <w:p>
      <w:pPr>
        <w:pStyle w:val="Bibliography"/>
      </w:pPr>
      <w:r>
        <w:t xml:space="preserve">[62]</w:t>
      </w:r>
      <w:r>
        <w:t xml:space="preserve"> </w:t>
      </w:r>
      <w:r>
        <w:t xml:space="preserve">	</w:t>
      </w:r>
      <w:r>
        <w:t xml:space="preserve">Alfonso-Durrruty MP, Giles BT, Misarti N, San Roman M, Morello F. Antiquity and geographic distribution of cranial modification among the prehistoric groups of</w:t>
      </w:r>
      <w:r>
        <w:t xml:space="preserve"> </w:t>
      </w:r>
      <w:r>
        <w:t xml:space="preserve">Fuego-Patagonia</w:t>
      </w:r>
      <w:r>
        <w:t xml:space="preserve">,</w:t>
      </w:r>
      <w:r>
        <w:t xml:space="preserve"> </w:t>
      </w:r>
      <w:r>
        <w:t xml:space="preserve">Chile</w:t>
      </w:r>
      <w:r>
        <w:t xml:space="preserve">. American Journal of Physical Anthropology 2015;158:607–23.</w:t>
      </w:r>
      <w:r>
        <w:t xml:space="preserve"> </w:t>
      </w:r>
      <w:hyperlink r:id="rId179">
        <w:r>
          <w:rPr>
            <w:rStyle w:val="Hyperlink"/>
          </w:rPr>
          <w:t xml:space="preserve">https://doi.org/10.1002/ajpa.22832</w:t>
        </w:r>
      </w:hyperlink>
      <w:r>
        <w:t xml:space="preserve">.</w:t>
      </w:r>
    </w:p>
    <w:bookmarkEnd w:id="180"/>
    <w:bookmarkStart w:id="181" w:name="ref-Vanhaeren_2005"/>
    <w:p>
      <w:pPr>
        <w:pStyle w:val="Bibliography"/>
      </w:pPr>
      <w:r>
        <w:t xml:space="preserve">[63]</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81"/>
    <w:bookmarkStart w:id="183" w:name="ref-Conkey_1985"/>
    <w:p>
      <w:pPr>
        <w:pStyle w:val="Bibliography"/>
      </w:pPr>
      <w:r>
        <w:t xml:space="preserve">[64]</w:t>
      </w:r>
      <w:r>
        <w:t xml:space="preserve"> </w:t>
      </w:r>
      <w:r>
        <w:t xml:space="preserve">	</w:t>
      </w:r>
      <w:r>
        <w:t xml:space="preserve">Conkey MW.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w:t>
      </w:r>
      <w:r>
        <w:t xml:space="preserve"> </w:t>
      </w:r>
      <w:hyperlink r:id="rId182">
        <w:r>
          <w:rPr>
            <w:rStyle w:val="Hyperlink"/>
          </w:rPr>
          <w:t xml:space="preserve">https://doi.org/10.1016/B978-0-12-564750-2.50016-0</w:t>
        </w:r>
      </w:hyperlink>
      <w:r>
        <w:t xml:space="preserve">.</w:t>
      </w:r>
    </w:p>
    <w:bookmarkEnd w:id="183"/>
    <w:bookmarkStart w:id="184" w:name="ref-Conkey_1978"/>
    <w:p>
      <w:pPr>
        <w:pStyle w:val="Bibliography"/>
      </w:pPr>
      <w:r>
        <w:t xml:space="preserve">[65]</w:t>
      </w:r>
      <w:r>
        <w:t xml:space="preserve"> </w:t>
      </w:r>
      <w:r>
        <w:t xml:space="preserve">	</w:t>
      </w:r>
      <w:r>
        <w:t xml:space="preserve">Conkey M. Style and information in cultural evolution: Toward a predictive model for the</w:t>
      </w:r>
      <w:r>
        <w:t xml:space="preserve"> </w:t>
      </w:r>
      <w:r>
        <w:t xml:space="preserve">Paleolithic</w:t>
      </w:r>
      <w:r>
        <w:t xml:space="preserve">. In: Redman CL, Berman MJ, Curtin EV, Langhorne Jr William T., Versaggi NM, Wanser JC, editors. Social archaeology: Beyond subsistence and dating, New York: Academic Press; 1978, p. 61–85.</w:t>
      </w:r>
    </w:p>
    <w:bookmarkEnd w:id="184"/>
    <w:bookmarkStart w:id="186" w:name="ref-Tilley_1982"/>
    <w:p>
      <w:pPr>
        <w:pStyle w:val="Bibliography"/>
      </w:pPr>
      <w:r>
        <w:t xml:space="preserve">[66]</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85">
        <w:r>
          <w:rPr>
            <w:rStyle w:val="Hyperlink"/>
          </w:rPr>
          <w:t xml:space="preserve">https://doi.org/10.1017/CBO9780511558252.004</w:t>
        </w:r>
      </w:hyperlink>
      <w:r>
        <w:t xml:space="preserve">.</w:t>
      </w:r>
    </w:p>
    <w:bookmarkEnd w:id="186"/>
    <w:bookmarkStart w:id="188" w:name="ref-Hodder1979"/>
    <w:p>
      <w:pPr>
        <w:pStyle w:val="Bibliography"/>
      </w:pPr>
      <w:r>
        <w:t xml:space="preserve">[67]</w:t>
      </w:r>
      <w:r>
        <w:t xml:space="preserve"> </w:t>
      </w:r>
      <w:r>
        <w:t xml:space="preserve">	</w:t>
      </w:r>
      <w:r>
        <w:t xml:space="preserve">Hodder I. Economic and social stress and material culture patterning. American Antiquity 1979;44:446–54.</w:t>
      </w:r>
      <w:r>
        <w:t xml:space="preserve"> </w:t>
      </w:r>
      <w:hyperlink r:id="rId187">
        <w:r>
          <w:rPr>
            <w:rStyle w:val="Hyperlink"/>
          </w:rPr>
          <w:t xml:space="preserve">https://doi.org/10.2307/279544</w:t>
        </w:r>
      </w:hyperlink>
      <w:r>
        <w:t xml:space="preserve">.</w:t>
      </w:r>
    </w:p>
    <w:bookmarkEnd w:id="188"/>
    <w:bookmarkStart w:id="190" w:name="ref-Hodder1977"/>
    <w:p>
      <w:pPr>
        <w:pStyle w:val="Bibliography"/>
      </w:pPr>
      <w:r>
        <w:t xml:space="preserve">[68]</w:t>
      </w:r>
      <w:r>
        <w:t xml:space="preserve"> </w:t>
      </w:r>
      <w:r>
        <w:t xml:space="preserve">	</w:t>
      </w:r>
      <w:r>
        <w:t xml:space="preserve">Hodder I. The distribution of material culture items in the</w:t>
      </w:r>
      <w:r>
        <w:t xml:space="preserve"> </w:t>
      </w:r>
      <w:r>
        <w:t xml:space="preserve">Baringo District</w:t>
      </w:r>
      <w:r>
        <w:t xml:space="preserve">,</w:t>
      </w:r>
      <w:r>
        <w:t xml:space="preserve"> </w:t>
      </w:r>
      <w:r>
        <w:t xml:space="preserve">Western Kenya</w:t>
      </w:r>
      <w:r>
        <w:t xml:space="preserve">. Man 1977;12:239–69.</w:t>
      </w:r>
      <w:r>
        <w:t xml:space="preserve"> </w:t>
      </w:r>
      <w:hyperlink r:id="rId189">
        <w:r>
          <w:rPr>
            <w:rStyle w:val="Hyperlink"/>
          </w:rPr>
          <w:t xml:space="preserve">https://doi.org/10.2307/2800797</w:t>
        </w:r>
      </w:hyperlink>
      <w:r>
        <w:t xml:space="preserve">.</w:t>
      </w:r>
    </w:p>
    <w:bookmarkEnd w:id="190"/>
    <w:bookmarkStart w:id="192" w:name="ref-Binford_1990"/>
    <w:p>
      <w:pPr>
        <w:pStyle w:val="Bibliography"/>
      </w:pPr>
      <w:r>
        <w:t xml:space="preserve">[69]</w:t>
      </w:r>
      <w:r>
        <w:t xml:space="preserve"> </w:t>
      </w:r>
      <w:r>
        <w:t xml:space="preserve">	</w:t>
      </w:r>
      <w:r>
        <w:t xml:space="preserve">Binford LR. Mobility, housing, and environment: A comparative study. Journal of Anthropological Research 1990;46:119–52.</w:t>
      </w:r>
      <w:r>
        <w:t xml:space="preserve"> </w:t>
      </w:r>
      <w:hyperlink r:id="rId191">
        <w:r>
          <w:rPr>
            <w:rStyle w:val="Hyperlink"/>
          </w:rPr>
          <w:t xml:space="preserve">https://doi.org/10.1086/jar.46.2.3630069</w:t>
        </w:r>
      </w:hyperlink>
      <w:r>
        <w:t xml:space="preserve">.</w:t>
      </w:r>
    </w:p>
    <w:bookmarkEnd w:id="192"/>
    <w:bookmarkStart w:id="194" w:name="ref-Kelly_1983"/>
    <w:p>
      <w:pPr>
        <w:pStyle w:val="Bibliography"/>
      </w:pPr>
      <w:r>
        <w:t xml:space="preserve">[70]</w:t>
      </w:r>
      <w:r>
        <w:t xml:space="preserve"> </w:t>
      </w:r>
      <w:r>
        <w:t xml:space="preserve">	</w:t>
      </w:r>
      <w:r>
        <w:t xml:space="preserve">Kelly RL. Hunter-gatherer mobility strategies. Journal of Anthropological Research 1983;39:277–306.</w:t>
      </w:r>
      <w:r>
        <w:t xml:space="preserve"> </w:t>
      </w:r>
      <w:hyperlink r:id="rId193">
        <w:r>
          <w:rPr>
            <w:rStyle w:val="Hyperlink"/>
          </w:rPr>
          <w:t xml:space="preserve">https://doi.org/10.1086/jar.39.3.3629672</w:t>
        </w:r>
      </w:hyperlink>
      <w:r>
        <w:t xml:space="preserve">.</w:t>
      </w:r>
    </w:p>
    <w:bookmarkEnd w:id="194"/>
    <w:bookmarkStart w:id="196" w:name="ref-Padilla-Iglesias_Bischoff_2024"/>
    <w:p>
      <w:pPr>
        <w:pStyle w:val="Bibliography"/>
      </w:pPr>
      <w:r>
        <w:t xml:space="preserve">[71]</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w:t>
      </w:r>
      <w:r>
        <w:t xml:space="preserve"> </w:t>
      </w:r>
      <w:hyperlink r:id="rId195">
        <w:r>
          <w:rPr>
            <w:rStyle w:val="Hyperlink"/>
          </w:rPr>
          <w:t xml:space="preserve">https://doi.org/10.1016/j.jasrep.2024.104798</w:t>
        </w:r>
      </w:hyperlink>
      <w:r>
        <w:t xml:space="preserve">.</w:t>
      </w:r>
    </w:p>
    <w:bookmarkEnd w:id="196"/>
    <w:bookmarkStart w:id="198" w:name="ref-Whallon_2006"/>
    <w:p>
      <w:pPr>
        <w:pStyle w:val="Bibliography"/>
      </w:pPr>
      <w:r>
        <w:t xml:space="preserve">[72]</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97">
        <w:r>
          <w:rPr>
            <w:rStyle w:val="Hyperlink"/>
          </w:rPr>
          <w:t xml:space="preserve">https://doi.org/10.1016/j.jaa.2005.11.004</w:t>
        </w:r>
      </w:hyperlink>
      <w:r>
        <w:t xml:space="preserve">.</w:t>
      </w:r>
    </w:p>
    <w:bookmarkEnd w:id="198"/>
    <w:bookmarkStart w:id="199" w:name="ref-Fitzhugh_Phillips_Gjesfeld_2011"/>
    <w:p>
      <w:pPr>
        <w:pStyle w:val="Bibliography"/>
      </w:pPr>
      <w:r>
        <w:t xml:space="preserve">[73]</w:t>
      </w:r>
      <w:r>
        <w:t xml:space="preserve"> </w:t>
      </w:r>
      <w:r>
        <w:t xml:space="preserve">	</w:t>
      </w:r>
      <w:r>
        <w:t xml:space="preserve">Fitzhugh B, Phillips SC, Gjesfjeld E. Modeling hunter-gatherer information networks: An archaeological case study from the</w:t>
      </w:r>
      <w:r>
        <w:t xml:space="preserve"> </w:t>
      </w:r>
      <w:r>
        <w:t xml:space="preserve">Kuril Islands</w:t>
      </w:r>
      <w:r>
        <w:t xml:space="preserve">. In: Whallon R, Lovis WA, Hitchcock RK, editors. Information and its role in hunter-gatherer bands, Cotsen Institute of Archaeology Press at UCLA; 2011, p. 85–116.</w:t>
      </w:r>
    </w:p>
    <w:bookmarkEnd w:id="199"/>
    <w:bookmarkStart w:id="201" w:name="ref-Lovis_Donahue_2011"/>
    <w:p>
      <w:pPr>
        <w:pStyle w:val="Bibliography"/>
      </w:pPr>
      <w:r>
        <w:t xml:space="preserve">[74]</w:t>
      </w:r>
      <w:r>
        <w:t xml:space="preserve"> </w:t>
      </w:r>
      <w:r>
        <w:t xml:space="preserve">	</w:t>
      </w:r>
      <w:r>
        <w:t xml:space="preserve">Lovis WA, Donahue RE. Space, information and knowledge: Ethnocartography and</w:t>
      </w:r>
      <w:r>
        <w:t xml:space="preserve"> </w:t>
      </w:r>
      <w:r>
        <w:t xml:space="preserve">North American</w:t>
      </w:r>
      <w:r>
        <w:t xml:space="preserve"> </w:t>
      </w:r>
      <w:r>
        <w:t xml:space="preserve">Boreal Forest</w:t>
      </w:r>
      <w:r>
        <w:t xml:space="preserve"> </w:t>
      </w:r>
      <w:r>
        <w:t xml:space="preserve">hunter-gatherers. In: Whallon R, Lovis WA, Hitchcock RK, editors. Information and its role in hunter-gatherer bands, Cotsen Institute of Archaeology Press at UCLA; 2011, p. 59–84.</w:t>
      </w:r>
      <w:r>
        <w:t xml:space="preserve"> </w:t>
      </w:r>
      <w:hyperlink r:id="rId200">
        <w:r>
          <w:rPr>
            <w:rStyle w:val="Hyperlink"/>
          </w:rPr>
          <w:t xml:space="preserve">https://doi.org/10.2307/j.ctvdmwwz4.7</w:t>
        </w:r>
      </w:hyperlink>
      <w:r>
        <w:t xml:space="preserve">.</w:t>
      </w:r>
    </w:p>
    <w:bookmarkEnd w:id="201"/>
    <w:bookmarkStart w:id="203" w:name="ref-Hitchcock_Ebert_2011"/>
    <w:p>
      <w:pPr>
        <w:pStyle w:val="Bibliography"/>
      </w:pPr>
      <w:r>
        <w:t xml:space="preserve">[75]</w:t>
      </w:r>
      <w:r>
        <w:t xml:space="preserve"> </w:t>
      </w:r>
      <w:r>
        <w:t xml:space="preserve">	</w:t>
      </w:r>
      <w:r>
        <w:t xml:space="preserve">Hitchcock RK, Ebert JI. Where is that job? Hunter-gatherer information systems in complex social environments in the</w:t>
      </w:r>
      <w:r>
        <w:t xml:space="preserve"> </w:t>
      </w:r>
      <w:r>
        <w:t xml:space="preserve">Eastern Kalahari Desert</w:t>
      </w:r>
      <w:r>
        <w:t xml:space="preserve">,</w:t>
      </w:r>
      <w:r>
        <w:t xml:space="preserve"> </w:t>
      </w:r>
      <w:r>
        <w:t xml:space="preserve">Botswana</w:t>
      </w:r>
      <w:r>
        <w:t xml:space="preserve">. In: Whallon R, Lovis WA, Hitchcock RK, editors. Information and its role in hunter-gatherer bands, Cotsen Institute of Archaeology Press at UCLA; 2011, p. 133–66.</w:t>
      </w:r>
      <w:r>
        <w:t xml:space="preserve"> </w:t>
      </w:r>
      <w:hyperlink r:id="rId202">
        <w:r>
          <w:rPr>
            <w:rStyle w:val="Hyperlink"/>
          </w:rPr>
          <w:t xml:space="preserve">https://doi.org/10.2307/j.ctvdmwwz4.10</w:t>
        </w:r>
      </w:hyperlink>
      <w:r>
        <w:t xml:space="preserve">.</w:t>
      </w:r>
    </w:p>
    <w:bookmarkEnd w:id="203"/>
    <w:bookmarkStart w:id="205" w:name="ref-Romano_Lozano_Fern2022"/>
    <w:p>
      <w:pPr>
        <w:pStyle w:val="Bibliography"/>
      </w:pPr>
      <w:r>
        <w:t xml:space="preserve">[76]</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2022;377:20200318.</w:t>
      </w:r>
      <w:r>
        <w:t xml:space="preserve"> </w:t>
      </w:r>
      <w:hyperlink r:id="rId204">
        <w:r>
          <w:rPr>
            <w:rStyle w:val="Hyperlink"/>
          </w:rPr>
          <w:t xml:space="preserve">https://doi.org/10.1098/rstb.2020.0318</w:t>
        </w:r>
      </w:hyperlink>
      <w:r>
        <w:t xml:space="preserve">.</w:t>
      </w:r>
    </w:p>
    <w:bookmarkEnd w:id="205"/>
    <w:bookmarkStart w:id="207" w:name="ref-Kelly_2024"/>
    <w:p>
      <w:pPr>
        <w:pStyle w:val="Bibliography"/>
      </w:pPr>
      <w:r>
        <w:t xml:space="preserve">[77]</w:t>
      </w:r>
      <w:r>
        <w:t xml:space="preserve"> </w:t>
      </w:r>
      <w:r>
        <w:t xml:space="preserve">	</w:t>
      </w:r>
      <w:r>
        <w:t xml:space="preserve">Kelly P. Comparing</w:t>
      </w:r>
      <w:r>
        <w:t xml:space="preserve"> </w:t>
      </w:r>
      <w:r>
        <w:t xml:space="preserve">Australian</w:t>
      </w:r>
      <w:r>
        <w:t xml:space="preserve"> </w:t>
      </w:r>
      <w:r>
        <w:t xml:space="preserve">message sticks and sequentially marked objects of the</w:t>
      </w:r>
      <w:r>
        <w:t xml:space="preserve"> </w:t>
      </w:r>
      <w:r>
        <w:t xml:space="preserve">Upper Palaeolithic</w:t>
      </w:r>
      <w:r>
        <w:t xml:space="preserve">: Problems and opportunities. Topics in Cognitive Science 2026;18:126–46.</w:t>
      </w:r>
      <w:r>
        <w:t xml:space="preserve"> </w:t>
      </w:r>
      <w:hyperlink r:id="rId206">
        <w:r>
          <w:rPr>
            <w:rStyle w:val="Hyperlink"/>
          </w:rPr>
          <w:t xml:space="preserve">https://doi.org/10.1111/tops.12762</w:t>
        </w:r>
      </w:hyperlink>
      <w:r>
        <w:t xml:space="preserve">.</w:t>
      </w:r>
    </w:p>
    <w:bookmarkEnd w:id="207"/>
    <w:bookmarkStart w:id="209" w:name="ref-Kinahan_2013"/>
    <w:p>
      <w:pPr>
        <w:pStyle w:val="Bibliography"/>
      </w:pPr>
      <w:r>
        <w:t xml:space="preserve">[78]</w:t>
      </w:r>
      <w:r>
        <w:t xml:space="preserve"> </w:t>
      </w:r>
      <w:r>
        <w:t xml:space="preserve">	</w:t>
      </w:r>
      <w:r>
        <w:t xml:space="preserve">Kinahan J. The acquisition of ceramics by hunter-gatherers on the</w:t>
      </w:r>
      <w:r>
        <w:t xml:space="preserve"> </w:t>
      </w:r>
      <w:r>
        <w:t xml:space="preserve">Middle Zambezi</w:t>
      </w:r>
      <w:r>
        <w:t xml:space="preserve"> </w:t>
      </w:r>
      <w:r>
        <w:t xml:space="preserve">in the first and second millennium</w:t>
      </w:r>
      <w:r>
        <w:t xml:space="preserve"> </w:t>
      </w:r>
      <w:r>
        <w:t xml:space="preserve">AD</w:t>
      </w:r>
      <w:r>
        <w:t xml:space="preserve">. Journal of African Archaeology 2013;11:197–209.</w:t>
      </w:r>
      <w:r>
        <w:t xml:space="preserve"> </w:t>
      </w:r>
      <w:hyperlink r:id="rId208">
        <w:r>
          <w:rPr>
            <w:rStyle w:val="Hyperlink"/>
          </w:rPr>
          <w:t xml:space="preserve">https://doi.org/10.3213/2191-5784-10243</w:t>
        </w:r>
      </w:hyperlink>
      <w:r>
        <w:t xml:space="preserve">.</w:t>
      </w:r>
    </w:p>
    <w:bookmarkEnd w:id="209"/>
    <w:bookmarkStart w:id="211" w:name="ref-Newlander_2012"/>
    <w:p>
      <w:pPr>
        <w:pStyle w:val="Bibliography"/>
      </w:pPr>
      <w:r>
        <w:t xml:space="preserve">[79]</w:t>
      </w:r>
      <w:r>
        <w:t xml:space="preserve"> </w:t>
      </w:r>
      <w:r>
        <w:t xml:space="preserve">	</w:t>
      </w:r>
      <w:r>
        <w:t xml:space="preserve">Newlander KS.</w:t>
      </w:r>
      <w:r>
        <w:t xml:space="preserve"> </w:t>
      </w:r>
      <w:hyperlink r:id="rId210">
        <w:r>
          <w:rPr>
            <w:rStyle w:val="Hyperlink"/>
          </w:rPr>
          <w:t xml:space="preserve">Exchange, embedded procurement, and hunter-gatherer mobility: A case study from the</w:t>
        </w:r>
        <w:r>
          <w:rPr>
            <w:rStyle w:val="Hyperlink"/>
          </w:rPr>
          <w:t xml:space="preserve"> </w:t>
        </w:r>
        <w:r>
          <w:rPr>
            <w:rStyle w:val="Hyperlink"/>
          </w:rPr>
          <w:t xml:space="preserve">North</w:t>
        </w:r>
        <w:r>
          <w:rPr>
            <w:rStyle w:val="Hyperlink"/>
          </w:rPr>
          <w:t xml:space="preserve"> </w:t>
        </w:r>
        <w:r>
          <w:rPr>
            <w:rStyle w:val="Hyperlink"/>
          </w:rPr>
          <w:t xml:space="preserve">American</w:t>
        </w:r>
        <w:r>
          <w:rPr>
            <w:rStyle w:val="Hyperlink"/>
          </w:rPr>
          <w:t xml:space="preserve"> </w:t>
        </w:r>
        <w:r>
          <w:rPr>
            <w:rStyle w:val="Hyperlink"/>
          </w:rPr>
          <w:t xml:space="preserve">Great</w:t>
        </w:r>
        <w:r>
          <w:rPr>
            <w:rStyle w:val="Hyperlink"/>
          </w:rPr>
          <w:t xml:space="preserve"> </w:t>
        </w:r>
        <w:r>
          <w:rPr>
            <w:rStyle w:val="Hyperlink"/>
          </w:rPr>
          <w:t xml:space="preserve">Basin</w:t>
        </w:r>
      </w:hyperlink>
      <w:r>
        <w:t xml:space="preserve">. Ph.D. University of Michigan, 2012.</w:t>
      </w:r>
    </w:p>
    <w:bookmarkEnd w:id="211"/>
    <w:bookmarkStart w:id="213" w:name="ref-Iizuka_Ferguson_Izuho_2022"/>
    <w:p>
      <w:pPr>
        <w:pStyle w:val="Bibliography"/>
      </w:pPr>
      <w:r>
        <w:t xml:space="preserve">[80]</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212">
        <w:r>
          <w:rPr>
            <w:rStyle w:val="Hyperlink"/>
          </w:rPr>
          <w:t xml:space="preserve">https://doi.org/10.1371/journal.pone.0265329</w:t>
        </w:r>
      </w:hyperlink>
      <w:r>
        <w:t xml:space="preserve">.</w:t>
      </w:r>
    </w:p>
    <w:bookmarkEnd w:id="213"/>
    <w:bookmarkStart w:id="215" w:name="ref-conkey_agg"/>
    <w:p>
      <w:pPr>
        <w:pStyle w:val="Bibliography"/>
      </w:pPr>
      <w:r>
        <w:t xml:space="preserve">[81]</w:t>
      </w:r>
      <w:r>
        <w:t xml:space="preserve"> </w:t>
      </w:r>
      <w:r>
        <w:t xml:space="preserve">	</w:t>
      </w:r>
      <w:r>
        <w:t xml:space="preserve">Conkey MW. The identification of prehistoric hunter-gatherer aggregation sites: The case of</w:t>
      </w:r>
      <w:r>
        <w:t xml:space="preserve"> </w:t>
      </w:r>
      <w:r>
        <w:t xml:space="preserve">Altamira</w:t>
      </w:r>
      <w:r>
        <w:t xml:space="preserve"> </w:t>
      </w:r>
      <w:r>
        <w:t xml:space="preserve">[and comments and reply]. Current Anthropology 1980;21:609–30.</w:t>
      </w:r>
      <w:r>
        <w:t xml:space="preserve"> </w:t>
      </w:r>
      <w:hyperlink r:id="rId214">
        <w:r>
          <w:rPr>
            <w:rStyle w:val="Hyperlink"/>
          </w:rPr>
          <w:t xml:space="preserve">https://doi.org/10.1086/202540</w:t>
        </w:r>
      </w:hyperlink>
      <w:r>
        <w:t xml:space="preserve">.</w:t>
      </w:r>
    </w:p>
    <w:bookmarkEnd w:id="215"/>
    <w:bookmarkStart w:id="217" w:name="ref-Maher_Conkey_2019"/>
    <w:p>
      <w:pPr>
        <w:pStyle w:val="Bibliography"/>
      </w:pPr>
      <w:r>
        <w:t xml:space="preserve">[82]</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16">
        <w:r>
          <w:rPr>
            <w:rStyle w:val="Hyperlink"/>
          </w:rPr>
          <w:t xml:space="preserve">https://doi.org/10.1086/701523</w:t>
        </w:r>
      </w:hyperlink>
      <w:r>
        <w:t xml:space="preserve">.</w:t>
      </w:r>
    </w:p>
    <w:bookmarkEnd w:id="217"/>
    <w:bookmarkStart w:id="219" w:name="ref-bahn1982inter"/>
    <w:p>
      <w:pPr>
        <w:pStyle w:val="Bibliography"/>
      </w:pPr>
      <w:r>
        <w:t xml:space="preserve">[83]</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r>
        <w:t xml:space="preserve"> </w:t>
      </w:r>
      <w:hyperlink r:id="rId218">
        <w:r>
          <w:rPr>
            <w:rStyle w:val="Hyperlink"/>
          </w:rPr>
          <w:t xml:space="preserve">https://doi.org/10.1111/j.1468-0092.1982.tb00313.x</w:t>
        </w:r>
      </w:hyperlink>
      <w:r>
        <w:t xml:space="preserve">.</w:t>
      </w:r>
    </w:p>
    <w:bookmarkEnd w:id="219"/>
    <w:bookmarkStart w:id="221" w:name="ref-Bourdier_2013"/>
    <w:p>
      <w:pPr>
        <w:pStyle w:val="Bibliography"/>
      </w:pPr>
      <w:r>
        <w:t xml:space="preserve">[84]</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20">
        <w:r>
          <w:rPr>
            <w:rStyle w:val="Hyperlink"/>
          </w:rPr>
          <w:t xml:space="preserve">https://doi.org/10.1016/j.jaa.2013.05.005</w:t>
        </w:r>
      </w:hyperlink>
      <w:r>
        <w:t xml:space="preserve">.</w:t>
      </w:r>
    </w:p>
    <w:bookmarkEnd w:id="221"/>
    <w:bookmarkStart w:id="223" w:name="ref-Svoboda_2013"/>
    <w:p>
      <w:pPr>
        <w:pStyle w:val="Bibliography"/>
      </w:pPr>
      <w:r>
        <w:t xml:space="preserve">[85]</w:t>
      </w:r>
      <w:r>
        <w:t xml:space="preserve"> </w:t>
      </w:r>
      <w:r>
        <w:t xml:space="preserve">	</w:t>
      </w:r>
      <w:r>
        <w:t xml:space="preserve">Svoboda J. Art gravettien de</w:t>
      </w:r>
      <w:r>
        <w:t xml:space="preserve"> </w:t>
      </w:r>
      <w:r>
        <w:t xml:space="preserve">Pavlov</w:t>
      </w:r>
      <w:r>
        <w:t xml:space="preserve"> </w:t>
      </w:r>
      <w:r>
        <w:t xml:space="preserve">i et VI: Comparaison d’un site d’agrégation et d’un site épisodique. Palethnologie Archéologie Et Sciences Humaines 2013;5.</w:t>
      </w:r>
      <w:r>
        <w:t xml:space="preserve"> </w:t>
      </w:r>
      <w:hyperlink r:id="rId222">
        <w:r>
          <w:rPr>
            <w:rStyle w:val="Hyperlink"/>
          </w:rPr>
          <w:t xml:space="preserve">https://doi.org/10.4000/palethnologie.4945</w:t>
        </w:r>
      </w:hyperlink>
      <w:r>
        <w:t xml:space="preserve">.</w:t>
      </w:r>
    </w:p>
    <w:bookmarkEnd w:id="223"/>
    <w:bookmarkStart w:id="225" w:name="ref-white1992rethinking"/>
    <w:p>
      <w:pPr>
        <w:pStyle w:val="Bibliography"/>
      </w:pPr>
      <w:r>
        <w:t xml:space="preserve">[86]</w:t>
      </w:r>
      <w:r>
        <w:t xml:space="preserve"> </w:t>
      </w:r>
      <w:r>
        <w:t xml:space="preserve">	</w:t>
      </w:r>
      <w:r>
        <w:t xml:space="preserve">White R. Rethinking the</w:t>
      </w:r>
      <w:r>
        <w:t xml:space="preserve"> </w:t>
      </w:r>
      <w:r>
        <w:t xml:space="preserve">Middle/Upper Paleolithic</w:t>
      </w:r>
      <w:r>
        <w:t xml:space="preserve"> </w:t>
      </w:r>
      <w:r>
        <w:t xml:space="preserve">transition [and comments and replies]. Current Anthropology 1982;23:169–92.</w:t>
      </w:r>
      <w:r>
        <w:t xml:space="preserve"> </w:t>
      </w:r>
      <w:hyperlink r:id="rId224">
        <w:r>
          <w:rPr>
            <w:rStyle w:val="Hyperlink"/>
          </w:rPr>
          <w:t xml:space="preserve">https://doi.org/10.1086/202802</w:t>
        </w:r>
      </w:hyperlink>
      <w:r>
        <w:t xml:space="preserve">.</w:t>
      </w:r>
    </w:p>
    <w:bookmarkEnd w:id="225"/>
    <w:bookmarkStart w:id="226" w:name="X79d7c52b9cdbe72fc1b94e51c6ee6057d0c4a50"/>
    <w:p>
      <w:pPr>
        <w:pStyle w:val="Bibliography"/>
      </w:pPr>
      <w:r>
        <w:t xml:space="preserve">[87]</w:t>
      </w:r>
      <w:r>
        <w:t xml:space="preserve"> </w:t>
      </w:r>
      <w:r>
        <w:t xml:space="preserve">	</w:t>
      </w:r>
      <w:r>
        <w:t xml:space="preserve">Soffer O, Adovasio JM. The roles of perishable technologies in</w:t>
      </w:r>
      <w:r>
        <w:t xml:space="preserve"> </w:t>
      </w:r>
      <w:r>
        <w:t xml:space="preserve">Upper Paleolithic</w:t>
      </w:r>
      <w:r>
        <w:t xml:space="preserve"> </w:t>
      </w:r>
      <w:r>
        <w:t xml:space="preserve">lives. In: Zubrow EBW, Audouze F, Enloe JG, editors. The</w:t>
      </w:r>
      <w:r>
        <w:t xml:space="preserve"> </w:t>
      </w:r>
      <w:r>
        <w:t xml:space="preserve">Magdalenian</w:t>
      </w:r>
      <w:r>
        <w:t xml:space="preserve"> </w:t>
      </w:r>
      <w:r>
        <w:t xml:space="preserve">household, SUNY Press; 2010, p. 235–44.</w:t>
      </w:r>
    </w:p>
    <w:bookmarkEnd w:id="226"/>
    <w:bookmarkStart w:id="228" w:name="ref-montet-white1994"/>
    <w:p>
      <w:pPr>
        <w:pStyle w:val="Bibliography"/>
      </w:pPr>
      <w:r>
        <w:t xml:space="preserve">[88]</w:t>
      </w:r>
      <w:r>
        <w:t xml:space="preserve"> </w:t>
      </w:r>
      <w:r>
        <w:t xml:space="preserve">	</w:t>
      </w:r>
      <w:r>
        <w:t xml:space="preserve">Montet-White A. Alternative interpretations of the</w:t>
      </w:r>
      <w:r>
        <w:t xml:space="preserve"> </w:t>
      </w:r>
      <w:r>
        <w:t xml:space="preserve">Late Upper Paleolithic</w:t>
      </w:r>
      <w:r>
        <w:t xml:space="preserve"> </w:t>
      </w:r>
      <w:r>
        <w:t xml:space="preserve">in</w:t>
      </w:r>
      <w:r>
        <w:t xml:space="preserve"> </w:t>
      </w:r>
      <w:r>
        <w:t xml:space="preserve">Central Europe</w:t>
      </w:r>
      <w:r>
        <w:t xml:space="preserve">. Annual Review of Anthropology 1994;23:483–506.</w:t>
      </w:r>
      <w:r>
        <w:t xml:space="preserve"> </w:t>
      </w:r>
      <w:hyperlink r:id="rId227">
        <w:r>
          <w:rPr>
            <w:rStyle w:val="Hyperlink"/>
          </w:rPr>
          <w:t xml:space="preserve">https://doi.org/10.1146/annurev.an.23.100194.002411</w:t>
        </w:r>
      </w:hyperlink>
      <w:r>
        <w:t xml:space="preserve">.</w:t>
      </w:r>
    </w:p>
    <w:bookmarkEnd w:id="228"/>
    <w:bookmarkStart w:id="230" w:name="ref-Frerebeau_2025"/>
    <w:p>
      <w:pPr>
        <w:pStyle w:val="Bibliography"/>
      </w:pPr>
      <w:r>
        <w:t xml:space="preserve">[89]</w:t>
      </w:r>
      <w:r>
        <w:t xml:space="preserve"> </w:t>
      </w:r>
      <w:r>
        <w:t xml:space="preserve">	</w:t>
      </w:r>
      <w:r>
        <w:t xml:space="preserve">Frerebeau N. Tabula: Analysis and visualization of archaeological count data 2025.</w:t>
      </w:r>
      <w:r>
        <w:t xml:space="preserve"> </w:t>
      </w:r>
      <w:hyperlink r:id="rId229">
        <w:r>
          <w:rPr>
            <w:rStyle w:val="Hyperlink"/>
          </w:rPr>
          <w:t xml:space="preserve">https://doi.org/10.5281/zenodo.15397990</w:t>
        </w:r>
      </w:hyperlink>
      <w:r>
        <w:t xml:space="preserve">.</w:t>
      </w:r>
    </w:p>
    <w:bookmarkEnd w:id="230"/>
    <w:bookmarkStart w:id="232" w:name="ref-Kintigh_1984"/>
    <w:p>
      <w:pPr>
        <w:pStyle w:val="Bibliography"/>
      </w:pPr>
      <w:r>
        <w:t xml:space="preserve">[90]</w:t>
      </w:r>
      <w:r>
        <w:t xml:space="preserve"> </w:t>
      </w:r>
      <w:r>
        <w:t xml:space="preserve">	</w:t>
      </w:r>
      <w:r>
        <w:t xml:space="preserve">Kintigh KW. Measuring archaeological diversity by comparison with simulated assemblages. American Antiquity 1984;49:44–54.</w:t>
      </w:r>
      <w:r>
        <w:t xml:space="preserve"> </w:t>
      </w:r>
      <w:hyperlink r:id="rId231">
        <w:r>
          <w:rPr>
            <w:rStyle w:val="Hyperlink"/>
          </w:rPr>
          <w:t xml:space="preserve">https://doi.org/10.2307/280511</w:t>
        </w:r>
      </w:hyperlink>
      <w:r>
        <w:t xml:space="preserve">.</w:t>
      </w:r>
    </w:p>
    <w:bookmarkEnd w:id="232"/>
    <w:bookmarkStart w:id="234" w:name="X8c17deb08b87fbfa26556dda630532ff62c8bd1"/>
    <w:p>
      <w:pPr>
        <w:pStyle w:val="Bibliography"/>
      </w:pPr>
      <w:r>
        <w:t xml:space="preserve">[91]</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33">
        <w:r>
          <w:rPr>
            <w:rStyle w:val="Hyperlink"/>
          </w:rPr>
          <w:t xml:space="preserve">https://doi.org/10.1038/s41467-024-51349-y</w:t>
        </w:r>
      </w:hyperlink>
      <w:r>
        <w:t xml:space="preserve">.</w:t>
      </w:r>
    </w:p>
    <w:bookmarkEnd w:id="234"/>
    <w:bookmarkStart w:id="236" w:name="ref-smith1992Design"/>
    <w:p>
      <w:pPr>
        <w:pStyle w:val="Bibliography"/>
      </w:pPr>
      <w:r>
        <w:t xml:space="preserve">[92]</w:t>
      </w:r>
      <w:r>
        <w:t xml:space="preserve"> </w:t>
      </w:r>
      <w:r>
        <w:t xml:space="preserve">	</w:t>
      </w:r>
      <w:r>
        <w:t xml:space="preserve">Smith C. Designed dreaming: Assessing the relationship between style, social structure and environment in</w:t>
      </w:r>
      <w:r>
        <w:t xml:space="preserve"> </w:t>
      </w:r>
      <w:r>
        <w:t xml:space="preserve">Aboriginal</w:t>
      </w:r>
      <w:r>
        <w:t xml:space="preserve"> </w:t>
      </w:r>
      <w:r>
        <w:t xml:space="preserve">Australia</w:t>
      </w:r>
      <w:r>
        <w:t xml:space="preserve">. Australian Archaeology 1992:51.</w:t>
      </w:r>
      <w:r>
        <w:t xml:space="preserve"> </w:t>
      </w:r>
      <w:hyperlink r:id="rId235">
        <w:r>
          <w:rPr>
            <w:rStyle w:val="Hyperlink"/>
          </w:rPr>
          <w:t xml:space="preserve">https://doi.org/10.1080/03122417.1992.11681454</w:t>
        </w:r>
      </w:hyperlink>
      <w:r>
        <w:t xml:space="preserve">.</w:t>
      </w:r>
    </w:p>
    <w:bookmarkEnd w:id="236"/>
    <w:bookmarkStart w:id="237" w:name="ref-hays1993symbol"/>
    <w:p>
      <w:pPr>
        <w:pStyle w:val="Bibliography"/>
      </w:pPr>
      <w:r>
        <w:t xml:space="preserve">[93]</w:t>
      </w:r>
      <w:r>
        <w:t xml:space="preserve"> </w:t>
      </w:r>
      <w:r>
        <w:t xml:space="preserve">	</w:t>
      </w:r>
      <w:r>
        <w:t xml:space="preserve">Hays KA. When is a symbol archaeologically meaningful? Meaning, function, and prehistoric visual arts. In: Yoffee N, Sherratt A, editors. Archaeological theory: Who sets the agenda?, Cambridge University Press; 1993, p. 81–92.</w:t>
      </w:r>
    </w:p>
    <w:bookmarkEnd w:id="237"/>
    <w:bookmarkStart w:id="239" w:name="ref-McDonald_Veth_Lilley_2006"/>
    <w:p>
      <w:pPr>
        <w:pStyle w:val="Bibliography"/>
      </w:pPr>
      <w:r>
        <w:t xml:space="preserve">[94]</w:t>
      </w:r>
      <w:r>
        <w:t xml:space="preserve"> </w:t>
      </w:r>
      <w:r>
        <w:t xml:space="preserve">	</w:t>
      </w:r>
      <w:r>
        <w:t xml:space="preserve">McDonald J, Veth P. Rock art and social identity: A comparison of</w:t>
      </w:r>
      <w:r>
        <w:t xml:space="preserve"> </w:t>
      </w:r>
      <w:r>
        <w:t xml:space="preserve">Holocene</w:t>
      </w:r>
      <w:r>
        <w:t xml:space="preserve"> </w:t>
      </w:r>
      <w:r>
        <w:t xml:space="preserve">graphic systems in arid and fertile environments. In: Lilley I, editor. Archaeology of</w:t>
      </w:r>
      <w:r>
        <w:t xml:space="preserve"> </w:t>
      </w:r>
      <w:r>
        <w:t xml:space="preserve">Oceania</w:t>
      </w:r>
      <w:r>
        <w:t xml:space="preserve">:</w:t>
      </w:r>
      <w:r>
        <w:t xml:space="preserve"> </w:t>
      </w:r>
      <w:r>
        <w:t xml:space="preserve">Australia</w:t>
      </w:r>
      <w:r>
        <w:t xml:space="preserve"> </w:t>
      </w:r>
      <w:r>
        <w:t xml:space="preserve">and the</w:t>
      </w:r>
      <w:r>
        <w:t xml:space="preserve"> </w:t>
      </w:r>
      <w:r>
        <w:t xml:space="preserve">Pacific Islands</w:t>
      </w:r>
      <w:r>
        <w:t xml:space="preserve">, Malden, Mass: Blackwell Publishing; 2006, p. 96–115.</w:t>
      </w:r>
      <w:r>
        <w:t xml:space="preserve"> </w:t>
      </w:r>
      <w:hyperlink r:id="rId238">
        <w:r>
          <w:rPr>
            <w:rStyle w:val="Hyperlink"/>
          </w:rPr>
          <w:t xml:space="preserve">https://doi.org/10.1002/9780470773475.ch5</w:t>
        </w:r>
      </w:hyperlink>
      <w:r>
        <w:t xml:space="preserve">.</w:t>
      </w:r>
    </w:p>
    <w:bookmarkEnd w:id="239"/>
    <w:bookmarkStart w:id="241" w:name="ref-Lourandos_1985"/>
    <w:p>
      <w:pPr>
        <w:pStyle w:val="Bibliography"/>
      </w:pPr>
      <w:r>
        <w:t xml:space="preserve">[95]</w:t>
      </w:r>
      <w:r>
        <w:t xml:space="preserve"> </w:t>
      </w:r>
      <w:r>
        <w:t xml:space="preserve">	</w:t>
      </w:r>
      <w:r>
        <w:t xml:space="preserve">Lourandos H. Intensification and</w:t>
      </w:r>
      <w:r>
        <w:t xml:space="preserve"> </w:t>
      </w:r>
      <w:r>
        <w:t xml:space="preserve">Australian</w:t>
      </w:r>
      <w:r>
        <w:t xml:space="preserve"> </w:t>
      </w:r>
      <w:r>
        <w:t xml:space="preserve">prehistory. In: Price TD, Brown JA, editors. Prehistoric hunters-gatherers, Academic Press; 1985, p. 385–423.</w:t>
      </w:r>
      <w:r>
        <w:t xml:space="preserve"> </w:t>
      </w:r>
      <w:hyperlink r:id="rId240">
        <w:r>
          <w:rPr>
            <w:rStyle w:val="Hyperlink"/>
          </w:rPr>
          <w:t xml:space="preserve">https://doi.org/10.1016/B978-0-12-564750-2.50020-2</w:t>
        </w:r>
      </w:hyperlink>
      <w:r>
        <w:t xml:space="preserve">.</w:t>
      </w:r>
    </w:p>
    <w:bookmarkEnd w:id="241"/>
    <w:bookmarkStart w:id="243" w:name="ref-barton_clark_cohen1994"/>
    <w:p>
      <w:pPr>
        <w:pStyle w:val="Bibliography"/>
      </w:pPr>
      <w:r>
        <w:t xml:space="preserve">[96]</w:t>
      </w:r>
      <w:r>
        <w:t xml:space="preserve"> </w:t>
      </w:r>
      <w:r>
        <w:t xml:space="preserve">	</w:t>
      </w:r>
      <w:r>
        <w:t xml:space="preserve">Barton CM, Clark GA, Cohen AE. Art as information: Explaining</w:t>
      </w:r>
      <w:r>
        <w:t xml:space="preserve"> </w:t>
      </w:r>
      <w:r>
        <w:t xml:space="preserve">Upper Palaeolithic</w:t>
      </w:r>
      <w:r>
        <w:t xml:space="preserve"> </w:t>
      </w:r>
      <w:r>
        <w:t xml:space="preserve">art in</w:t>
      </w:r>
      <w:r>
        <w:t xml:space="preserve"> </w:t>
      </w:r>
      <w:r>
        <w:t xml:space="preserve">Western Europe</w:t>
      </w:r>
      <w:r>
        <w:t xml:space="preserve">. World Archaeology 1994;26:185–207.</w:t>
      </w:r>
      <w:r>
        <w:t xml:space="preserve"> </w:t>
      </w:r>
      <w:hyperlink r:id="rId242">
        <w:r>
          <w:rPr>
            <w:rStyle w:val="Hyperlink"/>
          </w:rPr>
          <w:t xml:space="preserve">https://doi.org/10.1080/00438243.1994.9980272</w:t>
        </w:r>
      </w:hyperlink>
      <w:r>
        <w:t xml:space="preserve">.</w:t>
      </w:r>
    </w:p>
    <w:bookmarkEnd w:id="243"/>
    <w:bookmarkStart w:id="245" w:name="ref-mcdonald2012social"/>
    <w:p>
      <w:pPr>
        <w:pStyle w:val="Bibliography"/>
      </w:pPr>
      <w:r>
        <w:t xml:space="preserve">[97]</w:t>
      </w:r>
      <w:r>
        <w:t xml:space="preserve"> </w:t>
      </w:r>
      <w:r>
        <w:t xml:space="preserve">	</w:t>
      </w:r>
      <w:r>
        <w:t xml:space="preserve">McDonald J, Veth P. The social dynamics of aggregation and dispersal in the</w:t>
      </w:r>
      <w:r>
        <w:t xml:space="preserve"> </w:t>
      </w:r>
      <w:r>
        <w:t xml:space="preserve">Western Desert</w:t>
      </w:r>
      <w:r>
        <w:t xml:space="preserve">. In: McDonald J, Veth P, editors. A companion to rock art, Oxford: Wiley-Blackwell; 2012, p. 90–102.</w:t>
      </w:r>
      <w:r>
        <w:t xml:space="preserve"> </w:t>
      </w:r>
      <w:hyperlink r:id="rId244">
        <w:r>
          <w:rPr>
            <w:rStyle w:val="Hyperlink"/>
          </w:rPr>
          <w:t xml:space="preserve">https://doi.org/10.1002/9781118253892.ch6</w:t>
        </w:r>
      </w:hyperlink>
      <w:r>
        <w:t xml:space="preserve">.</w:t>
      </w:r>
    </w:p>
    <w:bookmarkEnd w:id="245"/>
    <w:bookmarkStart w:id="247" w:name="ref-bernardini2005reconsidering"/>
    <w:p>
      <w:pPr>
        <w:pStyle w:val="Bibliography"/>
      </w:pPr>
      <w:r>
        <w:t xml:space="preserve">[98]</w:t>
      </w:r>
      <w:r>
        <w:t xml:space="preserve"> </w:t>
      </w:r>
      <w:r>
        <w:t xml:space="preserve">	</w:t>
      </w:r>
      <w:r>
        <w:t xml:space="preserve">Bernardini W. Reconsidering spatial and temporal aspects of prehistoric cultural identity: A case study from the</w:t>
      </w:r>
      <w:r>
        <w:t xml:space="preserve"> </w:t>
      </w:r>
      <w:r>
        <w:t xml:space="preserve">American Southwest</w:t>
      </w:r>
      <w:r>
        <w:t xml:space="preserve">. American Antiquity 2005;70:31–54.</w:t>
      </w:r>
      <w:r>
        <w:t xml:space="preserve"> </w:t>
      </w:r>
      <w:hyperlink r:id="rId246">
        <w:r>
          <w:rPr>
            <w:rStyle w:val="Hyperlink"/>
          </w:rPr>
          <w:t xml:space="preserve">https://doi.org/10.2307/40035267</w:t>
        </w:r>
      </w:hyperlink>
      <w:r>
        <w:t xml:space="preserve">.</w:t>
      </w:r>
    </w:p>
    <w:bookmarkEnd w:id="247"/>
    <w:bookmarkStart w:id="249" w:name="ref-wiessner1984reconsidering"/>
    <w:p>
      <w:pPr>
        <w:pStyle w:val="Bibliography"/>
      </w:pPr>
      <w:r>
        <w:t xml:space="preserve">[99]</w:t>
      </w:r>
      <w:r>
        <w:t xml:space="preserve"> </w:t>
      </w:r>
      <w:r>
        <w:t xml:space="preserve">	</w:t>
      </w:r>
      <w:r>
        <w:t xml:space="preserve">Wiessner P. Reconsidering the behavioral basis for style: A case study among the</w:t>
      </w:r>
      <w:r>
        <w:t xml:space="preserve"> </w:t>
      </w:r>
      <w:r>
        <w:t xml:space="preserve">Kalahari San</w:t>
      </w:r>
      <w:r>
        <w:t xml:space="preserve">. Journal of Anthropological Archaeology 1984;3:190–234.</w:t>
      </w:r>
      <w:r>
        <w:t xml:space="preserve"> </w:t>
      </w:r>
      <w:hyperlink r:id="rId248">
        <w:r>
          <w:rPr>
            <w:rStyle w:val="Hyperlink"/>
          </w:rPr>
          <w:t xml:space="preserve">https://doi.org/10.1016/0278-4165(84)90002-3</w:t>
        </w:r>
      </w:hyperlink>
      <w:r>
        <w:t xml:space="preserve">.</w:t>
      </w:r>
    </w:p>
    <w:bookmarkEnd w:id="249"/>
    <w:bookmarkStart w:id="251" w:name="ref-smith1992"/>
    <w:p>
      <w:pPr>
        <w:pStyle w:val="Bibliography"/>
      </w:pPr>
      <w:r>
        <w:t xml:space="preserve">[100]</w:t>
      </w:r>
      <w:r>
        <w:t xml:space="preserve"> </w:t>
      </w:r>
      <w:r>
        <w:t xml:space="preserve">	</w:t>
      </w:r>
      <w:r>
        <w:t xml:space="preserve">Smith C. Colonising with style: Reviewing the nexus between rock art,</w:t>
      </w:r>
      <w:r>
        <w:t xml:space="preserve"> </w:t>
      </w:r>
      <w:r>
        <w:t xml:space="preserve">Territoriality</w:t>
      </w:r>
      <w:r>
        <w:t xml:space="preserve"> </w:t>
      </w:r>
      <w:r>
        <w:t xml:space="preserve">and the colonisation and occupation of</w:t>
      </w:r>
      <w:r>
        <w:t xml:space="preserve"> </w:t>
      </w:r>
      <w:r>
        <w:t xml:space="preserve">Sahul</w:t>
      </w:r>
      <w:r>
        <w:t xml:space="preserve">. Australian Archaeology 1992;34:34–42.</w:t>
      </w:r>
      <w:r>
        <w:t xml:space="preserve"> </w:t>
      </w:r>
      <w:hyperlink r:id="rId250">
        <w:r>
          <w:rPr>
            <w:rStyle w:val="Hyperlink"/>
          </w:rPr>
          <w:t xml:space="preserve">https://doi.org/10.1080/03122417.1992.11681450</w:t>
        </w:r>
      </w:hyperlink>
      <w:r>
        <w:t xml:space="preserve">.</w:t>
      </w:r>
    </w:p>
    <w:bookmarkEnd w:id="251"/>
    <w:bookmarkStart w:id="253" w:name="X4fed35d53d406ce17aea32f9d6f163fcb563519"/>
    <w:p>
      <w:pPr>
        <w:pStyle w:val="Bibliography"/>
      </w:pPr>
      <w:r>
        <w:t xml:space="preserve">[101]</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52">
        <w:r>
          <w:rPr>
            <w:rStyle w:val="Hyperlink"/>
          </w:rPr>
          <w:t xml:space="preserve">https://doi.org/10.1007/978-4-431-55363-2_8</w:t>
        </w:r>
      </w:hyperlink>
      <w:r>
        <w:t xml:space="preserve">.</w:t>
      </w:r>
    </w:p>
    <w:bookmarkEnd w:id="253"/>
    <w:bookmarkStart w:id="254" w:name="ref-Cavalli_Sforza_Feldman_1981"/>
    <w:p>
      <w:pPr>
        <w:pStyle w:val="Bibliography"/>
      </w:pPr>
      <w:r>
        <w:t xml:space="preserve">[102]</w:t>
      </w:r>
      <w:r>
        <w:t xml:space="preserve"> </w:t>
      </w:r>
      <w:r>
        <w:t xml:space="preserve">	</w:t>
      </w:r>
      <w:r>
        <w:t xml:space="preserve">Cavalli-Sforza L, Feldman MW. Cultural transmission and evolution: A quantitative approach. Princeton University Press; 1981.</w:t>
      </w:r>
    </w:p>
    <w:bookmarkEnd w:id="254"/>
    <w:bookmarkStart w:id="255" w:name="ref-Boyd_Richerson_1985"/>
    <w:p>
      <w:pPr>
        <w:pStyle w:val="Bibliography"/>
      </w:pPr>
      <w:r>
        <w:t xml:space="preserve">[103]</w:t>
      </w:r>
      <w:r>
        <w:t xml:space="preserve"> </w:t>
      </w:r>
      <w:r>
        <w:t xml:space="preserve">	</w:t>
      </w:r>
      <w:r>
        <w:t xml:space="preserve">Boyd R, Richerson PJ. Culture and the evolutionary process. University of Chicago Press; 1985.</w:t>
      </w:r>
    </w:p>
    <w:bookmarkEnd w:id="255"/>
    <w:bookmarkStart w:id="256" w:name="ref-Richerson_Boyd_2005"/>
    <w:p>
      <w:pPr>
        <w:pStyle w:val="Bibliography"/>
      </w:pPr>
      <w:r>
        <w:t xml:space="preserve">[104]</w:t>
      </w:r>
      <w:r>
        <w:t xml:space="preserve"> </w:t>
      </w:r>
      <w:r>
        <w:t xml:space="preserve">	</w:t>
      </w:r>
      <w:r>
        <w:t xml:space="preserve">Richerson PJ, Boyd R. Not by genes alone: How culture transformed human evolution. University of Chicago Press; 2005.</w:t>
      </w:r>
    </w:p>
    <w:bookmarkEnd w:id="256"/>
    <w:bookmarkStart w:id="258" w:name="ref-Henrich_2004"/>
    <w:p>
      <w:pPr>
        <w:pStyle w:val="Bibliography"/>
      </w:pPr>
      <w:r>
        <w:t xml:space="preserve">[105]</w:t>
      </w:r>
      <w:r>
        <w:t xml:space="preserve"> </w:t>
      </w:r>
      <w:r>
        <w:t xml:space="preserve">	</w:t>
      </w:r>
      <w:r>
        <w:t xml:space="preserve">Henrich J. Demography and cultural evolution: How adaptive cultural processes can produce maladaptive losses—</w:t>
      </w:r>
      <w:r>
        <w:t xml:space="preserve">The Tasmanian Case</w:t>
      </w:r>
      <w:r>
        <w:t xml:space="preserve">. American Antiquity 2004;69:197–214.</w:t>
      </w:r>
      <w:r>
        <w:t xml:space="preserve"> </w:t>
      </w:r>
      <w:hyperlink r:id="rId257">
        <w:r>
          <w:rPr>
            <w:rStyle w:val="Hyperlink"/>
          </w:rPr>
          <w:t xml:space="preserve">https://doi.org/10.2307/4128416</w:t>
        </w:r>
      </w:hyperlink>
      <w:r>
        <w:t xml:space="preserve">.</w:t>
      </w:r>
    </w:p>
    <w:bookmarkEnd w:id="258"/>
    <w:bookmarkStart w:id="260" w:name="ref-Migliano_2020"/>
    <w:p>
      <w:pPr>
        <w:pStyle w:val="Bibliography"/>
      </w:pPr>
      <w:r>
        <w:t xml:space="preserve">[106]</w:t>
      </w:r>
      <w:r>
        <w:t xml:space="preserve"> </w:t>
      </w:r>
      <w:r>
        <w:t xml:space="preserve">	</w:t>
      </w:r>
      <w:r>
        <w:t xml:space="preserve">Migliano AB, Battiston F, Viguier S, Page AE, Dyble M, Schlaepfer R, et al. Hunter-gatherer multilevel sociality accelerates cumulative cultural evolution. Science Advances 2020;6:eaax5913.</w:t>
      </w:r>
      <w:r>
        <w:t xml:space="preserve"> </w:t>
      </w:r>
      <w:hyperlink r:id="rId259">
        <w:r>
          <w:rPr>
            <w:rStyle w:val="Hyperlink"/>
          </w:rPr>
          <w:t xml:space="preserve">https://doi.org/10.1126/sciadv.aax5913</w:t>
        </w:r>
      </w:hyperlink>
      <w:r>
        <w:t xml:space="preserve">.</w:t>
      </w:r>
    </w:p>
    <w:bookmarkEnd w:id="260"/>
    <w:bookmarkStart w:id="262" w:name="ref-Romano_Lozano_2020"/>
    <w:p>
      <w:pPr>
        <w:pStyle w:val="Bibliography"/>
      </w:pPr>
      <w:r>
        <w:t xml:space="preserve">[107]</w:t>
      </w:r>
      <w:r>
        <w:t xml:space="preserve"> </w:t>
      </w:r>
      <w:r>
        <w:t xml:space="preserve">	</w:t>
      </w:r>
      <w:r>
        <w:t xml:space="preserve">Romano V, Lozano S, Fernández-López de Pablo J. A multilevel analytical framework for studying cultural evolution in prehistoric hunter–gatherer societies. Biological Reviews 2020;95:1020–35.</w:t>
      </w:r>
      <w:r>
        <w:t xml:space="preserve"> </w:t>
      </w:r>
      <w:hyperlink r:id="rId261">
        <w:r>
          <w:rPr>
            <w:rStyle w:val="Hyperlink"/>
          </w:rPr>
          <w:t xml:space="preserve">https://doi.org/10.1111/brv.12599</w:t>
        </w:r>
      </w:hyperlink>
      <w:r>
        <w:t xml:space="preserve">.</w:t>
      </w:r>
    </w:p>
    <w:bookmarkEnd w:id="262"/>
    <w:bookmarkStart w:id="264" w:name="ref-Buchanan_Hamilton_2023"/>
    <w:p>
      <w:pPr>
        <w:pStyle w:val="Bibliography"/>
      </w:pPr>
      <w:r>
        <w:t xml:space="preserve">[108]</w:t>
      </w:r>
      <w:r>
        <w:t xml:space="preserve"> </w:t>
      </w:r>
      <w:r>
        <w:t xml:space="preserve">	</w:t>
      </w:r>
      <w:r>
        <w:t xml:space="preserve">Buchanan B, Hamilton MJ. Networks and cultural transmission in hunter-gatherer societies. In: Brughmans T, Mills B, Munson J, Peeples M, editors. The oxford handbook of archaeological network research, Oxford University Press; 2023, p. 459–74.</w:t>
      </w:r>
      <w:r>
        <w:t xml:space="preserve"> </w:t>
      </w:r>
      <w:hyperlink r:id="rId263">
        <w:r>
          <w:rPr>
            <w:rStyle w:val="Hyperlink"/>
          </w:rPr>
          <w:t xml:space="preserve">https://doi.org/10.1093/oxfordhb/9780198854265.013.34</w:t>
        </w:r>
      </w:hyperlink>
      <w:r>
        <w:t xml:space="preserve">.</w:t>
      </w:r>
    </w:p>
    <w:bookmarkEnd w:id="264"/>
    <w:bookmarkStart w:id="266" w:name="ref-Eerkens_Lipo_2005"/>
    <w:p>
      <w:pPr>
        <w:pStyle w:val="Bibliography"/>
      </w:pPr>
      <w:r>
        <w:t xml:space="preserve">[109]</w:t>
      </w:r>
      <w:r>
        <w:t xml:space="preserve"> </w:t>
      </w:r>
      <w:r>
        <w:t xml:space="preserve">	</w:t>
      </w:r>
      <w:r>
        <w:t xml:space="preserve">Eerkens JW, Lipo CP. Cultural transmission, copying errors, and the generation of variation in material culture and the archaeological record. Journal of Anthropological Archaeology 2005;24:316–34.</w:t>
      </w:r>
      <w:r>
        <w:t xml:space="preserve"> </w:t>
      </w:r>
      <w:hyperlink r:id="rId265">
        <w:r>
          <w:rPr>
            <w:rStyle w:val="Hyperlink"/>
          </w:rPr>
          <w:t xml:space="preserve">https://doi.org/10.1016/j.jaa.2005.08.001</w:t>
        </w:r>
      </w:hyperlink>
      <w:r>
        <w:t xml:space="preserve">.</w:t>
      </w:r>
    </w:p>
    <w:bookmarkEnd w:id="266"/>
    <w:bookmarkStart w:id="268" w:name="ref-Bentz_Dutkiewicz_2026"/>
    <w:p>
      <w:pPr>
        <w:pStyle w:val="Bibliography"/>
      </w:pPr>
      <w:r>
        <w:t xml:space="preserve">[110]</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267">
        <w:r>
          <w:rPr>
            <w:rStyle w:val="Hyperlink"/>
          </w:rPr>
          <w:t xml:space="preserve">https://doi.org/10.1073/pnas.2520385123</w:t>
        </w:r>
      </w:hyperlink>
      <w:r>
        <w:t xml:space="preserve">.</w:t>
      </w:r>
    </w:p>
    <w:bookmarkEnd w:id="268"/>
    <w:bookmarkStart w:id="270" w:name="ref-Bacon_2023"/>
    <w:p>
      <w:pPr>
        <w:pStyle w:val="Bibliography"/>
      </w:pPr>
      <w:r>
        <w:t xml:space="preserve">[111]</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2023;33:371–89.</w:t>
      </w:r>
      <w:r>
        <w:t xml:space="preserve"> </w:t>
      </w:r>
      <w:hyperlink r:id="rId269">
        <w:r>
          <w:rPr>
            <w:rStyle w:val="Hyperlink"/>
          </w:rPr>
          <w:t xml:space="preserve">https://doi.org/10.1017/S0959774322000415</w:t>
        </w:r>
      </w:hyperlink>
      <w:r>
        <w:t xml:space="preserve">.</w:t>
      </w:r>
    </w:p>
    <w:bookmarkEnd w:id="270"/>
    <w:bookmarkStart w:id="272" w:name="Xa4990169aeb885a690070ab4fd90972c31994f8"/>
    <w:p>
      <w:pPr>
        <w:pStyle w:val="Bibliography"/>
      </w:pPr>
      <w:r>
        <w:t xml:space="preserve">[112]</w:t>
      </w:r>
      <w:r>
        <w:t xml:space="preserve"> </w:t>
      </w:r>
      <w:r>
        <w:t xml:space="preserve">	</w:t>
      </w:r>
      <w:r>
        <w:t xml:space="preserve">d’Errico F, Santos da Rosa N, Courtenay LA, Núñez R, Liu C, Sproat R, et al.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71">
        <w:r>
          <w:rPr>
            <w:rStyle w:val="Hyperlink"/>
          </w:rPr>
          <w:t xml:space="preserve">https://doi.org/10.2139/ssrn.7053279</w:t>
        </w:r>
      </w:hyperlink>
      <w:r>
        <w:t xml:space="preserve">.</w:t>
      </w:r>
    </w:p>
    <w:bookmarkEnd w:id="272"/>
    <w:bookmarkStart w:id="274" w:name="X8ea620419c64d551554c48b7075c9934881930b"/>
    <w:p>
      <w:pPr>
        <w:pStyle w:val="Bibliography"/>
      </w:pPr>
      <w:r>
        <w:t xml:space="preserve">[113]</w:t>
      </w:r>
      <w:r>
        <w:t xml:space="preserve"> </w:t>
      </w:r>
      <w:r>
        <w:t xml:space="preserve">	</w:t>
      </w:r>
      <w:r>
        <w:t xml:space="preserve">Garcı́a-Bustos M, Rivero O, Sauvet G, Garcı́a 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73">
        <w:r>
          <w:rPr>
            <w:rStyle w:val="Hyperlink"/>
          </w:rPr>
          <w:t xml:space="preserve">https://doi.org/10.1007/s41982-023-00158-8</w:t>
        </w:r>
      </w:hyperlink>
      <w:r>
        <w:t xml:space="preserve">.</w:t>
      </w:r>
    </w:p>
    <w:bookmarkEnd w:id="274"/>
    <w:bookmarkStart w:id="276" w:name="ref-Magli_2024"/>
    <w:p>
      <w:pPr>
        <w:pStyle w:val="Bibliography"/>
      </w:pPr>
      <w:r>
        <w:t xml:space="preserve">[114]</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Time and Mind 2024;17:181–9.</w:t>
      </w:r>
      <w:r>
        <w:t xml:space="preserve"> </w:t>
      </w:r>
      <w:hyperlink r:id="rId275">
        <w:r>
          <w:rPr>
            <w:rStyle w:val="Hyperlink"/>
          </w:rPr>
          <w:t xml:space="preserve">https://doi.org/10.1080/1751696X.2024.2441115</w:t>
        </w:r>
      </w:hyperlink>
      <w:r>
        <w:t xml:space="preserve">.</w:t>
      </w:r>
    </w:p>
    <w:bookmarkEnd w:id="276"/>
    <w:bookmarkStart w:id="278" w:name="ref-Nowell_2024_evidence"/>
    <w:p>
      <w:pPr>
        <w:pStyle w:val="Bibliography"/>
      </w:pPr>
      <w:r>
        <w:t xml:space="preserve">[115]</w:t>
      </w:r>
      <w:r>
        <w:t xml:space="preserve"> </w:t>
      </w:r>
      <w:r>
        <w:t xml:space="preserve">	</w:t>
      </w:r>
      <w:r>
        <w:t xml:space="preserve">Nowell A, Bahn P, Le Quellec J-L. Evaluating the evidence for lunar calendars in</w:t>
      </w:r>
      <w:r>
        <w:t xml:space="preserve"> </w:t>
      </w:r>
      <w:r>
        <w:t xml:space="preserve">Upper Palaeolithic</w:t>
      </w:r>
      <w:r>
        <w:t xml:space="preserve"> </w:t>
      </w:r>
      <w:r>
        <w:t xml:space="preserve">parietal art. Cambridge Archaeological Journal 2025;35:38–55.</w:t>
      </w:r>
      <w:r>
        <w:t xml:space="preserve"> </w:t>
      </w:r>
      <w:hyperlink r:id="rId277">
        <w:r>
          <w:rPr>
            <w:rStyle w:val="Hyperlink"/>
          </w:rPr>
          <w:t xml:space="preserve">https://doi.org/10.1017/S0959774324000155</w:t>
        </w:r>
      </w:hyperlink>
      <w:r>
        <w:t xml:space="preserve">.</w:t>
      </w:r>
    </w:p>
    <w:bookmarkEnd w:id="278"/>
    <w:bookmarkStart w:id="280" w:name="ref-Horiuchi_Takakura_2019"/>
    <w:p>
      <w:pPr>
        <w:pStyle w:val="Bibliography"/>
      </w:pPr>
      <w:r>
        <w:t xml:space="preserve">[116]</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79">
        <w:r>
          <w:rPr>
            <w:rStyle w:val="Hyperlink"/>
          </w:rPr>
          <w:t xml:space="preserve">https://doi.org/10.1007/978-981-13-8980-1_12</w:t>
        </w:r>
      </w:hyperlink>
      <w:r>
        <w:t xml:space="preserve">.</w:t>
      </w:r>
    </w:p>
    <w:bookmarkEnd w:id="280"/>
    <w:bookmarkStart w:id="281" w:name="ref-Rogers_2018"/>
    <w:p>
      <w:pPr>
        <w:pStyle w:val="Bibliography"/>
      </w:pPr>
      <w:r>
        <w:t xml:space="preserve">[117]</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w:t>
      </w:r>
      <w:r>
        <w:t xml:space="preserve"> </w:t>
      </w:r>
      <w:r>
        <w:t xml:space="preserve">BP</w:t>
      </w:r>
      <w:r>
        <w:t xml:space="preserve">: An analysis of marine shell ornament distribution. Master’s thesis. University of Victoria, 2018.</w:t>
      </w:r>
    </w:p>
    <w:bookmarkEnd w:id="281"/>
    <w:bookmarkStart w:id="283" w:name="X94f875be1b7e5d23641daff5d53857bec24e739"/>
    <w:p>
      <w:pPr>
        <w:pStyle w:val="Bibliography"/>
      </w:pPr>
      <w:r>
        <w:t xml:space="preserve">[118]</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w:t>
      </w:r>
      <w:r>
        <w:t xml:space="preserve"> </w:t>
      </w:r>
      <w:hyperlink r:id="rId282">
        <w:r>
          <w:rPr>
            <w:rStyle w:val="Hyperlink"/>
          </w:rPr>
          <w:t xml:space="preserve">https://doi.org/10.1016/j.jasrep.2021.103118</w:t>
        </w:r>
      </w:hyperlink>
      <w:r>
        <w:t xml:space="preserve">.</w:t>
      </w:r>
    </w:p>
    <w:bookmarkEnd w:id="283"/>
    <w:bookmarkStart w:id="285" w:name="ref-Gamble_1982"/>
    <w:p>
      <w:pPr>
        <w:pStyle w:val="Bibliography"/>
      </w:pPr>
      <w:r>
        <w:t xml:space="preserve">[119]</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84">
        <w:r>
          <w:rPr>
            <w:rStyle w:val="Hyperlink"/>
          </w:rPr>
          <w:t xml:space="preserve">https://doi.org/10.2307/2802103</w:t>
        </w:r>
      </w:hyperlink>
      <w:r>
        <w:t xml:space="preserve">.</w:t>
      </w:r>
    </w:p>
    <w:bookmarkEnd w:id="285"/>
    <w:bookmarkStart w:id="287" w:name="Xba346573845225b1b1d5ef358e2fea0d893a789"/>
    <w:p>
      <w:pPr>
        <w:pStyle w:val="Bibliography"/>
      </w:pPr>
      <w:r>
        <w:t xml:space="preserve">[120]</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w:t>
      </w:r>
      <w:r>
        <w:t xml:space="preserve"> </w:t>
      </w:r>
      <w:hyperlink r:id="rId286">
        <w:r>
          <w:rPr>
            <w:rStyle w:val="Hyperlink"/>
          </w:rPr>
          <w:t xml:space="preserve">https://doi.org/10.1016/j.quascirev.2018.12.011</w:t>
        </w:r>
      </w:hyperlink>
      <w:r>
        <w:t xml:space="preserve">.</w:t>
      </w:r>
    </w:p>
    <w:bookmarkEnd w:id="287"/>
    <w:bookmarkStart w:id="289" w:name="ref-Creanza_Kolodny_Feldman_2017"/>
    <w:p>
      <w:pPr>
        <w:pStyle w:val="Bibliography"/>
      </w:pPr>
      <w:r>
        <w:t xml:space="preserve">[121]</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88">
        <w:r>
          <w:rPr>
            <w:rStyle w:val="Hyperlink"/>
          </w:rPr>
          <w:t xml:space="preserve">https://doi.org/10.1098/rsif.2017.0171</w:t>
        </w:r>
      </w:hyperlink>
      <w:r>
        <w:t xml:space="preserve">.</w:t>
      </w:r>
    </w:p>
    <w:bookmarkEnd w:id="289"/>
    <w:bookmarkStart w:id="291" w:name="ref-Cullen_1996"/>
    <w:p>
      <w:pPr>
        <w:pStyle w:val="Bibliography"/>
      </w:pPr>
      <w:r>
        <w:t xml:space="preserve">[122]</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90">
        <w:r>
          <w:rPr>
            <w:rStyle w:val="Hyperlink"/>
          </w:rPr>
          <w:t xml:space="preserve">https://doi.org/10.1007/978-1-4757-9945-3_4</w:t>
        </w:r>
      </w:hyperlink>
      <w:r>
        <w:t xml:space="preserve">.</w:t>
      </w:r>
    </w:p>
    <w:bookmarkEnd w:id="291"/>
    <w:bookmarkStart w:id="293" w:name="ref-Hill_Wood_Baggio_Hurtado_Boyd_2014"/>
    <w:p>
      <w:pPr>
        <w:pStyle w:val="Bibliography"/>
      </w:pPr>
      <w:r>
        <w:t xml:space="preserve">[123]</w:t>
      </w:r>
      <w:r>
        <w:t xml:space="preserve"> </w:t>
      </w:r>
      <w:r>
        <w:t xml:space="preserve">	</w:t>
      </w:r>
      <w:r>
        <w:t xml:space="preserve">Hill KR, Wood BM, Baggio J, Hurtado AM, Boyd RT. Hunter-gatherer inter-band interaction rates: Implications for cumulative culture. PLOS ONE 2014;9:e102806.</w:t>
      </w:r>
      <w:r>
        <w:t xml:space="preserve"> </w:t>
      </w:r>
      <w:hyperlink r:id="rId292">
        <w:r>
          <w:rPr>
            <w:rStyle w:val="Hyperlink"/>
          </w:rPr>
          <w:t xml:space="preserve">https://doi.org/10.1371/journal.pone.0102806</w:t>
        </w:r>
      </w:hyperlink>
      <w:r>
        <w:t xml:space="preserve">.</w:t>
      </w:r>
    </w:p>
    <w:bookmarkEnd w:id="293"/>
    <w:bookmarkStart w:id="295" w:name="ref-Derex_Boyd_2016"/>
    <w:p>
      <w:pPr>
        <w:pStyle w:val="Bibliography"/>
      </w:pPr>
      <w:r>
        <w:t xml:space="preserve">[124]</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94">
        <w:r>
          <w:rPr>
            <w:rStyle w:val="Hyperlink"/>
          </w:rPr>
          <w:t xml:space="preserve">https://doi.org/10.1073/pnas.1518798113</w:t>
        </w:r>
      </w:hyperlink>
      <w:r>
        <w:t xml:space="preserve">.</w:t>
      </w:r>
    </w:p>
    <w:bookmarkEnd w:id="295"/>
    <w:bookmarkStart w:id="296" w:name="ref-Von_Petzinger_2009"/>
    <w:p>
      <w:pPr>
        <w:pStyle w:val="Bibliography"/>
      </w:pPr>
      <w:r>
        <w:t xml:space="preserve">[125]</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Master’s thesis. University of Victoria, 2009.</w:t>
      </w:r>
    </w:p>
    <w:bookmarkEnd w:id="296"/>
    <w:bookmarkStart w:id="298" w:name="ref-Herskind2023"/>
    <w:p>
      <w:pPr>
        <w:pStyle w:val="Bibliography"/>
      </w:pPr>
      <w:r>
        <w:t xml:space="preserve">[126]</w:t>
      </w:r>
      <w:r>
        <w:t xml:space="preserve"> </w:t>
      </w:r>
      <w:r>
        <w:t xml:space="preserve">	</w:t>
      </w:r>
      <w:r>
        <w:t xml:space="preserve">Herskind LLP. A case for idle graffiti: Challenging the semiotic resurgence within prehistoric art research. Hunter Gatherer Research 2023;9:59–93.</w:t>
      </w:r>
      <w:r>
        <w:t xml:space="preserve"> </w:t>
      </w:r>
      <w:hyperlink r:id="rId297">
        <w:r>
          <w:rPr>
            <w:rStyle w:val="Hyperlink"/>
          </w:rPr>
          <w:t xml:space="preserve">https://doi.org/10.3828/hgr.2023.12</w:t>
        </w:r>
      </w:hyperlink>
      <w:r>
        <w:t xml:space="preserve">.</w:t>
      </w:r>
    </w:p>
    <w:bookmarkEnd w:id="298"/>
    <w:bookmarkStart w:id="300" w:name="ref-Gravel-Miguel_Coward_2023"/>
    <w:p>
      <w:pPr>
        <w:pStyle w:val="Bibliography"/>
      </w:pPr>
      <w:r>
        <w:t xml:space="preserve">[127]</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 p. 443–58.</w:t>
      </w:r>
      <w:r>
        <w:t xml:space="preserve"> </w:t>
      </w:r>
      <w:hyperlink r:id="rId299">
        <w:r>
          <w:rPr>
            <w:rStyle w:val="Hyperlink"/>
          </w:rPr>
          <w:t xml:space="preserve">https://doi.org/10.1093/oxfordhb/9780198854265.013.31</w:t>
        </w:r>
      </w:hyperlink>
      <w:r>
        <w:t xml:space="preserve">.</w:t>
      </w:r>
    </w:p>
    <w:bookmarkEnd w:id="300"/>
    <w:bookmarkStart w:id="302" w:name="X42e36537dda68556aeacf852410efd6ac3bb1ca"/>
    <w:p>
      <w:pPr>
        <w:pStyle w:val="Bibliography"/>
      </w:pPr>
      <w:r>
        <w:t xml:space="preserve">[128]</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301">
        <w:r>
          <w:rPr>
            <w:rStyle w:val="Hyperlink"/>
          </w:rPr>
          <w:t xml:space="preserve">https://doi.org/10.1007/s10816-023-09608-7</w:t>
        </w:r>
      </w:hyperlink>
      <w:r>
        <w:t xml:space="preserve">.</w:t>
      </w:r>
    </w:p>
    <w:bookmarkEnd w:id="302"/>
    <w:bookmarkEnd w:id="303"/>
    <w:bookmarkEnd w:id="304"/>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hyperlink" Id="rId163" Target="http://www.jstor.org.offcampus.lib.washington.edu/stable/j.ctt1pk86rr.16" TargetMode="External" /><Relationship Type="http://schemas.openxmlformats.org/officeDocument/2006/relationships/hyperlink" Id="rId157" Target="http://www.jstor.org.offcampus.lib.washington.edu/stable/j.ctt1pk86rr.5" TargetMode="External" /><Relationship Type="http://schemas.openxmlformats.org/officeDocument/2006/relationships/hyperlink" Id="rId145"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25" Target="https://docs.ropensci.org/rnaturalearth/" TargetMode="External" /><Relationship Type="http://schemas.openxmlformats.org/officeDocument/2006/relationships/hyperlink" Id="rId238" Target="https://doi.org/10.1002/9780470773475.ch5" TargetMode="External" /><Relationship Type="http://schemas.openxmlformats.org/officeDocument/2006/relationships/hyperlink" Id="rId244" Target="https://doi.org/10.1002/9781118253892.ch6" TargetMode="External" /><Relationship Type="http://schemas.openxmlformats.org/officeDocument/2006/relationships/hyperlink" Id="rId149" Target="https://doi.org/10.1002/9781118445112.stat07841" TargetMode="External" /><Relationship Type="http://schemas.openxmlformats.org/officeDocument/2006/relationships/hyperlink" Id="rId131" Target="https://doi.org/10.1002/ajpa.1330350608" TargetMode="External" /><Relationship Type="http://schemas.openxmlformats.org/officeDocument/2006/relationships/hyperlink" Id="rId179" Target="https://doi.org/10.1002/ajpa.22832" TargetMode="External" /><Relationship Type="http://schemas.openxmlformats.org/officeDocument/2006/relationships/hyperlink" Id="rId110" Target="https://doi.org/10.1002/jqs.3236" TargetMode="External" /><Relationship Type="http://schemas.openxmlformats.org/officeDocument/2006/relationships/hyperlink" Id="rId143" Target="https://doi.org/10.1002/spe.4380211102" TargetMode="External" /><Relationship Type="http://schemas.openxmlformats.org/officeDocument/2006/relationships/hyperlink" Id="rId290" Target="https://doi.org/10.1007/978-1-4757-9945-3_4" TargetMode="External" /><Relationship Type="http://schemas.openxmlformats.org/officeDocument/2006/relationships/hyperlink" Id="rId86" Target="https://doi.org/10.1007/978-3-319-51726-1_3441-1" TargetMode="External" /><Relationship Type="http://schemas.openxmlformats.org/officeDocument/2006/relationships/hyperlink" Id="rId252" Target="https://doi.org/10.1007/978-4-431-55363-2_8" TargetMode="External" /><Relationship Type="http://schemas.openxmlformats.org/officeDocument/2006/relationships/hyperlink" Id="rId279" Target="https://doi.org/10.1007/978-981-13-8980-1_12" TargetMode="External" /><Relationship Type="http://schemas.openxmlformats.org/officeDocument/2006/relationships/hyperlink" Id="rId166" Target="https://doi.org/10.1007/s10814-013-9068-y" TargetMode="External" /><Relationship Type="http://schemas.openxmlformats.org/officeDocument/2006/relationships/hyperlink" Id="rId153" Target="https://doi.org/10.1007/s10816-015-9272-9" TargetMode="External" /><Relationship Type="http://schemas.openxmlformats.org/officeDocument/2006/relationships/hyperlink" Id="rId301" Target="https://doi.org/10.1007/s10816-023-09608-7" TargetMode="External" /><Relationship Type="http://schemas.openxmlformats.org/officeDocument/2006/relationships/hyperlink" Id="rId129" Target="https://doi.org/10.1007/s12520-018-0742-3" TargetMode="External" /><Relationship Type="http://schemas.openxmlformats.org/officeDocument/2006/relationships/hyperlink" Id="rId273" Target="https://doi.org/10.1007/s41982-023-00158-8" TargetMode="External" /><Relationship Type="http://schemas.openxmlformats.org/officeDocument/2006/relationships/hyperlink" Id="rId119" Target="https://doi.org/10.1007/s41982-025-00246-x" TargetMode="External" /><Relationship Type="http://schemas.openxmlformats.org/officeDocument/2006/relationships/hyperlink" Id="rId248" Target="https://doi.org/10.1016/0278-4165(84)90002-3" TargetMode="External" /><Relationship Type="http://schemas.openxmlformats.org/officeDocument/2006/relationships/hyperlink" Id="rId161" Target="https://doi.org/10.1016/B978-0-12-564750-2.50006-8" TargetMode="External" /><Relationship Type="http://schemas.openxmlformats.org/officeDocument/2006/relationships/hyperlink" Id="rId182" Target="https://doi.org/10.1016/B978-0-12-564750-2.50016-0" TargetMode="External" /><Relationship Type="http://schemas.openxmlformats.org/officeDocument/2006/relationships/hyperlink" Id="rId240" Target="https://doi.org/10.1016/B978-0-12-564750-2.50020-2" TargetMode="External" /><Relationship Type="http://schemas.openxmlformats.org/officeDocument/2006/relationships/hyperlink" Id="rId151" Target="https://doi.org/10.1016/j.evolhumbehav.2014.09.006" TargetMode="External" /><Relationship Type="http://schemas.openxmlformats.org/officeDocument/2006/relationships/hyperlink" Id="rId168" Target="https://doi.org/10.1016/j.evolhumbehav.2022.07.003" TargetMode="External" /><Relationship Type="http://schemas.openxmlformats.org/officeDocument/2006/relationships/hyperlink" Id="rId265" Target="https://doi.org/10.1016/j.jaa.2005.08.001" TargetMode="External" /><Relationship Type="http://schemas.openxmlformats.org/officeDocument/2006/relationships/hyperlink" Id="rId197" Target="https://doi.org/10.1016/j.jaa.2005.11.004" TargetMode="External" /><Relationship Type="http://schemas.openxmlformats.org/officeDocument/2006/relationships/hyperlink" Id="rId220"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55" Target="https://doi.org/10.1016/j.jas.2025.106281" TargetMode="External" /><Relationship Type="http://schemas.openxmlformats.org/officeDocument/2006/relationships/hyperlink" Id="rId282" Target="https://doi.org/10.1016/j.jasrep.2021.103118" TargetMode="External" /><Relationship Type="http://schemas.openxmlformats.org/officeDocument/2006/relationships/hyperlink" Id="rId195" Target="https://doi.org/10.1016/j.jasrep.2024.104798" TargetMode="External" /><Relationship Type="http://schemas.openxmlformats.org/officeDocument/2006/relationships/hyperlink" Id="rId108" Target="https://doi.org/10.1016/j.jhevol.2011.06.005" TargetMode="External" /><Relationship Type="http://schemas.openxmlformats.org/officeDocument/2006/relationships/hyperlink" Id="rId100" Target="https://doi.org/10.1016/j.jhevol.2012.10.001" TargetMode="External" /><Relationship Type="http://schemas.openxmlformats.org/officeDocument/2006/relationships/hyperlink" Id="rId93" Target="https://doi.org/10.1016/j.qeh.2024.100037" TargetMode="External" /><Relationship Type="http://schemas.openxmlformats.org/officeDocument/2006/relationships/hyperlink" Id="rId170"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21" Target="https://doi.org/10.1016/j.quascirev.2009.11.015" TargetMode="External" /><Relationship Type="http://schemas.openxmlformats.org/officeDocument/2006/relationships/hyperlink" Id="rId286"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85" Target="https://doi.org/10.1017/CBO9780511558252.004" TargetMode="External" /><Relationship Type="http://schemas.openxmlformats.org/officeDocument/2006/relationships/hyperlink" Id="rId127" Target="https://doi.org/10.1017/RDC.2020.95" TargetMode="External" /><Relationship Type="http://schemas.openxmlformats.org/officeDocument/2006/relationships/hyperlink" Id="rId172" Target="https://doi.org/10.1017/S0079497X00006265" TargetMode="External" /><Relationship Type="http://schemas.openxmlformats.org/officeDocument/2006/relationships/hyperlink" Id="rId269" Target="https://doi.org/10.1017/S0959774322000415" TargetMode="External" /><Relationship Type="http://schemas.openxmlformats.org/officeDocument/2006/relationships/hyperlink" Id="rId277" Target="https://doi.org/10.1017/S0959774324000155" TargetMode="External" /><Relationship Type="http://schemas.openxmlformats.org/officeDocument/2006/relationships/hyperlink" Id="rId88" Target="https://doi.org/10.1017/ppr.2019.11" TargetMode="External" /><Relationship Type="http://schemas.openxmlformats.org/officeDocument/2006/relationships/hyperlink" Id="rId112" Target="https://doi.org/10.1038/nature03585" TargetMode="External" /><Relationship Type="http://schemas.openxmlformats.org/officeDocument/2006/relationships/hyperlink" Id="rId233"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94" Target="https://doi.org/10.1073/pnas.1518798113" TargetMode="External" /><Relationship Type="http://schemas.openxmlformats.org/officeDocument/2006/relationships/hyperlink" Id="rId267" Target="https://doi.org/10.1073/pnas.2520385123" TargetMode="External" /><Relationship Type="http://schemas.openxmlformats.org/officeDocument/2006/relationships/hyperlink" Id="rId242" Target="https://doi.org/10.1080/00438243.1994.9980272" TargetMode="External" /><Relationship Type="http://schemas.openxmlformats.org/officeDocument/2006/relationships/hyperlink" Id="rId250" Target="https://doi.org/10.1080/03122417.1992.11681450" TargetMode="External" /><Relationship Type="http://schemas.openxmlformats.org/officeDocument/2006/relationships/hyperlink" Id="rId235" Target="https://doi.org/10.1080/03122417.1992.11681454" TargetMode="External" /><Relationship Type="http://schemas.openxmlformats.org/officeDocument/2006/relationships/hyperlink" Id="rId275" Target="https://doi.org/10.1080/1751696X.2024.2441115" TargetMode="External" /><Relationship Type="http://schemas.openxmlformats.org/officeDocument/2006/relationships/hyperlink" Id="rId214" Target="https://doi.org/10.1086/202540" TargetMode="External" /><Relationship Type="http://schemas.openxmlformats.org/officeDocument/2006/relationships/hyperlink" Id="rId224" Target="https://doi.org/10.1086/202802" TargetMode="External" /><Relationship Type="http://schemas.openxmlformats.org/officeDocument/2006/relationships/hyperlink" Id="rId216" Target="https://doi.org/10.1086/701523" TargetMode="External" /><Relationship Type="http://schemas.openxmlformats.org/officeDocument/2006/relationships/hyperlink" Id="rId193" Target="https://doi.org/10.1086/jar.39.3.3629672" TargetMode="External" /><Relationship Type="http://schemas.openxmlformats.org/officeDocument/2006/relationships/hyperlink" Id="rId191" Target="https://doi.org/10.1086/jar.46.2.3630069" TargetMode="External" /><Relationship Type="http://schemas.openxmlformats.org/officeDocument/2006/relationships/hyperlink" Id="rId299" Target="https://doi.org/10.1093/oxfordhb/9780198854265.013.31" TargetMode="External" /><Relationship Type="http://schemas.openxmlformats.org/officeDocument/2006/relationships/hyperlink" Id="rId263" Target="https://doi.org/10.1093/oxfordhb/9780198854265.013.34" TargetMode="External" /><Relationship Type="http://schemas.openxmlformats.org/officeDocument/2006/relationships/hyperlink" Id="rId288" Target="https://doi.org/10.1098/rsif.2017.0171" TargetMode="External" /><Relationship Type="http://schemas.openxmlformats.org/officeDocument/2006/relationships/hyperlink" Id="rId204" Target="https://doi.org/10.1098/rstb.2020.0318" TargetMode="External" /><Relationship Type="http://schemas.openxmlformats.org/officeDocument/2006/relationships/hyperlink" Id="rId261" Target="https://doi.org/10.1111/brv.12599" TargetMode="External" /><Relationship Type="http://schemas.openxmlformats.org/officeDocument/2006/relationships/hyperlink" Id="rId218" Target="https://doi.org/10.1111/j.1468-0092.1982.tb00313.x" TargetMode="External" /><Relationship Type="http://schemas.openxmlformats.org/officeDocument/2006/relationships/hyperlink" Id="rId139" Target="https://doi.org/10.1111/j.1502-3931.1988.tb01756.x" TargetMode="External" /><Relationship Type="http://schemas.openxmlformats.org/officeDocument/2006/relationships/hyperlink" Id="rId206" Target="https://doi.org/10.1111/tops.12762" TargetMode="External" /><Relationship Type="http://schemas.openxmlformats.org/officeDocument/2006/relationships/hyperlink" Id="rId259" Target="https://doi.org/10.1126/sciadv.aax5913" TargetMode="External" /><Relationship Type="http://schemas.openxmlformats.org/officeDocument/2006/relationships/hyperlink" Id="rId141" Target="https://doi.org/10.1146/annurev-anthro-102116-041423" TargetMode="External" /><Relationship Type="http://schemas.openxmlformats.org/officeDocument/2006/relationships/hyperlink" Id="rId227"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77" Target="https://doi.org/10.1179/sea.2010.29.1.013" TargetMode="External" /><Relationship Type="http://schemas.openxmlformats.org/officeDocument/2006/relationships/hyperlink" Id="rId292" Target="https://doi.org/10.1371/journal.pone.0102806" TargetMode="External" /><Relationship Type="http://schemas.openxmlformats.org/officeDocument/2006/relationships/hyperlink" Id="rId135" Target="https://doi.org/10.1371/journal.pone.0121166" TargetMode="External" /><Relationship Type="http://schemas.openxmlformats.org/officeDocument/2006/relationships/hyperlink" Id="rId102" Target="https://doi.org/10.1371/journal.pone.0189241" TargetMode="External" /><Relationship Type="http://schemas.openxmlformats.org/officeDocument/2006/relationships/hyperlink" Id="rId114" Target="https://doi.org/10.1371/journal.pone.0194097" TargetMode="External" /><Relationship Type="http://schemas.openxmlformats.org/officeDocument/2006/relationships/hyperlink" Id="rId98" Target="https://doi.org/10.1371/journal.pone.0211562" TargetMode="External" /><Relationship Type="http://schemas.openxmlformats.org/officeDocument/2006/relationships/hyperlink" Id="rId212"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6" Target="https://doi.org/10.1371/journal.pone.0345202" TargetMode="External" /><Relationship Type="http://schemas.openxmlformats.org/officeDocument/2006/relationships/hyperlink" Id="rId137" Target="https://doi.org/10.18637/jss.v025.i03" TargetMode="External" /><Relationship Type="http://schemas.openxmlformats.org/officeDocument/2006/relationships/hyperlink" Id="rId271" Target="https://doi.org/10.2139/ssrn.7053279" TargetMode="External" /><Relationship Type="http://schemas.openxmlformats.org/officeDocument/2006/relationships/hyperlink" Id="rId187" Target="https://doi.org/10.2307/279544" TargetMode="External" /><Relationship Type="http://schemas.openxmlformats.org/officeDocument/2006/relationships/hyperlink" Id="rId189" Target="https://doi.org/10.2307/2800797" TargetMode="External" /><Relationship Type="http://schemas.openxmlformats.org/officeDocument/2006/relationships/hyperlink" Id="rId284" Target="https://doi.org/10.2307/2802103" TargetMode="External" /><Relationship Type="http://schemas.openxmlformats.org/officeDocument/2006/relationships/hyperlink" Id="rId231" Target="https://doi.org/10.2307/280511" TargetMode="External" /><Relationship Type="http://schemas.openxmlformats.org/officeDocument/2006/relationships/hyperlink" Id="rId159" Target="https://doi.org/10.2307/3034956" TargetMode="External" /><Relationship Type="http://schemas.openxmlformats.org/officeDocument/2006/relationships/hyperlink" Id="rId246" Target="https://doi.org/10.2307/40035267" TargetMode="External" /><Relationship Type="http://schemas.openxmlformats.org/officeDocument/2006/relationships/hyperlink" Id="rId257" Target="https://doi.org/10.2307/4128416" TargetMode="External" /><Relationship Type="http://schemas.openxmlformats.org/officeDocument/2006/relationships/hyperlink" Id="rId174" Target="https://doi.org/10.2307/j.ctv24q4z2g.5" TargetMode="External" /><Relationship Type="http://schemas.openxmlformats.org/officeDocument/2006/relationships/hyperlink" Id="rId202" Target="https://doi.org/10.2307/j.ctvdmwwz4.10" TargetMode="External" /><Relationship Type="http://schemas.openxmlformats.org/officeDocument/2006/relationships/hyperlink" Id="rId200" Target="https://doi.org/10.2307/j.ctvdmwwz4.7" TargetMode="External" /><Relationship Type="http://schemas.openxmlformats.org/officeDocument/2006/relationships/hyperlink" Id="rId106" Target="https://doi.org/10.30861/9781841718309" TargetMode="External" /><Relationship Type="http://schemas.openxmlformats.org/officeDocument/2006/relationships/hyperlink" Id="rId208" Target="https://doi.org/10.3213/2191-5784-10243" TargetMode="External" /><Relationship Type="http://schemas.openxmlformats.org/officeDocument/2006/relationships/hyperlink" Id="rId133" Target="https://doi.org/10.32614/CRAN.package.vegan" TargetMode="External" /><Relationship Type="http://schemas.openxmlformats.org/officeDocument/2006/relationships/hyperlink" Id="rId123" Target="https://doi.org/10.32614/rj-2018-009" TargetMode="External" /><Relationship Type="http://schemas.openxmlformats.org/officeDocument/2006/relationships/hyperlink" Id="rId297" Target="https://doi.org/10.3828/hgr.2023.12" TargetMode="External" /><Relationship Type="http://schemas.openxmlformats.org/officeDocument/2006/relationships/hyperlink" Id="rId222" Target="https://doi.org/10.4000/palethnologie.4945" TargetMode="External" /><Relationship Type="http://schemas.openxmlformats.org/officeDocument/2006/relationships/hyperlink" Id="rId117" Target="https://doi.org/10.4000/palethnologie.736" TargetMode="External" /><Relationship Type="http://schemas.openxmlformats.org/officeDocument/2006/relationships/hyperlink" Id="rId90" Target="https://doi.org/10.4436/JASS.98021" TargetMode="External" /><Relationship Type="http://schemas.openxmlformats.org/officeDocument/2006/relationships/hyperlink" Id="rId229" Target="https://doi.org/10.5281/zenodo.15397990" TargetMode="External" /><Relationship Type="http://schemas.openxmlformats.org/officeDocument/2006/relationships/hyperlink" Id="rId104" Target="https://doi.org/10.7485/QU65_1" TargetMode="External" /><Relationship Type="http://schemas.openxmlformats.org/officeDocument/2006/relationships/hyperlink" Id="rId147" Target="https://igraph.org" TargetMode="External" /><Relationship Type="http://schemas.openxmlformats.org/officeDocument/2006/relationships/hyperlink" Id="rId210"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63" Target="http://www.jstor.org.offcampus.lib.washington.edu/stable/j.ctt1pk86rr.16" TargetMode="External" /><Relationship Type="http://schemas.openxmlformats.org/officeDocument/2006/relationships/hyperlink" Id="rId157" Target="http://www.jstor.org.offcampus.lib.washington.edu/stable/j.ctt1pk86rr.5" TargetMode="External" /><Relationship Type="http://schemas.openxmlformats.org/officeDocument/2006/relationships/hyperlink" Id="rId145"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25" Target="https://docs.ropensci.org/rnaturalearth/" TargetMode="External" /><Relationship Type="http://schemas.openxmlformats.org/officeDocument/2006/relationships/hyperlink" Id="rId238" Target="https://doi.org/10.1002/9780470773475.ch5" TargetMode="External" /><Relationship Type="http://schemas.openxmlformats.org/officeDocument/2006/relationships/hyperlink" Id="rId244" Target="https://doi.org/10.1002/9781118253892.ch6" TargetMode="External" /><Relationship Type="http://schemas.openxmlformats.org/officeDocument/2006/relationships/hyperlink" Id="rId149" Target="https://doi.org/10.1002/9781118445112.stat07841" TargetMode="External" /><Relationship Type="http://schemas.openxmlformats.org/officeDocument/2006/relationships/hyperlink" Id="rId131" Target="https://doi.org/10.1002/ajpa.1330350608" TargetMode="External" /><Relationship Type="http://schemas.openxmlformats.org/officeDocument/2006/relationships/hyperlink" Id="rId179" Target="https://doi.org/10.1002/ajpa.22832" TargetMode="External" /><Relationship Type="http://schemas.openxmlformats.org/officeDocument/2006/relationships/hyperlink" Id="rId110" Target="https://doi.org/10.1002/jqs.3236" TargetMode="External" /><Relationship Type="http://schemas.openxmlformats.org/officeDocument/2006/relationships/hyperlink" Id="rId143" Target="https://doi.org/10.1002/spe.4380211102" TargetMode="External" /><Relationship Type="http://schemas.openxmlformats.org/officeDocument/2006/relationships/hyperlink" Id="rId290" Target="https://doi.org/10.1007/978-1-4757-9945-3_4" TargetMode="External" /><Relationship Type="http://schemas.openxmlformats.org/officeDocument/2006/relationships/hyperlink" Id="rId86" Target="https://doi.org/10.1007/978-3-319-51726-1_3441-1" TargetMode="External" /><Relationship Type="http://schemas.openxmlformats.org/officeDocument/2006/relationships/hyperlink" Id="rId252" Target="https://doi.org/10.1007/978-4-431-55363-2_8" TargetMode="External" /><Relationship Type="http://schemas.openxmlformats.org/officeDocument/2006/relationships/hyperlink" Id="rId279" Target="https://doi.org/10.1007/978-981-13-8980-1_12" TargetMode="External" /><Relationship Type="http://schemas.openxmlformats.org/officeDocument/2006/relationships/hyperlink" Id="rId166" Target="https://doi.org/10.1007/s10814-013-9068-y" TargetMode="External" /><Relationship Type="http://schemas.openxmlformats.org/officeDocument/2006/relationships/hyperlink" Id="rId153" Target="https://doi.org/10.1007/s10816-015-9272-9" TargetMode="External" /><Relationship Type="http://schemas.openxmlformats.org/officeDocument/2006/relationships/hyperlink" Id="rId301" Target="https://doi.org/10.1007/s10816-023-09608-7" TargetMode="External" /><Relationship Type="http://schemas.openxmlformats.org/officeDocument/2006/relationships/hyperlink" Id="rId129" Target="https://doi.org/10.1007/s12520-018-0742-3" TargetMode="External" /><Relationship Type="http://schemas.openxmlformats.org/officeDocument/2006/relationships/hyperlink" Id="rId273" Target="https://doi.org/10.1007/s41982-023-00158-8" TargetMode="External" /><Relationship Type="http://schemas.openxmlformats.org/officeDocument/2006/relationships/hyperlink" Id="rId119" Target="https://doi.org/10.1007/s41982-025-00246-x" TargetMode="External" /><Relationship Type="http://schemas.openxmlformats.org/officeDocument/2006/relationships/hyperlink" Id="rId248" Target="https://doi.org/10.1016/0278-4165(84)90002-3" TargetMode="External" /><Relationship Type="http://schemas.openxmlformats.org/officeDocument/2006/relationships/hyperlink" Id="rId161" Target="https://doi.org/10.1016/B978-0-12-564750-2.50006-8" TargetMode="External" /><Relationship Type="http://schemas.openxmlformats.org/officeDocument/2006/relationships/hyperlink" Id="rId182" Target="https://doi.org/10.1016/B978-0-12-564750-2.50016-0" TargetMode="External" /><Relationship Type="http://schemas.openxmlformats.org/officeDocument/2006/relationships/hyperlink" Id="rId240" Target="https://doi.org/10.1016/B978-0-12-564750-2.50020-2" TargetMode="External" /><Relationship Type="http://schemas.openxmlformats.org/officeDocument/2006/relationships/hyperlink" Id="rId151" Target="https://doi.org/10.1016/j.evolhumbehav.2014.09.006" TargetMode="External" /><Relationship Type="http://schemas.openxmlformats.org/officeDocument/2006/relationships/hyperlink" Id="rId168" Target="https://doi.org/10.1016/j.evolhumbehav.2022.07.003" TargetMode="External" /><Relationship Type="http://schemas.openxmlformats.org/officeDocument/2006/relationships/hyperlink" Id="rId265" Target="https://doi.org/10.1016/j.jaa.2005.08.001" TargetMode="External" /><Relationship Type="http://schemas.openxmlformats.org/officeDocument/2006/relationships/hyperlink" Id="rId197" Target="https://doi.org/10.1016/j.jaa.2005.11.004" TargetMode="External" /><Relationship Type="http://schemas.openxmlformats.org/officeDocument/2006/relationships/hyperlink" Id="rId220"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55" Target="https://doi.org/10.1016/j.jas.2025.106281" TargetMode="External" /><Relationship Type="http://schemas.openxmlformats.org/officeDocument/2006/relationships/hyperlink" Id="rId282" Target="https://doi.org/10.1016/j.jasrep.2021.103118" TargetMode="External" /><Relationship Type="http://schemas.openxmlformats.org/officeDocument/2006/relationships/hyperlink" Id="rId195" Target="https://doi.org/10.1016/j.jasrep.2024.104798" TargetMode="External" /><Relationship Type="http://schemas.openxmlformats.org/officeDocument/2006/relationships/hyperlink" Id="rId108" Target="https://doi.org/10.1016/j.jhevol.2011.06.005" TargetMode="External" /><Relationship Type="http://schemas.openxmlformats.org/officeDocument/2006/relationships/hyperlink" Id="rId100" Target="https://doi.org/10.1016/j.jhevol.2012.10.001" TargetMode="External" /><Relationship Type="http://schemas.openxmlformats.org/officeDocument/2006/relationships/hyperlink" Id="rId93" Target="https://doi.org/10.1016/j.qeh.2024.100037" TargetMode="External" /><Relationship Type="http://schemas.openxmlformats.org/officeDocument/2006/relationships/hyperlink" Id="rId170"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21" Target="https://doi.org/10.1016/j.quascirev.2009.11.015" TargetMode="External" /><Relationship Type="http://schemas.openxmlformats.org/officeDocument/2006/relationships/hyperlink" Id="rId286"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85" Target="https://doi.org/10.1017/CBO9780511558252.004" TargetMode="External" /><Relationship Type="http://schemas.openxmlformats.org/officeDocument/2006/relationships/hyperlink" Id="rId127" Target="https://doi.org/10.1017/RDC.2020.95" TargetMode="External" /><Relationship Type="http://schemas.openxmlformats.org/officeDocument/2006/relationships/hyperlink" Id="rId172" Target="https://doi.org/10.1017/S0079497X00006265" TargetMode="External" /><Relationship Type="http://schemas.openxmlformats.org/officeDocument/2006/relationships/hyperlink" Id="rId269" Target="https://doi.org/10.1017/S0959774322000415" TargetMode="External" /><Relationship Type="http://schemas.openxmlformats.org/officeDocument/2006/relationships/hyperlink" Id="rId277" Target="https://doi.org/10.1017/S0959774324000155" TargetMode="External" /><Relationship Type="http://schemas.openxmlformats.org/officeDocument/2006/relationships/hyperlink" Id="rId88" Target="https://doi.org/10.1017/ppr.2019.11" TargetMode="External" /><Relationship Type="http://schemas.openxmlformats.org/officeDocument/2006/relationships/hyperlink" Id="rId112" Target="https://doi.org/10.1038/nature03585" TargetMode="External" /><Relationship Type="http://schemas.openxmlformats.org/officeDocument/2006/relationships/hyperlink" Id="rId233"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94" Target="https://doi.org/10.1073/pnas.1518798113" TargetMode="External" /><Relationship Type="http://schemas.openxmlformats.org/officeDocument/2006/relationships/hyperlink" Id="rId267" Target="https://doi.org/10.1073/pnas.2520385123" TargetMode="External" /><Relationship Type="http://schemas.openxmlformats.org/officeDocument/2006/relationships/hyperlink" Id="rId242" Target="https://doi.org/10.1080/00438243.1994.9980272" TargetMode="External" /><Relationship Type="http://schemas.openxmlformats.org/officeDocument/2006/relationships/hyperlink" Id="rId250" Target="https://doi.org/10.1080/03122417.1992.11681450" TargetMode="External" /><Relationship Type="http://schemas.openxmlformats.org/officeDocument/2006/relationships/hyperlink" Id="rId235" Target="https://doi.org/10.1080/03122417.1992.11681454" TargetMode="External" /><Relationship Type="http://schemas.openxmlformats.org/officeDocument/2006/relationships/hyperlink" Id="rId275" Target="https://doi.org/10.1080/1751696X.2024.2441115" TargetMode="External" /><Relationship Type="http://schemas.openxmlformats.org/officeDocument/2006/relationships/hyperlink" Id="rId214" Target="https://doi.org/10.1086/202540" TargetMode="External" /><Relationship Type="http://schemas.openxmlformats.org/officeDocument/2006/relationships/hyperlink" Id="rId224" Target="https://doi.org/10.1086/202802" TargetMode="External" /><Relationship Type="http://schemas.openxmlformats.org/officeDocument/2006/relationships/hyperlink" Id="rId216" Target="https://doi.org/10.1086/701523" TargetMode="External" /><Relationship Type="http://schemas.openxmlformats.org/officeDocument/2006/relationships/hyperlink" Id="rId193" Target="https://doi.org/10.1086/jar.39.3.3629672" TargetMode="External" /><Relationship Type="http://schemas.openxmlformats.org/officeDocument/2006/relationships/hyperlink" Id="rId191" Target="https://doi.org/10.1086/jar.46.2.3630069" TargetMode="External" /><Relationship Type="http://schemas.openxmlformats.org/officeDocument/2006/relationships/hyperlink" Id="rId299" Target="https://doi.org/10.1093/oxfordhb/9780198854265.013.31" TargetMode="External" /><Relationship Type="http://schemas.openxmlformats.org/officeDocument/2006/relationships/hyperlink" Id="rId263" Target="https://doi.org/10.1093/oxfordhb/9780198854265.013.34" TargetMode="External" /><Relationship Type="http://schemas.openxmlformats.org/officeDocument/2006/relationships/hyperlink" Id="rId288" Target="https://doi.org/10.1098/rsif.2017.0171" TargetMode="External" /><Relationship Type="http://schemas.openxmlformats.org/officeDocument/2006/relationships/hyperlink" Id="rId204" Target="https://doi.org/10.1098/rstb.2020.0318" TargetMode="External" /><Relationship Type="http://schemas.openxmlformats.org/officeDocument/2006/relationships/hyperlink" Id="rId261" Target="https://doi.org/10.1111/brv.12599" TargetMode="External" /><Relationship Type="http://schemas.openxmlformats.org/officeDocument/2006/relationships/hyperlink" Id="rId218" Target="https://doi.org/10.1111/j.1468-0092.1982.tb00313.x" TargetMode="External" /><Relationship Type="http://schemas.openxmlformats.org/officeDocument/2006/relationships/hyperlink" Id="rId139" Target="https://doi.org/10.1111/j.1502-3931.1988.tb01756.x" TargetMode="External" /><Relationship Type="http://schemas.openxmlformats.org/officeDocument/2006/relationships/hyperlink" Id="rId206" Target="https://doi.org/10.1111/tops.12762" TargetMode="External" /><Relationship Type="http://schemas.openxmlformats.org/officeDocument/2006/relationships/hyperlink" Id="rId259" Target="https://doi.org/10.1126/sciadv.aax5913" TargetMode="External" /><Relationship Type="http://schemas.openxmlformats.org/officeDocument/2006/relationships/hyperlink" Id="rId141" Target="https://doi.org/10.1146/annurev-anthro-102116-041423" TargetMode="External" /><Relationship Type="http://schemas.openxmlformats.org/officeDocument/2006/relationships/hyperlink" Id="rId227"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77" Target="https://doi.org/10.1179/sea.2010.29.1.013" TargetMode="External" /><Relationship Type="http://schemas.openxmlformats.org/officeDocument/2006/relationships/hyperlink" Id="rId292" Target="https://doi.org/10.1371/journal.pone.0102806" TargetMode="External" /><Relationship Type="http://schemas.openxmlformats.org/officeDocument/2006/relationships/hyperlink" Id="rId135" Target="https://doi.org/10.1371/journal.pone.0121166" TargetMode="External" /><Relationship Type="http://schemas.openxmlformats.org/officeDocument/2006/relationships/hyperlink" Id="rId102" Target="https://doi.org/10.1371/journal.pone.0189241" TargetMode="External" /><Relationship Type="http://schemas.openxmlformats.org/officeDocument/2006/relationships/hyperlink" Id="rId114" Target="https://doi.org/10.1371/journal.pone.0194097" TargetMode="External" /><Relationship Type="http://schemas.openxmlformats.org/officeDocument/2006/relationships/hyperlink" Id="rId98" Target="https://doi.org/10.1371/journal.pone.0211562" TargetMode="External" /><Relationship Type="http://schemas.openxmlformats.org/officeDocument/2006/relationships/hyperlink" Id="rId212"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6" Target="https://doi.org/10.1371/journal.pone.0345202" TargetMode="External" /><Relationship Type="http://schemas.openxmlformats.org/officeDocument/2006/relationships/hyperlink" Id="rId137" Target="https://doi.org/10.18637/jss.v025.i03" TargetMode="External" /><Relationship Type="http://schemas.openxmlformats.org/officeDocument/2006/relationships/hyperlink" Id="rId271" Target="https://doi.org/10.2139/ssrn.7053279" TargetMode="External" /><Relationship Type="http://schemas.openxmlformats.org/officeDocument/2006/relationships/hyperlink" Id="rId187" Target="https://doi.org/10.2307/279544" TargetMode="External" /><Relationship Type="http://schemas.openxmlformats.org/officeDocument/2006/relationships/hyperlink" Id="rId189" Target="https://doi.org/10.2307/2800797" TargetMode="External" /><Relationship Type="http://schemas.openxmlformats.org/officeDocument/2006/relationships/hyperlink" Id="rId284" Target="https://doi.org/10.2307/2802103" TargetMode="External" /><Relationship Type="http://schemas.openxmlformats.org/officeDocument/2006/relationships/hyperlink" Id="rId231" Target="https://doi.org/10.2307/280511" TargetMode="External" /><Relationship Type="http://schemas.openxmlformats.org/officeDocument/2006/relationships/hyperlink" Id="rId159" Target="https://doi.org/10.2307/3034956" TargetMode="External" /><Relationship Type="http://schemas.openxmlformats.org/officeDocument/2006/relationships/hyperlink" Id="rId246" Target="https://doi.org/10.2307/40035267" TargetMode="External" /><Relationship Type="http://schemas.openxmlformats.org/officeDocument/2006/relationships/hyperlink" Id="rId257" Target="https://doi.org/10.2307/4128416" TargetMode="External" /><Relationship Type="http://schemas.openxmlformats.org/officeDocument/2006/relationships/hyperlink" Id="rId174" Target="https://doi.org/10.2307/j.ctv24q4z2g.5" TargetMode="External" /><Relationship Type="http://schemas.openxmlformats.org/officeDocument/2006/relationships/hyperlink" Id="rId202" Target="https://doi.org/10.2307/j.ctvdmwwz4.10" TargetMode="External" /><Relationship Type="http://schemas.openxmlformats.org/officeDocument/2006/relationships/hyperlink" Id="rId200" Target="https://doi.org/10.2307/j.ctvdmwwz4.7" TargetMode="External" /><Relationship Type="http://schemas.openxmlformats.org/officeDocument/2006/relationships/hyperlink" Id="rId106" Target="https://doi.org/10.30861/9781841718309" TargetMode="External" /><Relationship Type="http://schemas.openxmlformats.org/officeDocument/2006/relationships/hyperlink" Id="rId208" Target="https://doi.org/10.3213/2191-5784-10243" TargetMode="External" /><Relationship Type="http://schemas.openxmlformats.org/officeDocument/2006/relationships/hyperlink" Id="rId133" Target="https://doi.org/10.32614/CRAN.package.vegan" TargetMode="External" /><Relationship Type="http://schemas.openxmlformats.org/officeDocument/2006/relationships/hyperlink" Id="rId123" Target="https://doi.org/10.32614/rj-2018-009" TargetMode="External" /><Relationship Type="http://schemas.openxmlformats.org/officeDocument/2006/relationships/hyperlink" Id="rId297" Target="https://doi.org/10.3828/hgr.2023.12" TargetMode="External" /><Relationship Type="http://schemas.openxmlformats.org/officeDocument/2006/relationships/hyperlink" Id="rId222" Target="https://doi.org/10.4000/palethnologie.4945" TargetMode="External" /><Relationship Type="http://schemas.openxmlformats.org/officeDocument/2006/relationships/hyperlink" Id="rId117" Target="https://doi.org/10.4000/palethnologie.736" TargetMode="External" /><Relationship Type="http://schemas.openxmlformats.org/officeDocument/2006/relationships/hyperlink" Id="rId90" Target="https://doi.org/10.4436/JASS.98021" TargetMode="External" /><Relationship Type="http://schemas.openxmlformats.org/officeDocument/2006/relationships/hyperlink" Id="rId229" Target="https://doi.org/10.5281/zenodo.15397990" TargetMode="External" /><Relationship Type="http://schemas.openxmlformats.org/officeDocument/2006/relationships/hyperlink" Id="rId104" Target="https://doi.org/10.7485/QU65_1" TargetMode="External" /><Relationship Type="http://schemas.openxmlformats.org/officeDocument/2006/relationships/hyperlink" Id="rId147" Target="https://igraph.org" TargetMode="External" /><Relationship Type="http://schemas.openxmlformats.org/officeDocument/2006/relationships/hyperlink" Id="rId210"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as proxies for cultural connectivity during the Western Eurasian Aurignacian</dc:title>
  <dc:creator>Sophie Cooper1, Aleah Rosner1, Eva Oryn1, Kenneth B. Vernon2, and Ben Marwick1,✉</dc:creator>
  <cp:keywords/>
  <dcterms:created xsi:type="dcterms:W3CDTF">2026-09-03T16:05:51Z</dcterms:created>
  <dcterms:modified xsi:type="dcterms:W3CDTF">2026-09-03T16:05:51Z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September 3,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