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t xml:space="preserve">The 11 plain-range dates in</w:t>
      </w:r>
      <w:r>
        <w:t xml:space="preserve"> </w:t>
      </w:r>
      <w:hyperlink w:anchor="tbl-dropped-sites">
        <w:r>
          <w:rPr>
            <w:rStyle w:val="Hyperlink"/>
          </w:rPr>
          <w:t xml:space="preserve">Table S 1</w:t>
        </w:r>
      </w:hyperlink>
      <w:r>
        <w:t xml:space="preserve"> </w:t>
      </w:r>
      <w:r>
        <w:t xml:space="preserve">are radiocarbon ages with no stated error, so the date parser cannot calibrate them. To estimate the phase of these sites, we calibrated the older end of each range, which is the end that the main analysis uses, with the IntCal20 curve and a nominal error of ±300 years. This is a sensitivity check only, because the true errors are not known.</w:t>
      </w:r>
    </w:p>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Phase assignment then removes 29 objects from Spy, whose assemblage is mixed, from El Castillo, whose Aurignacian attribution is debated, and from the mixed Hohle Fels layer IIIa-V (S2).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Not clearly. The 11 sites whose date strings have no error term have uncalibrated ¹⁴C ages, not calendar ages. The main analysis uses the older end of each date range. With a nominal error of ±300 years, the older ends of 8 of these 11 ranges calibrate to more than 37,799 cal BP, that is, to Aur-P1. These include the largest of these assemblages, Grotte de Goyet (12 objects; 40,302 cal BP). The loss of these sites therefore does not explain the small size of the Aur-P2 sample. The phase of the 16 dropped sites that have no date string is not known.</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and hiding real similarities between site repertoires.</w:t>
      </w:r>
    </w:p>
    <w:p>
      <w:pPr>
        <w:pStyle w:val="BodyText"/>
      </w:pPr>
      <w:r>
        <w:t xml:space="preserve">To confirm that the primary findings reported in the main text are not an artefact of this specific cutoff, we repeated all network analyses at two alternative thresholds, 0.1 (permissive) and 0.3 (conservative),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for the raw statistics. Aur-P1 has more edges and a higher mean degree than Aur-P2 at every threshold, while Aur-P2 has the higher edge density because it has far fewer nodes (</w:t>
      </w:r>
      <w:hyperlink w:anchor="tbl-sens-stats">
        <w:r>
          <w:rPr>
            <w:rStyle w:val="Hyperlink"/>
          </w:rPr>
          <w:t xml:space="preserve">Table S 2</w:t>
        </w:r>
      </w:hyperlink>
      <w:r>
        <w:t xml:space="preserve">). Aur-P1 modularity stays in the range 0.223–0.347 across thresholds. These raw values do not show that either phase has more connectivity or community structure than chance;</w:t>
      </w:r>
      <w:r>
        <w:t xml:space="preserve"> </w:t>
      </w:r>
      <w:r>
        <w:t xml:space="preserve">Section S1.7.2</w:t>
      </w:r>
      <w:r>
        <w:t xml:space="preserve"> </w:t>
      </w:r>
      <w:r>
        <w:t xml:space="preserve">and</w:t>
      </w:r>
      <w:r>
        <w:t xml:space="preserve"> </w:t>
      </w:r>
      <w:r>
        <w:t xml:space="preserve">Section S1.7.6</w:t>
      </w:r>
      <w:r>
        <w:t xml:space="preserve"> </w:t>
      </w:r>
      <w:r>
        <w:t xml:space="preserve">test this.</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(Aur-P1 density 0.658), and the 2 Aur-P1 sites that are isolated at 0.2 become connected. At 0.3 the graph is sparser: Aur-P2 gains 2 isolates, and the number of Aur-P1 isolates stays at 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for Aur-P2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p>
    <w:p>
      <w:pPr>
        <w:numPr>
          <w:ilvl w:val="0"/>
          <w:numId w:val="1002"/>
        </w:numPr>
        <w:pStyle w:val="Compact"/>
      </w:pP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p>
    <w:p>
      <w:pPr>
        <w:numPr>
          <w:ilvl w:val="0"/>
          <w:numId w:val="1002"/>
        </w:numPr>
        <w:pStyle w:val="Compact"/>
      </w:pP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p>
    <w:p>
      <w:pPr>
        <w:numPr>
          <w:ilvl w:val="0"/>
          <w:numId w:val="1002"/>
        </w:numPr>
        <w:pStyle w:val="Compact"/>
      </w:pP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FirstParagraph"/>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Sørensen-Dice change community structure relative to Jaccard?</w:t>
      </w:r>
    </w:p>
    <w:p>
      <w:pPr>
        <w:pStyle w:val="BodyText"/>
      </w:pPr>
      <w:r>
        <w:rPr>
          <w:bCs/>
          <w:b/>
        </w:rPr>
        <w:t xml:space="preserve">Question: does the raw mean-degree difference between Aur-P1 and Aur-P2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Sørensen-Dice,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Sørensen-Dice change community structure relative to Jaccard?</w:t>
      </w:r>
      <w:r>
        <w:t xml:space="preserve"> </w:t>
      </w:r>
      <w:r>
        <w:t xml:space="preserve">No. Sørensen similarity yields higher edge counts (for example Aur-P1 113 versus 75 for Jaccard) because double-weighting shared presences elevates similarity scores above the 0.2 threshold. Sørensen yields more edges and fewer communities (Aur-P1 3 versus 4; Aur-P2 2 versus 3); a hub-level comparison is not reported.</w:t>
      </w:r>
    </w:p>
    <w:p>
      <w:pPr>
        <w:pStyle w:val="BodyText"/>
      </w:pPr>
      <w:r>
        <w:rPr>
          <w:bCs/>
          <w:b/>
        </w:rPr>
        <w:t xml:space="preserve">Question: does the raw mean-degree difference between Aur-P1 and Aur-P2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higher raw mean degree of Aur-P1 does not depend on the similarity metric: Jaccard, Sørensen-Dice and Simpson similarity all give Aur-P1 more edges and a higher mean degree than Aur-P2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The community structure does depend on the metric: Aur-P1 modularity is 0.336 under Jaccard, 0.199 under Sørensen-Dice and 0.030 under Simpson. Under Simpson similarity a poor assemblage nested inside a rich one scores high by construction (</w:t>
      </w:r>
      <w:r>
        <w:t xml:space="preserve">Section S1.10.3</w:t>
      </w:r>
      <w:r>
        <w:t xml:space="preserve">), so the network becomes much denser and its community structure almost disappears. Thus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 text reports this east–west component together with the weak dbRDA trend (</w:t>
      </w:r>
      <w:r>
        <w:t xml:space="preserve">Section S1.4.4</w:t>
      </w:r>
      <w:r>
        <w:t xml:space="preserve">).</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the choice of distance measure and the use of a single global correlation can each affect this result. This section checks the result in three ways: a comparison of geodesic and flat-coordinate distances,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These tests measure geographic distance as</w:t>
      </w:r>
      <w:r>
        <w:t xml:space="preserve"> </w:t>
      </w:r>
      <w:r>
        <w:rPr>
          <w:bCs/>
          <w:b/>
        </w:rPr>
        <w:t xml:space="preserve">geodesic distance in kilometres</w:t>
      </w:r>
      <w:r>
        <w:t xml:space="preserve">, computed with</w:t>
      </w:r>
      <w:r>
        <w:t xml:space="preserve"> </w:t>
      </w:r>
      <w:r>
        <w:rPr>
          <w:rStyle w:val="VerbatimChar"/>
        </w:rPr>
        <w:t xml:space="preserve">sf::st_distance()</w:t>
      </w:r>
      <w:r>
        <w:t xml:space="preserve">. A simpler alternative is the Euclidean distance between flat longitude and latitude coordinates (</w:t>
      </w:r>
      <w:r>
        <w:rPr>
          <w:rStyle w:val="VerbatimChar"/>
        </w:rPr>
        <w:t xml:space="preserve">dist(cbind(lon, lat))</w:t>
      </w:r>
      <w:r>
        <w:t xml:space="preserve">), which distorts east–west distances across European latitudes. Here we repeat the Mantel tests with both distance measures, to check that the result does not depend on the distance measure.</w:t>
      </w:r>
    </w:p>
    <w:p>
      <w:pPr>
        <w:pStyle w:val="BodyText"/>
      </w:pPr>
      <w:r>
        <w:rPr>
          <w:bCs/>
          <w:b/>
        </w:rPr>
        <w:t xml:space="preserve">Question: does the non-significant Mantel result hold under both geodesic and flat Euclidean distances?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geodesic distance in kilometres (the distance measure used in the main text).</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under both geodesic and flat Euclidean distances?</w:t>
      </w:r>
      <w:r>
        <w:t xml:space="preserve"> </w:t>
      </w:r>
      <w:r>
        <w:t xml:space="preserve">Yes. Neither distance measure gives a significant correlation in either phase:</w:t>
      </w:r>
    </w:p>
    <w:p>
      <w:pPr>
        <w:numPr>
          <w:ilvl w:val="0"/>
          <w:numId w:val="1003"/>
        </w:numPr>
        <w:pStyle w:val="Compact"/>
      </w:pPr>
      <w:r>
        <w:t xml:space="preserve">In</w:t>
      </w:r>
      <w:r>
        <w:t xml:space="preserve"> </w:t>
      </w:r>
      <w:r>
        <w:rPr>
          <w:bCs/>
          <w:b/>
        </w:rPr>
        <w:t xml:space="preserve">Aur-P1</w:t>
      </w:r>
      <w:r>
        <w:t xml:space="preserve">, the geodesic test gives</w:t>
      </w:r>
      <w:r>
        <w:t xml:space="preserve"> </w:t>
      </w:r>
      <m:oMath>
        <m:r>
          <m:t>R</m:t>
        </m:r>
      </m:oMath>
      <w:r>
        <w:t xml:space="preserve"> </w:t>
      </w:r>
      <w:r>
        <w:t xml:space="preserve">= 0.046 (p = 0.301) and the flat-coordinate test gives</w:t>
      </w:r>
      <w:r>
        <w:t xml:space="preserve"> </w:t>
      </w:r>
      <m:oMath>
        <m:r>
          <m:t>R</m:t>
        </m:r>
      </m:oMath>
      <w:r>
        <w:t xml:space="preserve"> </w:t>
      </w:r>
      <w:r>
        <w:t xml:space="preserve">= 0.026 (p = 0.371).</w:t>
      </w:r>
    </w:p>
    <w:p>
      <w:pPr>
        <w:numPr>
          <w:ilvl w:val="0"/>
          <w:numId w:val="1003"/>
        </w:numPr>
        <w:pStyle w:val="Compact"/>
      </w:pPr>
      <w:r>
        <w:t xml:space="preserve">In</w:t>
      </w:r>
      <w:r>
        <w:t xml:space="preserve"> </w:t>
      </w:r>
      <w:r>
        <w:rPr>
          <w:bCs/>
          <w:b/>
        </w:rPr>
        <w:t xml:space="preserve">Aur-P2</w:t>
      </w:r>
      <w:r>
        <w:t xml:space="preserve">, the geodesic test gives</w:t>
      </w:r>
      <w:r>
        <w:t xml:space="preserve"> </w:t>
      </w:r>
      <m:oMath>
        <m:r>
          <m:t>R</m:t>
        </m:r>
      </m:oMath>
      <w:r>
        <w:t xml:space="preserve"> </w:t>
      </w:r>
      <w:r>
        <w:t xml:space="preserve">= -0.299 (p = 0.967) and the flat-coordinate test gives</w:t>
      </w:r>
      <w:r>
        <w:t xml:space="preserve"> </w:t>
      </w:r>
      <m:oMath>
        <m:r>
          <m:t>R</m:t>
        </m:r>
      </m:oMath>
      <w:r>
        <w:t xml:space="preserve"> </w:t>
      </w:r>
      <w:r>
        <w:t xml:space="preserve">= -0.294 (p = 0.965).</w:t>
      </w:r>
    </w:p>
    <w:p>
      <w:pPr>
        <w:pStyle w:val="FirstParagraph"/>
      </w:pPr>
      <w:r>
        <w:t xml:space="preserve">The geodesic R values are the same as in the main-text Mantel tests. The p-values can differ slightly from the main text, because the two analyses use different random permutations.</w:t>
      </w:r>
    </w:p>
    <w:p>
      <w:pPr>
        <w:pStyle w:val="BodyText"/>
      </w:pPr>
      <w:r>
        <w:rPr>
          <w:bCs/>
          <w:b/>
        </w:rPr>
        <w:t xml:space="preserve">Implication for the main text.</w:t>
      </w:r>
      <w:r>
        <w:t xml:space="preserve"> </w:t>
      </w:r>
      <w:r>
        <w:t xml:space="preserve">The main-text Mantel tests already use geodesic kilometres. Flat coordinates give the same non-significant result in both phases, so the null result does not depend on the distance measure.</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95% interval on the single global Mantel R reported for each phase, by resampling objects within each site. This interval shows how stable R is when objects are resampled. It does not include the uncertainty that comes from the small number of sites, so it cannot measure statistical power. We therefore assess power separately, with the design calculations in</w:t>
      </w:r>
      <w:r>
        <w:t xml:space="preserve"> </w:t>
      </w:r>
      <w:r>
        <w:t xml:space="preserve">Section S1.13</w:t>
      </w:r>
      <w:r>
        <w:t xml:space="preserv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the object-within-site bootstrap is [-0.022, 0.086] for Aur-P1 and [-0.355, -0.231] for Aur-P2. Both intervals are narrow, because this bootstrap keeps the same sites and the same distances and resamples only the objects within each site. The intervals therefore show that each R is stable when objects are resampled. They do not include the uncertainty that comes from the small number of sites, and they do not measure statistical power. The Aur-P2 interval is entirely negative: in this phase, sites that are further apart tend to have more similar repertoires, which is the opposite of isolation by distance. The Mantel test is one-sided (it tests for a positive correlation), so its p-value does not test this negative association. We do not resample sites with replacement, because duplicate sites create pairs with distance 0 and dissimilarity 0. Statistical power is assessed with the design calculations in</w:t>
      </w:r>
      <w:r>
        <w:t xml:space="preserve"> </w:t>
      </w:r>
      <w:r>
        <w:t xml:space="preserve">Section S1.13</w:t>
      </w:r>
      <w:r>
        <w:t xml:space="preserve">. The non-significant Mantel results are therefore a lack of evidence for geographic structure, not evidence that it is absent, and they provide no support for any alternative cultural process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bootstrap intervals show that the Mantel R values are stable under object resampling; power is assessed in</w:t>
      </w:r>
      <w:r>
        <w:t xml:space="preserve"> </w:t>
      </w:r>
      <w:r>
        <w:t xml:space="preserve">Section S1.13</w:t>
      </w:r>
      <w:r>
        <w:t xml:space="preserv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R² is small (0.057): longitude and latitude explain only about 6% of the variation in sign composition.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 Shao et al.</w:t>
      </w:r>
      <w:r>
        <w:t xml:space="preserve"> </w:t>
      </w:r>
      <w:r>
        <w:t xml:space="preserve">[3]</w:t>
      </w:r>
      <w:r>
        <w:t xml:space="preserve">, which merges the Proto- and Early Aurignacian into a single early phase (Aur-P1, 43–37 ka cal BP) and treats the Evolved/Late Aurignacian as a single late phase (Aur-P2, 37–32 ka cal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 Teyssandier and Zilhão</w:t>
      </w:r>
      <w:r>
        <w:t xml:space="preserve"> </w:t>
      </w:r>
      <w:r>
        <w:t xml:space="preserve">[4]</w:t>
      </w:r>
      <w:r>
        <w:t xml:space="preserve">, with the Evolved–Late boundary at 35 ka cal BP. This section answers three specific questions:</w:t>
      </w:r>
    </w:p>
    <w:p>
      <w:pPr>
        <w:pStyle w:val="BodyText"/>
      </w:pPr>
      <w:r>
        <w:rPr>
          <w:bCs/>
          <w:b/>
        </w:rPr>
        <w:t xml:space="preserve">Question: which technology-assigned component carries the raw mean-degree difference between Aur-P1 and Aur-P2?</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raw mean-degree difference between Aur-P1 and Aur-P2?</w:t>
      </w:r>
      <w:r>
        <w:t xml:space="preserve"> </w:t>
      </w:r>
      <w:r>
        <w:t xml:space="preserve">The Early component. Decomposing the two-phase baseline into its technology-assigned components shows that the Early Aurignacian (mean degree = 5.38, 35 edges across 13 sites) has the highest mean degree, higher than that of Aur-P2 (4.22, 19 edges). The relict Proto-Aurignacian, the component that survives after technology-based reassignment moved the well-sampled Swabian and Périgord sites to the Early Aurignacian (</w:t>
      </w:r>
      <w:r>
        <w:t xml:space="preserve">Section S1.5.5</w:t>
      </w:r>
      <w:r>
        <w:t xml:space="preserve">), is the least connected of the three (mean degree 2.57 across 7 sites and 9 edges). The reclassified Proto-Aurignacian sample is too small and too weakly connected to support network-level claims of its own, which is one reason for merging it with the Early Aurignacian. The merged Aur-P1 mean degree (7.50) comes mainly from the Early component.</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raw mean-degree difference between the early and late Aurignacian persists whether the early sequence is analysed as a single phase or as its separate Proto and Early components.</w:t>
      </w:r>
      <w:r>
        <w:t xml:space="preserve"> </w:t>
      </w:r>
      <w:r>
        <w:t xml:space="preserve">Section S1.7.6</w:t>
      </w:r>
      <w:r>
        <w:t xml:space="preserve"> </w:t>
      </w:r>
      <w:r>
        <w:t xml:space="preserve">shows that this raw difference reflects network size.</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cal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cal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 Teyssandier and Zilhão</w:t>
            </w:r>
            <w:r>
              <w:t xml:space="preserve"> </w:t>
            </w:r>
            <w:r>
              <w:t xml:space="preserve">[4]</w:t>
            </w:r>
            <w:r>
              <w:t xml:space="preserve">, with the boundary at 35 ka cal BP.</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 Teyssandier and Zilhão</w:t>
      </w:r>
      <w:r>
        <w:t xml:space="preserve"> </w:t>
      </w:r>
      <w:r>
        <w:t xml:space="preserve">[4]</w:t>
      </w:r>
      <w:r>
        <w:t xml:space="preserve"> </w:t>
      </w:r>
      <w:r>
        <w:t xml:space="preserve">distinguishes Proto, Early (Aurignacian I), Evolved (Aurignacian II), and Late (Aurignacian III-IV) phases. The Early–Evolved transition has been dated to 37.0–36.5 ka cal BP, and the Late Aurignacian is associated with the terminal phase of the technocomplex before the onset of the Gravettian. Splitting the Evolved Aurignacian (Aur-P2) at 35 ka cal BP into Evolved and Late sub-phases tests whether Aur-P2’s connectivity is internally differentiated. The Evolved Aurignacian (37.8–35 ka cal BP) retains moderate connectivity with 13 edges and a mean degree of 3.71 across 7 sites, while the Late Aurignacian (35–32 ka cal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Under the date rule alone, with one median date per site, the older end assigns 19 sites to Aur-P1 and 9 to Aur-P2. The technology-based baseline instead has 20 Aur-P1 units and 9 Aur-P2 units: the technology-based overrides move La Ferrassie to Aur-P1 and Mladeč to Aur-P2, and the layer-level override places the AH V assemblage of Hohle Fels in Aur-P1 and its upper horizons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3 more fail date parsing altogether under the alternative ends (</w:t>
      </w:r>
      <w:hyperlink w:anchor="tbl-date-variant-comparison">
        <w:r>
          <w:rPr>
            <w:rStyle w:val="Hyperlink"/>
          </w:rPr>
          <w:t xml:space="preserve">Table S 11</w:t>
        </w:r>
      </w:hyperlink>
      <w:r>
        <w:t xml:space="preserve">). Between the older and midpoint variants, 6 sites switch phase: Cellier, Grotte de la Verpillière I, Grottes de Fonds-de-Forêt, Solutré, Trou al’Wesse and Vogelherd all move from Aur-P1 to Aur-P2. A further 7 sites,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cal BP) from Aur-P2 (37.8–32.0 ka cal BP).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with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raw mean-degree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cal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cal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cal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cal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raw mean-degree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raw mean-degree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5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 Talamo et al.</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 and Late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ka cal BP) are too young for Proto-Aurignacian</w:t>
      </w:r>
      <w:r>
        <w:t xml:space="preserve"> </w:t>
      </w:r>
      <w:r>
        <w:t xml:space="preserve">[10]</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a purely date-based assignment, in which each object is assigned to a phase by its calibrated date alone, and (B) excluding Vogelherd entirely, given its documented stratigraphic mixing. This section answers two specific questions:</w:t>
      </w:r>
    </w:p>
    <w:p>
      <w:pPr>
        <w:pStyle w:val="BodyText"/>
      </w:pPr>
      <w:r>
        <w:rPr>
          <w:bCs/>
          <w:b/>
        </w:rPr>
        <w:t xml:space="preserve">Question: does the Aur-P1 greater than Aur-P2 raw mean-degree ordering survive under purely date-based assignment?</w:t>
      </w:r>
    </w:p>
    <w:p>
      <w:pPr>
        <w:pStyle w:val="BodyText"/>
      </w:pPr>
      <w:r>
        <w:rPr>
          <w:bCs/>
          <w:b/>
        </w:rPr>
        <w:t xml:space="preserve">Question: does the Aur-P1 greater than Aur-P2 raw mean-degree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those with calibrated medians younger than 37,799 cal BP, move to Aur-P2. The date-based assignment therefore fragments long-occupied sites whose assemblages span the phase boundary, which is precisely the failure mode the technology-based attribution is designed to avoid. Aur-P1 retains 20 sites and gains 80 edges (mean degree 8), while Aur-P2, now missing Mladeč but containing 42 young-dated objects from Hohle Fels and Vogelherd,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raw mean-degree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bookmarkEnd w:id="96"/>
    <w:bookmarkStart w:id="97" w:name="interpretation-4"/>
    <w:p>
      <w:pPr>
        <w:pStyle w:val="Heading3"/>
      </w:pPr>
      <w:r>
        <w:t xml:space="preserve">Interpretation</w:t>
      </w:r>
    </w:p>
    <w:p>
      <w:pPr>
        <w:pStyle w:val="FirstParagraph"/>
      </w:pPr>
      <w:r>
        <w:rPr>
          <w:bCs/>
          <w:b/>
        </w:rPr>
        <w:t xml:space="preserve">Question: does the Aur-P1 greater than Aur-P2 raw mean-degree ordering survive under purely date-based assignment?</w:t>
      </w:r>
      <w:r>
        <w:t xml:space="preserve"> </w:t>
      </w:r>
      <w:r>
        <w:t xml:space="preserve">Yes. The robustness of the Aur-P1 &gt; Aur-P2 raw mean-degree difference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raw mean-degree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Under the date-based assignment the membership of each phase changes (Mladeč moves to Aur-P1, and Hohle Fels and Vogelherd are split between the phases), so the within-phase restricted/broad pattern could also change. We did not refit the stochastic block models under the date-based assignment; the SBM results in</w:t>
      </w:r>
      <w:r>
        <w:t xml:space="preserve"> </w:t>
      </w:r>
      <w:r>
        <w:t xml:space="preserve">Section S1.9.3</w:t>
      </w:r>
      <w:r>
        <w:t xml:space="preserve"> </w:t>
      </w:r>
      <w:r>
        <w:t xml:space="preserve">come from the technology-based baseline.</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5"/>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5"/>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8"/>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shows how much of the variance in sign composition each algorithmic partition explains. Because each partition is fitted to the same data, its PerMANOVA p-value is not a valid test of a group difference (</w:t>
      </w:r>
      <w:r>
        <w:t xml:space="preserve">Section S1.6.8</w:t>
      </w:r>
      <w:r>
        <w:t xml:space="preserve">).</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5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w:t>
      </w:r>
      <w:hyperlink w:anchor="tbl-permanova-comparison">
        <w:r>
          <w:rPr>
            <w:rStyle w:val="Hyperlink"/>
          </w:rPr>
          <w:t xml:space="preserve">Table S 21</w:t>
        </w:r>
      </w:hyperlink>
      <w:r>
        <w:t xml:space="preserve">), but because Louvain is fitted to the same matrix it cannot test circularity; the withheld-data tests in</w:t>
      </w:r>
      <w:r>
        <w:t xml:space="preserve"> </w:t>
      </w:r>
      <w:r>
        <w:t xml:space="preserve">Section S1.10</w:t>
      </w:r>
      <w:r>
        <w:t xml:space="preserve"> </w:t>
      </w:r>
      <w:r>
        <w:t xml:space="preserve">do.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Louvain finds these communities by optimising the same similarity matrix that the PerMANOVA then tests, so these p-values are not valid tests of a group difference, and we do not interpret them as evidence of significant structure. The higher R² values show only that the manual grouping does not capture all of the compositional variation that a data-optimised partition can capture.</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9 restricted-range sites and the second 9 of the 11 broader-range sites, with Les Cottés and Trou al’Wesse separating as singletons. At threshold 0.1, Aur-P1 collapses to 3 communities, with the broader-range group intact at 11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that the algorithmically derived partitions explain more variance than the manual groups. Because these partitions are optimised on the same similarity matrix, this shows only that the manual grouping does not capture all of the compositional variation; it does not show that the group contrast is stronger than the manual R² values suggest.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and threshold, we draw random sets of site-level sign vectors from the pooled site-phase assemblages of both phases, each set with the same number of sites as the phase,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0.207</w:t>
                  </w:r>
                </w:p>
              </w:tc>
              <w:tc>
                <w:tcPr/>
                <w:p>
                  <w:pPr>
                    <w:pStyle w:val="Compact"/>
                    <w:jc w:val="left"/>
                    <w:jc w:val="left"/>
                  </w:pPr>
                  <w:r>
                    <w:t xml:space="preserve">0.036</w:t>
                  </w:r>
                </w:p>
              </w:tc>
              <w:tc>
                <w:tcPr/>
                <w:p>
                  <w:pPr>
                    <w:pStyle w:val="Compact"/>
                    <w:jc w:val="left"/>
                    <w:jc w:val="left"/>
                  </w:pPr>
                  <w:r>
                    <w:t xml:space="preserve">0.306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0.299</w:t>
                  </w:r>
                </w:p>
              </w:tc>
              <w:tc>
                <w:tcPr/>
                <w:p>
                  <w:pPr>
                    <w:pStyle w:val="Compact"/>
                    <w:jc w:val="left"/>
                    <w:jc w:val="left"/>
                  </w:pPr>
                  <w:r>
                    <w:t xml:space="preserve">0.053</w:t>
                  </w:r>
                </w:p>
              </w:tc>
              <w:tc>
                <w:tcPr/>
                <w:p>
                  <w:pPr>
                    <w:pStyle w:val="Compact"/>
                    <w:jc w:val="left"/>
                    <w:jc w:val="left"/>
                  </w:pPr>
                  <w:r>
                    <w:t xml:space="preserve">0.226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0.312</w:t>
                  </w:r>
                </w:p>
              </w:tc>
              <w:tc>
                <w:tcPr/>
                <w:p>
                  <w:pPr>
                    <w:pStyle w:val="Compact"/>
                    <w:jc w:val="left"/>
                    <w:jc w:val="left"/>
                  </w:pPr>
                  <w:r>
                    <w:t xml:space="preserve">0.058</w:t>
                  </w:r>
                </w:p>
              </w:tc>
              <w:tc>
                <w:tcPr/>
                <w:p>
                  <w:pPr>
                    <w:pStyle w:val="Compact"/>
                    <w:jc w:val="left"/>
                    <w:jc w:val="left"/>
                  </w:pPr>
                  <w:r>
                    <w:t xml:space="preserve">0.258</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0.154</w:t>
                  </w:r>
                </w:p>
              </w:tc>
              <w:tc>
                <w:tcPr/>
                <w:p>
                  <w:pPr>
                    <w:pStyle w:val="Compact"/>
                    <w:jc w:val="left"/>
                    <w:jc w:val="left"/>
                  </w:pPr>
                  <w:r>
                    <w:t xml:space="preserve">0.080</w:t>
                  </w:r>
                </w:p>
              </w:tc>
              <w:tc>
                <w:tcPr/>
                <w:p>
                  <w:pPr>
                    <w:pStyle w:val="Compact"/>
                    <w:jc w:val="left"/>
                    <w:jc w:val="left"/>
                  </w:pPr>
                  <w:r>
                    <w:t xml:space="preserve">0.772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0.243</w:t>
                  </w:r>
                </w:p>
              </w:tc>
              <w:tc>
                <w:tcPr/>
                <w:p>
                  <w:pPr>
                    <w:pStyle w:val="Compact"/>
                    <w:jc w:val="left"/>
                    <w:jc w:val="left"/>
                  </w:pPr>
                  <w:r>
                    <w:t xml:space="preserve">0.110</w:t>
                  </w:r>
                </w:p>
              </w:tc>
              <w:tc>
                <w:tcPr/>
                <w:p>
                  <w:pPr>
                    <w:pStyle w:val="Compact"/>
                    <w:jc w:val="left"/>
                    <w:jc w:val="left"/>
                  </w:pPr>
                  <w:r>
                    <w:t xml:space="preserve">0.752</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0.259</w:t>
                  </w:r>
                </w:p>
              </w:tc>
              <w:tc>
                <w:tcPr/>
                <w:p>
                  <w:pPr>
                    <w:pStyle w:val="Compact"/>
                    <w:jc w:val="left"/>
                    <w:jc w:val="left"/>
                  </w:pPr>
                  <w:r>
                    <w:t xml:space="preserve">0.126</w:t>
                  </w:r>
                </w:p>
              </w:tc>
              <w:tc>
                <w:tcPr/>
                <w:p>
                  <w:pPr>
                    <w:pStyle w:val="Compact"/>
                    <w:jc w:val="left"/>
                    <w:jc w:val="left"/>
                  </w:pPr>
                  <w:r>
                    <w:t xml:space="preserve">0.856</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No. The observed modularity is not significantly higher than the null expectation in either phase at any of the three thresholds (smallest p across the six tests = 0.226;</w:t>
      </w:r>
      <w:r>
        <w:t xml:space="preserve"> </w:t>
      </w:r>
      <w:hyperlink w:anchor="tbl-null-modularity">
        <w:r>
          <w:rPr>
            <w:rStyle w:val="Hyperlink"/>
          </w:rPr>
          <w:t xml:space="preserve">Table S 22</w:t>
        </w:r>
      </w:hyperlink>
      <w:r>
        <w:t xml:space="preserve">).</w:t>
      </w:r>
    </w:p>
    <w:p>
      <w:pPr>
        <w:pStyle w:val="BodyText"/>
      </w:pPr>
      <w:r>
        <w:rPr>
          <w:bCs/>
          <w:b/>
        </w:rPr>
        <w:t xml:space="preserve">Implication for the main text.</w:t>
      </w:r>
      <w:r>
        <w:t xml:space="preserve"> </w:t>
      </w:r>
      <w:r>
        <w:t xml:space="preserve">Louvain modularity in each phase is not significantly higher than in random sets of the same number of site-phase assemblages drawn from both phases. At the baseline threshold of 0.2, Aur-P1’s observed modularity (0.336) is higher than the null mean (0.299), but the difference is not significant (p = 0.226). Aur-P2’s observed modularity (0.161) is lower than its null mean (0.243; p = 0.752). The results at thresholds 0.1 and 0.3 are similar (</w:t>
      </w:r>
      <w:hyperlink w:anchor="tbl-null-modularity">
        <w:r>
          <w:rPr>
            <w:rStyle w:val="Hyperlink"/>
          </w:rPr>
          <w:t xml:space="preserve">Table S 22</w:t>
        </w:r>
      </w:hyperlink>
      <w:r>
        <w:t xml:space="preserve">). This agrees with the phase-randomization test in the main text. Thus the modularity values are not evidence of community structure beyond what the site repertoires produce by chance, and they should not be read as evidence for discrete cultural provinces.</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We did not detect a correlation between node degree and sign-type richness in either phase (Aur-P1: ρ = -0.254, p = 0.280; Aur-P2: ρ = 0.163, p = 0.676).</w:t>
      </w:r>
    </w:p>
    <w:p>
      <w:pPr>
        <w:pStyle w:val="BodyText"/>
      </w:pPr>
      <w:r>
        <w:rPr>
          <w:bCs/>
          <w:b/>
        </w:rPr>
        <w:t xml:space="preserve">Implication for the main text.</w:t>
      </w:r>
      <w:r>
        <w:t xml:space="preserve"> </w:t>
      </w:r>
      <w:r>
        <w:t xml:space="preserve">The higher mean degree of Aur-P1 (7.50 at the baseline threshold) than of Aur-P2 (4.22) does not appear to come from richer assemblages in Aur-P1: if richer assemblages mechanically produced more edges, we would expect a positive correlation between richness and degree, and the Aur-P1 correlation is slightly negative. Because the samples are small, these non-significant correlations do not exclude a richness effect. Network size accounts for the mean-degree difference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observed modularity is higher than in Erdos-Renyi random graphs of the same size and density. This benchmark ignores the richness structure of the sign data, so it is not a strong null. When each phase is compared with random sets of real site-phase assemblages of the same size (</w:t>
      </w:r>
      <w:r>
        <w:t xml:space="preserve">Section S1.7.2</w:t>
      </w:r>
      <w:r>
        <w:t xml:space="preserve">), neither phase has higher modularity than expected, and the pairwise permutation test in the main text finds no difference in modularity between the phases. The larger Q ratio in Aur-P1 is therefore descriptive only.</w:t>
      </w:r>
    </w:p>
    <w:p>
      <w:pPr>
        <w:pStyle w:val="FirstParagraph"/>
      </w:pPr>
      <w:r>
        <w:t xml:space="preserve">In short, size normalisation removes the mean-degree difference between the phases. Both phases are more modular than Erdos-Renyi graphs, but the modularity difference between them is not stable across assignment schemes (</w:t>
      </w:r>
      <w:r>
        <w:t xml:space="preserve">Section S1.5.5</w:t>
      </w:r>
      <w:r>
        <w:t xml:space="preserve">) and is not significant in the permutation tests.</w:t>
      </w:r>
    </w:p>
    <w:p>
      <w:pPr>
        <w:pStyle w:val="BodyText"/>
      </w:pPr>
      <w:r>
        <w:rPr>
          <w:bCs/>
          <w:b/>
        </w:rPr>
        <w:t xml:space="preserve">Implication for the main text.</w:t>
      </w:r>
      <w:r>
        <w:t xml:space="preserve"> </w:t>
      </w:r>
      <w:r>
        <w:t xml:space="preserve">After size normalisation, there is no evidence that either phase is more connected or more modular than the other.</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comes from the gap between Aur-P1 and Aur-P2 (mean lag 4.25 ka between sites in different phases).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(the objects of Hohle Fels from both phases are pooled into one site, with one median date)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phase boundary therefore does not impose a temporal-turnover signal: sites in different phases are no more dissimilar in sign repertoire than sites within the same phase. This also explains the main-text temporal Mantel result (R = 0.062, p = 0.005): that test uses all 409 objects, and many objects from the same site share one MedianBP, so it overstates the number of independent observations.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temporal Mantel result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 with n = 9 sites,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has few sites, so k&gt;=4 and all Aur-P2 PERMANOVAs are indicative (Anderson &amp; Walsh 2013).</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(mean silhouette 0.574, PAM geodesic), but k = 2 is retained as the interpretive partition because k = 5 splits the Swabian block into singletons. The k = 2 partition — West versus Central — separates the Dordogne bloc tradition from the Swabian ivory tradition. At k = 2, the mean silhouette of flat k-means differs from that of PAM by 0.001 in Aur-P1, and the agreement between the two geography clusterings is ARI = 0.8 (Aur-P1) and 1 (Aur-P2). The flat version changes R² by at most 0.020, so it does not alter the conclusion. In Aur-P2 (n = 9 sites), k = 4 and k = 5 leave singleton regions and are flagged unstable; they are shown only for completeness and are not interpreted.</w:t>
      </w:r>
    </w:p>
    <w:p>
      <w:pPr>
        <w:pStyle w:val="BodyText"/>
      </w:pPr>
      <w:r>
        <w:t xml:space="preserve">Signs do not form Vanhaeren-style regional provinces. For Aur-P1 the geography-first region explains R² = 0.059 (F = 1.122, p = 0.287, betadisper p = 0.989) at k = 2. At k = 3 the objective region explains R² = 0.107 (p = 0.41), no stronger. In the marginal model</w:t>
      </w:r>
      <w:r>
        <w:t xml:space="preserve"> </w:t>
      </w:r>
      <w:r>
        <w:rPr>
          <w:rStyle w:val="VerbatimChar"/>
        </w:rPr>
        <w:t xml:space="preserve">J ~ region + group</w:t>
      </w:r>
      <w:r>
        <w:t xml:space="preserve"> </w:t>
      </w:r>
      <w:r>
        <w:t xml:space="preserve">(by margin), region has R² = 0.058 (p = 0.164) and group has R² = 0.195 (p = 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The Louvain sign communities do not align with the geographic regions (ARI = -0.03 in Aur-P1 and 0 in Aur-P2), and the manual restricted/broad groups align with them at most weakly (ARI = -0.04 and 0.22). Thus the sign-based groups do not follow these regions.</w:t>
      </w:r>
    </w:p>
    <w:p>
      <w:pPr>
        <w:pStyle w:val="BodyText"/>
      </w:pPr>
      <w:r>
        <w:t xml:space="preserve">Aur-P2 results are indicative. With n = 9 sites, the PAM k = 2 region explains R² = 0.088 (p = 0.783, betadisper p = 0.252); in the marginal model, region given group has R² = 0.03 (p = 1) and group given region has R² = 0.164 (p = 0.267), all with low power. PerMANOVA results for small, unbalanced designs such as Aur-P2 (6 restricted versus 3 broad sites) must be interpreted with caution</w:t>
      </w:r>
      <w:r>
        <w:t xml:space="preserve"> </w:t>
      </w:r>
      <w:r>
        <w:t xml:space="preserve">[17]</w:t>
      </w:r>
      <w:r>
        <w:t xml:space="preserve">. The weak east–west signal in Aur-P1 (</w:t>
      </w:r>
      <w:r>
        <w:t xml:space="preserve">Section S1.3.3</w:t>
      </w:r>
      <w:r>
        <w:t xml:space="preserve">;</w:t>
      </w:r>
      <w:r>
        <w:t xml:space="preserve"> </w:t>
      </w:r>
      <w:r>
        <w:t xml:space="preserve">Section S1.4.4</w:t>
      </w:r>
      <w:r>
        <w:t xml:space="preserve">) coincides with differences in object types and research history: 144 of the 346 Aur-P1 objects are ivory objects from Germany, and 38 are limestone blocks from France.</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 the main text and</w:t>
      </w:r>
      <w:r>
        <w:t xml:space="preserve"> </w:t>
      </w:r>
      <w:r>
        <w:t xml:space="preserve">Section S1.6</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[18]</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[19]</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[20]</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the stability of the two-group partition by subsampling sites without replacement (80% of sites per replicate). We do not resample sites with replacement, because duplicate sites always co-cluster (similarity 1) and inflate within-block co-clustering.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1188"/>
              <w:gridCol w:w="3564"/>
              <w:gridCol w:w="1584"/>
              <w:gridCol w:w="1584"/>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Within-block co-clustering exceeds across-block co-clustering in both phases, but in Aur-P2 the difference is small for the restricted-range block. In</w:t>
      </w:r>
      <w:r>
        <w:t xml:space="preserve"> </w:t>
      </w:r>
      <w:r>
        <w:rPr>
          <w:bCs/>
          <w:b/>
        </w:rPr>
        <w:t xml:space="preserve">Aur-P1</w:t>
      </w:r>
      <w:r>
        <w:t xml:space="preserve">, mean within-block co-clustering is 0.75 for the restricted-range block and 0.97 for the broader-range block, against 0.2 across the two blocks. In</w:t>
      </w:r>
      <w:r>
        <w:t xml:space="preserve"> </w:t>
      </w:r>
      <w:r>
        <w:rPr>
          <w:bCs/>
          <w:b/>
        </w:rPr>
        <w:t xml:space="preserve">Aur-P2</w:t>
      </w:r>
      <w:r>
        <w:t xml:space="preserve">, the values are 0.49 within the restricted block and 0.92 within the broader block, against 0.4 across the blocks. Thus the restricted-range sites of Aur-P2 cluster with each other only slightly more often than with broad-range sites.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restricted/broad labels are stable when sites are subsampled, most clearly in Aur-P1. This stability does not show that two discrete groups exist, because a continuous richness gradient that is divided at one point also gives stable clusters. The null tests in</w:t>
      </w:r>
      <w:r>
        <w:t xml:space="preserve"> </w:t>
      </w:r>
      <w:r>
        <w:t xml:space="preserve">Section S1.9.4</w:t>
      </w:r>
      <w:r>
        <w:t xml:space="preserve"> </w:t>
      </w:r>
      <w:r>
        <w:t xml:space="preserve">and</w:t>
      </w:r>
      <w:r>
        <w:t xml:space="preserve"> </w:t>
      </w:r>
      <w:r>
        <w:t xml:space="preserve">Section S1.9.5</w:t>
      </w:r>
      <w:r>
        <w:t xml:space="preserve"> </w:t>
      </w:r>
      <w:r>
        <w:t xml:space="preserve">show that the pattern does not exceed what site richness and sign-type frequencies alone produce. Some sites have ambiguous membership; per-site consistency values are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variants of the symmetric stochastic block model (</w:t>
      </w:r>
      <w:r>
        <w:rPr>
          <w:rStyle w:val="VerbatimChar"/>
        </w:rPr>
        <w:t xml:space="preserve">SBM_sym</w:t>
      </w:r>
      <w:r>
        <w:t xml:space="preserve">) with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(Jaccard similarity, that is, 1 − Jaccard dissimilarity, with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792"/>
              <w:gridCol w:w="950"/>
              <w:gridCol w:w="2376"/>
              <w:gridCol w:w="950"/>
              <w:gridCol w:w="712"/>
              <w:gridCol w:w="712"/>
              <w:gridCol w:w="712"/>
              <w:gridCol w:w="712"/>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In Aur-P1, with 20 sites and 75 edges at threshold 0.2, all three emission models select more than one block;</w:t>
      </w:r>
      <w:r>
        <w:t xml:space="preserve"> </w:t>
      </w:r>
      <w:r>
        <w:t xml:space="preserve">Section S1.9.4</w:t>
      </w:r>
      <w:r>
        <w:t xml:space="preserve"> </w:t>
      </w:r>
      <w:r>
        <w:t xml:space="preserve">tests whether this preference exceeds a richness-preserving null.</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contains only broad-range sites, the second block contains all restricted-range sites except Labeko Koba, and a third block holds Labeko Koba, Les Cottés and Trou al’Wesse. The Gaussian model has the same broad-range block and the same third block, and it divides the other restricted-range sites into two blocks: Gatzarria, Grotte de la Verpillière I, Grottes de Fonds-de-Forêt and Hohlenstein-Stadel; and Abri Pataud, Fumane, Pod Hradem and Riparo Bombrini. The Poisson model places Grotte du Renne in the same block as all the restricted-range sites, places Les Cottés and Trou al’Wesse in a block of their own, and places the other broad-range sites in a third block. In Aur-P2 the Bernoulli and Poisson posteriors are trivially 1.00 because a single block is selected. Only the Gaussian model divides the sites into two blocks: Gargas, La Viña, Mladeč and Sirgenstein Cave; and Bockstein-Törle, Hohle Fels, Les Rois, Trou Magrite and Vindija Cave. Thus in Aur-P1 the SBM separates most broad-range sites from most restricted-range sites, with additional small blocks, and in Aur-P2 it gives no support for the manual split.</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all three models place most broad-range and most restricted-range sites in different blocks, and they add substructure. The Bernoulli and Gaussian models place Labeko Koba, Les Cottés and Trou al’Wesse in a small separate block, the Gaussian model also divides the remaining restricted-range sites into two blocks, and the Poisson model places Les Cottés and Trou al’Wesse in a block of their own and Grotte du Renne with the restricted-range sites (</w:t>
      </w:r>
      <w:hyperlink w:anchor="tbl-sbm-membership">
        <w:r>
          <w:rPr>
            <w:rStyle w:val="Hyperlink"/>
          </w:rPr>
          <w:t xml:space="preserve">Table S 34</w:t>
        </w:r>
      </w:hyperlink>
      <w:r>
        <w:t xml:space="preserve">). This mirrors the Louvain finding of additional communities beyond the binary split. In Aur-P2 the SBM does not recover the two-group partition (Bernoulli K = 1, 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this result does not depend on how the adjacency is encoded, but</w:t>
      </w:r>
      <w:r>
        <w:t xml:space="preserve"> </w:t>
      </w:r>
      <w:r>
        <w:t xml:space="preserve">Section S1.9.4</w:t>
      </w:r>
      <w:r>
        <w:t xml:space="preserve"> </w:t>
      </w:r>
      <w:r>
        <w:t xml:space="preserve">shows that it does not exceed the Curveball null.</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w:t>
      </w:r>
    </w:p>
    <w:p>
      <w:pPr>
        <w:pStyle w:val="BodyText"/>
      </w:pPr>
      <w:r>
        <w:rPr>
          <w:bCs/>
          <w:b/>
        </w:rPr>
        <w:t xml:space="preserve">Implication for the main text.</w:t>
      </w:r>
      <w:r>
        <w:t xml:space="preserve"> </w:t>
      </w:r>
      <w:r>
        <w:t xml:space="preserve">In Aur-P1, all three emission models place most broad-range and most restricted-range sites in different blocks, and the Bernoulli and Gaussian models also isolate Labeko Koba, Les Cottés and Trou al’Wesse. In Aur-P2, the Bernoulli and Poisson models select a single block. The null test in</w:t>
      </w:r>
      <w:r>
        <w:t xml:space="preserve"> </w:t>
      </w:r>
      <w:r>
        <w:t xml:space="preserve">Section S1.9.4</w:t>
      </w:r>
      <w:r>
        <w:t xml:space="preserve"> </w:t>
      </w:r>
      <w:r>
        <w:t xml:space="preserve">shows that none of these multi-block preferences exceeds what site richness and sign-type frequencies alone produce. The restricted/broad division is therefore best read as the dominant axis of variation in repertoire size, not as evidence that a generative model supports two discrete groups.</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[21]</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(Bernoulli best K = 1, Poisson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0"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seriation in the main text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792"/>
              <w:gridCol w:w="792"/>
              <w:gridCol w:w="792"/>
              <w:gridCol w:w="792"/>
              <w:gridCol w:w="792"/>
              <w:gridCol w:w="792"/>
              <w:gridCol w:w="792"/>
              <w:gridCol w:w="792"/>
              <w:gridCol w:w="792"/>
              <w:gridCol w:w="792"/>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bookmarkEnd w:id="199"/>
    <w:bookmarkEnd w:id="200"/>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1"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201"/>
        </w:tc>
      </w:tr>
    </w:tbl>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Thus subsampling of sites reproduces the manual labels closely in Aur-P1 and only weakly in Aur-P2. In Aur-P1 the Bernoulli SBM also agrees with the manual labels (manual–SBM 0.7) and with the bootstrap partition (bootstrap–SBM 0.71), and agreement is moderate under the other emission models (Gaussian manual–SBM 0.53; Poisson manual–SBM 0.63). In Aur-P2 the Bernoulli and Poisson values are 0 and 0, because those solutions are single blocks, and the Gaussian K = 2 solution is selected by only 0.90 ICL points (</w:t>
      </w:r>
      <w:r>
        <w:t xml:space="preserve">Section S1.9.4</w:t>
      </w:r>
      <w:r>
        <w:t xml:space="preserve">). All these partitions come from the same sign data. Their agreement shows that the restricted/broad labels are stable and recoverable, not that two discrete groups exist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[22,23]</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significant.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occur because the Simpson dissimilarities are not Euclidean, so the between-group sum of squares can be negative; they indicate no between-group separation.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in Aur-P1 and 1 in Aur-P2; here each Louvain community is first merged into the manual group of most of its members, so singleton communities such as Les Cottés and Trou al’Wesse join their own manual group;</w:t>
      </w:r>
      <w:r>
        <w:t xml:space="preserve"> </w:t>
      </w:r>
      <w:r>
        <w:t xml:space="preserve">Section S1.6.8</w:t>
      </w:r>
      <w:r>
        <w:t xml:space="preserve"> </w:t>
      </w:r>
      <w:r>
        <w:t xml:space="preserve">reports ARI for the unmerged communities) but is likewise reproduced by the fixed-fixed null (p = 1 and 1), exceeding only the object-count null. On Simpson turnover dissimilarity there is no separation to explain (Aur-P1 R² = -0.027, Aur-P2 R² = -0.676; adonis p = 0.958 and 1). These R² values are negative because the Simpson dissimilarities are not Euclidean, so the between-group sum of squares can be negative; a negative value means that there is no between-group separation.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Section S1.6.6</w:t>
      </w:r>
      <w:r>
        <w:t xml:space="preserve"> </w:t>
      </w:r>
      <w:r>
        <w:t xml:space="preserve">and</w:t>
      </w:r>
      <w:r>
        <w:t xml:space="preserve"> </w:t>
      </w:r>
      <w:r>
        <w:t xml:space="preserve">Section S1.9.2</w:t>
      </w:r>
      <w:r>
        <w:t xml:space="preserve"> </w:t>
      </w:r>
      <w:r>
        <w:t xml:space="preserve">show that the algorithmically detected communities explain much of the variation in sign composition and are stable when sites are subsampled. Because the communities are fitted to the same data, these results are descriptive.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9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712"/>
              <w:gridCol w:w="871"/>
              <w:gridCol w:w="633"/>
              <w:gridCol w:w="475"/>
              <w:gridCol w:w="475"/>
              <w:gridCol w:w="475"/>
              <w:gridCol w:w="475"/>
              <w:gridCol w:w="475"/>
              <w:gridCol w:w="475"/>
              <w:gridCol w:w="475"/>
              <w:gridCol w:w="475"/>
              <w:gridCol w:w="475"/>
              <w:gridCol w:w="475"/>
              <w:gridCol w:w="475"/>
              <w:gridCol w:w="475"/>
            </w:tblGrid>
            <w:tr>
              <w:trPr>
                <w:tblHeader w:val="true"/>
              </w:trPr>
              <w:tc>
                <w:tcPr/>
                <w:p>
                  <w:pPr>
                    <w:pStyle w:val="Compact"/>
                    <w:jc w:val="left"/>
                    <w:jc w:val="left"/>
                  </w:pPr>
                  <w:r>
                    <w:t xml:space="preserve">Phase</w:t>
                  </w:r>
                </w:p>
              </w:tc>
              <w:tc>
                <w:tcPr/>
                <w:p>
                  <w:pPr>
                    <w:pStyle w:val="Compact"/>
                    <w:jc w:val="left"/>
                    <w:jc w:val="left"/>
                  </w:pPr>
                  <w:r>
                    <w:t xml:space="preserve">Community</w:t>
                  </w:r>
                </w:p>
              </w:tc>
              <w:tc>
                <w:tcPr/>
                <w:p>
                  <w:pPr>
                    <w:pStyle w:val="Compact"/>
                    <w:jc w:val="left"/>
                    <w:jc w:val="left"/>
                  </w:pPr>
                  <w:r>
                    <w:t xml:space="preserve">n_sites</w:t>
                  </w:r>
                </w:p>
              </w:tc>
              <w:tc>
                <w:tcPr/>
                <w:p>
                  <w:pPr>
                    <w:pStyle w:val="Compact"/>
                    <w:jc w:val="left"/>
                    <w:jc w:val="left"/>
                  </w:pPr>
                  <w:r>
                    <w:t xml:space="preserve">circumspiral</w:t>
                  </w:r>
                </w:p>
              </w:tc>
              <w:tc>
                <w:tcPr/>
                <w:p>
                  <w:pPr>
                    <w:pStyle w:val="Compact"/>
                    <w:jc w:val="left"/>
                    <w:jc w:val="left"/>
                  </w:pPr>
                  <w:r>
                    <w:t xml:space="preserve">cross</w:t>
                  </w:r>
                </w:p>
              </w:tc>
              <w:tc>
                <w:tcPr/>
                <w:p>
                  <w:pPr>
                    <w:pStyle w:val="Compact"/>
                    <w:jc w:val="left"/>
                    <w:jc w:val="left"/>
                  </w:pPr>
                  <w:r>
                    <w:t xml:space="preserve">dashline</w:t>
                  </w:r>
                </w:p>
              </w:tc>
              <w:tc>
                <w:tcPr/>
                <w:p>
                  <w:pPr>
                    <w:pStyle w:val="Compact"/>
                    <w:jc w:val="left"/>
                    <w:jc w:val="left"/>
                  </w:pPr>
                  <w:r>
                    <w:t xml:space="preserve">dot</w:t>
                  </w:r>
                </w:p>
              </w:tc>
              <w:tc>
                <w:tcPr/>
                <w:p>
                  <w:pPr>
                    <w:pStyle w:val="Compact"/>
                    <w:jc w:val="left"/>
                    <w:jc w:val="left"/>
                  </w:pPr>
                  <w:r>
                    <w:t xml:space="preserve">hatching</w:t>
                  </w:r>
                </w:p>
              </w:tc>
              <w:tc>
                <w:tcPr/>
                <w:p>
                  <w:pPr>
                    <w:pStyle w:val="Compact"/>
                    <w:jc w:val="left"/>
                    <w:jc w:val="left"/>
                  </w:pPr>
                  <w:r>
                    <w:t xml:space="preserve">line</w:t>
                  </w:r>
                </w:p>
              </w:tc>
              <w:tc>
                <w:tcPr/>
                <w:p>
                  <w:pPr>
                    <w:pStyle w:val="Compact"/>
                    <w:jc w:val="left"/>
                    <w:jc w:val="left"/>
                  </w:pPr>
                  <w:r>
                    <w:t xml:space="preserve">notch</w:t>
                  </w:r>
                </w:p>
              </w:tc>
              <w:tc>
                <w:tcPr/>
                <w:p>
                  <w:pPr>
                    <w:pStyle w:val="Compact"/>
                    <w:jc w:val="left"/>
                    <w:jc w:val="left"/>
                  </w:pPr>
                  <w:r>
                    <w:t xml:space="preserve">obline</w:t>
                  </w:r>
                </w:p>
              </w:tc>
              <w:tc>
                <w:tcPr/>
                <w:p>
                  <w:pPr>
                    <w:pStyle w:val="Compact"/>
                    <w:jc w:val="left"/>
                    <w:jc w:val="left"/>
                  </w:pPr>
                  <w:r>
                    <w:t xml:space="preserve">obnotch</w:t>
                  </w:r>
                </w:p>
              </w:tc>
              <w:tc>
                <w:tcPr/>
                <w:p>
                  <w:pPr>
                    <w:pStyle w:val="Compact"/>
                    <w:jc w:val="left"/>
                    <w:jc w:val="left"/>
                  </w:pPr>
                  <w:r>
                    <w:t xml:space="preserve">radline</w:t>
                  </w:r>
                </w:p>
              </w:tc>
              <w:tc>
                <w:tcPr/>
                <w:p>
                  <w:pPr>
                    <w:pStyle w:val="Compact"/>
                    <w:jc w:val="left"/>
                    <w:jc w:val="left"/>
                  </w:pPr>
                  <w:r>
                    <w:t xml:space="preserve">v</w:t>
                  </w:r>
                </w:p>
              </w:tc>
              <w:tc>
                <w:tcPr/>
                <w:p>
                  <w:pPr>
                    <w:pStyle w:val="Compact"/>
                    <w:jc w:val="left"/>
                    <w:jc w:val="left"/>
                  </w:pPr>
                  <w:r>
                    <w:t xml:space="preserve">zigzag</w:t>
                  </w:r>
                </w:p>
              </w:tc>
            </w:tr>
            <w:tr>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0.11</w:t>
                  </w:r>
                </w:p>
              </w:tc>
              <w:tc>
                <w:tcPr/>
                <w:p>
                  <w:pPr>
                    <w:pStyle w:val="Compact"/>
                    <w:jc w:val="left"/>
                    <w:jc w:val="left"/>
                  </w:pPr>
                  <w:r>
                    <w:t xml:space="preserve">0.67</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0.89</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0.11</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0.25</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for Aur-P1 (a, 4 communities) and Aur-P2 (b,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bl>
          <w:p>
            <w:pPr>
              <w:jc w:val="left"/>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(2–4 sites each). Because these communities are fitted to the same similarity matrix that the PerMANOVA tests, their low PerMANOVA p-values (</w:t>
      </w:r>
      <w:r>
        <w:t xml:space="preserve">Section S1.6.6</w:t>
      </w:r>
      <w:r>
        <w:t xml:space="preserve">) are not valid tests of a group difference; they probably reflect strong pairwise similarities among a few sites, not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show that the restricted/broad division simplifies the data: the algorithms also find small communities, mostly single sites with rare sign types such as Les Cottés and Trou al’Wesse. The communities differ in how often common sign types occur, not in exclusive sign types (</w:t>
      </w:r>
      <w:r>
        <w:t xml:space="preserve">Section S1.11.3</w:t>
      </w:r>
      <w:r>
        <w:t xml:space="preserve">), and they map only partly onto geography (</w:t>
      </w:r>
      <w:r>
        <w:t xml:space="preserve">Section S1.11.4</w:t>
      </w:r>
      <w:r>
        <w:t xml:space="preserve">).</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main-text figure</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the main-text figure of observed and simulated sign diversity,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main-text Discussion asks whether the larger sign-type pool in Aur-P1 (26 types) than in Aur-P2 (15 types) could reflect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Bentz and Dutkiewicz</w:t>
      </w:r>
      <w:r>
        <w:t xml:space="preserve"> </w:t>
      </w:r>
      <w:r>
        <w:t xml:space="preserve">[28]</w:t>
      </w:r>
      <w:r>
        <w:t xml:space="preserve"> </w:t>
      </w:r>
      <w:r>
        <w:t xml:space="preserve">argue that ivory figurines in the Swabian Aurignacian carry sign sequences with higher information density than tools. If figurines encode different sign repertoires than other object types, their inclusion could bias site-level sign assemblages,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all Hohle Fels objects from AH IV and Iid, fall within Aur-P2 under the layer-level assignment. The analysis therefore tests whether the Aur-P1 network structure, which has the higher mean degree (7.5),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the number of edges changes from 75 to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the site where figurines are most concentrated,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the number of edges changes from 75 to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(including the 4 Hohle Fels figurines assigned to Aur-P2, which leave that phase’s network unchanged),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changes the number of Aur-P1 edges from 75 to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raw mean-degree ordering Aur-P1 &gt; Aur-P2 (7.5 &gt; 4.22) is unchanged when all figurines are excluded (7.4 &gt; 4.22), so Aur-P1 keeps the higher raw mean degree;</w:t>
      </w:r>
      <w:r>
        <w:t xml:space="preserve"> </w:t>
      </w:r>
      <w:r>
        <w:t xml:space="preserve">Section S1.7.6</w:t>
      </w:r>
      <w:r>
        <w:t xml:space="preserve"> </w:t>
      </w:r>
      <w:r>
        <w:t xml:space="preserve">shows that this difference reflects network size.</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higher raw mean degree of Aur-P1, the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 the argument of Bentz and Dutkiewicz</w:t>
      </w:r>
      <w:r>
        <w:t xml:space="preserve"> </w:t>
      </w:r>
      <w:r>
        <w:t xml:space="preserve">[28]</w:t>
      </w:r>
      <w:r>
        <w:t xml:space="preserve"> </w:t>
      </w:r>
      <w:r>
        <w:t xml:space="preserve">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[17]</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9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Sørensen-Dice,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S1.9.2</w:t>
      </w:r>
      <w:r>
        <w:t xml:space="preserve"> </w:t>
      </w:r>
      <w:r>
        <w:t xml:space="preserve">show that the restricted/broad axis is stable under resampling, most clearly in Aur-P1. In Aur-P1, stochastic block models select more than one block under the Bernoulli, Gaussian and Poisson specifications (K = 3, 4 and 3), and the Bernoulli and Gaussian models place Labeko Koba, Les Cottés and Trou al’Wesse in a small separate block. In Aur-P2 the Bernoulli and Poisson models select a single block. None of these multi-block preferences exceeds the Curveball null (</w:t>
      </w:r>
      <w:r>
        <w:t xml:space="preserve">Section S1.9.4</w:t>
      </w:r>
      <w:r>
        <w:t xml:space="preserve">), and the seriation order does not exceed it either (</w:t>
      </w:r>
      <w:r>
        <w:t xml:space="preserve">Section S1.9.5</w:t>
      </w:r>
      <w:r>
        <w:t xml:space="preserve">). Withheld-data validation in</w:t>
      </w:r>
      <w:r>
        <w:t xml:space="preserve"> </w:t>
      </w:r>
      <w:r>
        <w:t xml:space="preserve">Section S1.10</w:t>
      </w:r>
      <w:r>
        <w:t xml:space="preserve"> </w:t>
      </w:r>
      <w:r>
        <w:t xml:space="preserve">finds no separation beyond richness structure under the fixed-fixed null, and Simpson turnover shows no separation in either phase. The supported claim is a dominant richness axis, recoverable from disjoint objects at well-sampled sites, not discrete groups or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 Stat Softw. 2007;22: 1–19. doi:</w:t>
      </w:r>
      <w:hyperlink r:id="rId296">
        <w:r>
          <w:rPr>
            <w:rStyle w:val="Hyperlink"/>
          </w:rPr>
          <w:t xml:space="preserve">10.18637/jss.v022.i07</w:t>
        </w:r>
      </w:hyperlink>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 Monogr. 1999;69: 1–24. doi:</w:t>
      </w:r>
      <w:hyperlink r:id="rId298">
        <w:r>
          <w:rPr>
            <w:rStyle w:val="Hyperlink"/>
          </w:rPr>
          <w:t xml:space="preserve">10.1890/0012-9615(1999)069[0001:DBRATM]2.0.CO;2</w:t>
        </w:r>
      </w:hyperlink>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300">
        <w:r>
          <w:rPr>
            <w:rStyle w:val="Hyperlink"/>
          </w:rPr>
          <w:t xml:space="preserve">10.1016/j.quascirev.2021.106995</w:t>
        </w:r>
      </w:hyperlink>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 Paleolit Archaeol. 2018;1: 107–138. doi:</w:t>
      </w:r>
      <w:hyperlink r:id="rId302">
        <w:r>
          <w:rPr>
            <w:rStyle w:val="Hyperlink"/>
          </w:rPr>
          <w:t xml:space="preserve">10.1007/s41982-017-0004-4</w:t>
        </w:r>
      </w:hyperlink>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304">
        <w:r>
          <w:rPr>
            <w:rStyle w:val="Hyperlink"/>
          </w:rPr>
          <w:t xml:space="preserve">10.30861/9781841718309</w:t>
        </w:r>
      </w:hyperlink>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306">
        <w:r>
          <w:rPr>
            <w:rStyle w:val="Hyperlink"/>
          </w:rPr>
          <w:t xml:space="preserve">10.1016/j.jhevol.2011.06.005</w:t>
        </w:r>
      </w:hyperlink>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8">
        <w:r>
          <w:rPr>
            <w:rStyle w:val="Hyperlink"/>
          </w:rPr>
          <w:t xml:space="preserve">10.1002/jqs.3236</w:t>
        </w:r>
      </w:hyperlink>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r>
        <w:t xml:space="preserve"> </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311">
        <w:r>
          <w:rPr>
            <w:rStyle w:val="Hyperlink"/>
          </w:rPr>
          <w:t xml:space="preserve">10.1007/978-3-211-49294-9_4</w:t>
        </w:r>
      </w:hyperlink>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13">
        <w:r>
          <w:rPr>
            <w:rStyle w:val="Hyperlink"/>
          </w:rPr>
          <w:t xml:space="preserve">10.1038/nature03585</w:t>
        </w:r>
      </w:hyperlink>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15">
        <w:r>
          <w:rPr>
            <w:rStyle w:val="Hyperlink"/>
          </w:rPr>
          <w:t xml:space="preserve">10.1007/s41982-025-00246-x</w:t>
        </w:r>
      </w:hyperlink>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 Stat Mech. 2008;2008: P10008. doi:</w:t>
      </w:r>
      <w:hyperlink r:id="rId317">
        <w:r>
          <w:rPr>
            <w:rStyle w:val="Hyperlink"/>
          </w:rPr>
          <w:t xml:space="preserve">10.1088/1742-5468/2008/10/P10008</w:t>
        </w:r>
      </w:hyperlink>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 Rev E Stat Nonlin Soft Matter Phys. 2004;69: 026113. doi:</w:t>
      </w:r>
      <w:hyperlink r:id="rId319">
        <w:r>
          <w:rPr>
            <w:rStyle w:val="Hyperlink"/>
          </w:rPr>
          <w:t xml:space="preserve">10.1103/PhysRevE.69.026113</w:t>
        </w:r>
      </w:hyperlink>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 Networks. 2021;65: 98–109. doi:</w:t>
      </w:r>
      <w:hyperlink r:id="rId321">
        <w:r>
          <w:rPr>
            <w:rStyle w:val="Hyperlink"/>
          </w:rPr>
          <w:t xml:space="preserve">10.1016/j.socnet.2020.11.005</w:t>
        </w:r>
      </w:hyperlink>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 Agric Biol Environ Stat. 2002;7: 361–372. doi:</w:t>
      </w:r>
      <w:hyperlink r:id="rId323">
        <w:r>
          <w:rPr>
            <w:rStyle w:val="Hyperlink"/>
          </w:rPr>
          <w:t xml:space="preserve">10.1198/108571102320</w:t>
        </w:r>
      </w:hyperlink>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 2007;188: 117–131. doi:</w:t>
      </w:r>
      <w:hyperlink r:id="rId325">
        <w:r>
          <w:rPr>
            <w:rStyle w:val="Hyperlink"/>
          </w:rPr>
          <w:t xml:space="preserve">10.1007/s11258-006-9126-3</w:t>
        </w:r>
      </w:hyperlink>
    </w:p>
    <w:bookmarkEnd w:id="326"/>
    <w:bookmarkStart w:id="328" w:name="ref-Anderson_Walsh_2013"/>
    <w:p>
      <w:pPr>
        <w:pStyle w:val="Bibliography"/>
      </w:pPr>
      <w:r>
        <w:t xml:space="preserve">17.</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 Monogr. 2013;83: 557–574. doi:</w:t>
      </w:r>
      <w:hyperlink r:id="rId327">
        <w:r>
          <w:rPr>
            <w:rStyle w:val="Hyperlink"/>
          </w:rPr>
          <w:t xml:space="preserve">10.1890/12-2010.1</w:t>
        </w:r>
      </w:hyperlink>
    </w:p>
    <w:bookmarkEnd w:id="328"/>
    <w:bookmarkStart w:id="330" w:name="ref-Monti_2003"/>
    <w:p>
      <w:pPr>
        <w:pStyle w:val="Bibliography"/>
      </w:pPr>
      <w:r>
        <w:t xml:space="preserve">18.</w:t>
      </w:r>
      <w:r>
        <w:t xml:space="preserve"> </w:t>
      </w:r>
      <w:r>
        <w:t xml:space="preserve">	</w:t>
      </w:r>
      <w:r>
        <w:t xml:space="preserve">Monti S, Tamayo P, Mesirov J, Golub T. Consensus clustering: A resampling-based method for class discovery and visualization of gene expression microarray data. Mach Learn. 2003;52: 91–118. doi:</w:t>
      </w:r>
      <w:hyperlink r:id="rId329">
        <w:r>
          <w:rPr>
            <w:rStyle w:val="Hyperlink"/>
          </w:rPr>
          <w:t xml:space="preserve">10.1023/A:1023949509487</w:t>
        </w:r>
      </w:hyperlink>
    </w:p>
    <w:bookmarkEnd w:id="330"/>
    <w:bookmarkStart w:id="332" w:name="ref-Leger_2016"/>
    <w:p>
      <w:pPr>
        <w:pStyle w:val="Bibliography"/>
      </w:pPr>
      <w:r>
        <w:t xml:space="preserve">19.</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 doi:</w:t>
      </w:r>
      <w:hyperlink r:id="rId331">
        <w:r>
          <w:rPr>
            <w:rStyle w:val="Hyperlink"/>
          </w:rPr>
          <w:t xml:space="preserve">10.48550/arXiv.1602.07587</w:t>
        </w:r>
      </w:hyperlink>
    </w:p>
    <w:bookmarkEnd w:id="332"/>
    <w:bookmarkStart w:id="334" w:name="ref-Hubert_Arabie_1985"/>
    <w:p>
      <w:pPr>
        <w:pStyle w:val="Bibliography"/>
      </w:pPr>
      <w:r>
        <w:t xml:space="preserve">20.</w:t>
      </w:r>
      <w:r>
        <w:t xml:space="preserve"> </w:t>
      </w:r>
      <w:r>
        <w:t xml:space="preserve">	</w:t>
      </w:r>
      <w:r>
        <w:t xml:space="preserve">Hubert L, Arabie P. Comparing partitions. J Classif. 1985;2: 193–218. doi:</w:t>
      </w:r>
      <w:hyperlink r:id="rId333">
        <w:r>
          <w:rPr>
            <w:rStyle w:val="Hyperlink"/>
          </w:rPr>
          <w:t xml:space="preserve">10.1007/BF01908075</w:t>
        </w:r>
      </w:hyperlink>
    </w:p>
    <w:bookmarkEnd w:id="334"/>
    <w:bookmarkStart w:id="336" w:name="ref-Strona_2014"/>
    <w:p>
      <w:pPr>
        <w:pStyle w:val="Bibliography"/>
      </w:pPr>
      <w:r>
        <w:t xml:space="preserve">21.</w:t>
      </w:r>
      <w:r>
        <w:t xml:space="preserve"> </w:t>
      </w:r>
      <w:r>
        <w:t xml:space="preserve">	</w:t>
      </w:r>
      <w:r>
        <w:t xml:space="preserve">Strona G, Nappo D, Boccacci F, Fattorini S, San-Miguel-Ayanz J. A fast and unbiased procedure to randomize ecological binary matrices with fixed row and column totals. Nat Commun. 2014;5: 4114. doi:</w:t>
      </w:r>
      <w:hyperlink r:id="rId335">
        <w:r>
          <w:rPr>
            <w:rStyle w:val="Hyperlink"/>
          </w:rPr>
          <w:t xml:space="preserve">10.1038/ncomms5114</w:t>
        </w:r>
      </w:hyperlink>
    </w:p>
    <w:bookmarkEnd w:id="336"/>
    <w:bookmarkStart w:id="338" w:name="ref-Gao_Bien_Witten_2022"/>
    <w:p>
      <w:pPr>
        <w:pStyle w:val="Bibliography"/>
      </w:pPr>
      <w:r>
        <w:t xml:space="preserve">22.</w:t>
      </w:r>
      <w:r>
        <w:t xml:space="preserve"> </w:t>
      </w:r>
      <w:r>
        <w:t xml:space="preserve">	</w:t>
      </w:r>
      <w:r>
        <w:t xml:space="preserve">Gao LL, Bien J, Witten D. Selective inference for</w:t>
      </w:r>
      <w:r>
        <w:t xml:space="preserve"> </w:t>
      </w:r>
      <w:r>
        <w:t xml:space="preserve">Hierarchical</w:t>
      </w:r>
      <w:r>
        <w:t xml:space="preserve"> </w:t>
      </w:r>
      <w:r>
        <w:t xml:space="preserve">clustering. J Am Stat Assoc. 2022;119: 332–342. doi:</w:t>
      </w:r>
      <w:hyperlink r:id="rId337">
        <w:r>
          <w:rPr>
            <w:rStyle w:val="Hyperlink"/>
          </w:rPr>
          <w:t xml:space="preserve">10.1080/01621459.2022.2116331</w:t>
        </w:r>
      </w:hyperlink>
    </w:p>
    <w:bookmarkEnd w:id="338"/>
    <w:bookmarkStart w:id="340" w:name="ref-Neufeld_2024"/>
    <w:p>
      <w:pPr>
        <w:pStyle w:val="Bibliography"/>
      </w:pPr>
      <w:r>
        <w:t xml:space="preserve">23.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 270–287. doi:</w:t>
      </w:r>
      <w:hyperlink r:id="rId339">
        <w:r>
          <w:rPr>
            <w:rStyle w:val="Hyperlink"/>
          </w:rPr>
          <w:t xml:space="preserve">10.1093/biostatistics/kxac047</w:t>
        </w:r>
      </w:hyperlink>
    </w:p>
    <w:bookmarkEnd w:id="340"/>
    <w:bookmarkStart w:id="342"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 2533–2547. doi:</w:t>
      </w:r>
      <w:hyperlink r:id="rId341">
        <w:r>
          <w:rPr>
            <w:rStyle w:val="Hyperlink"/>
          </w:rPr>
          <w:t xml:space="preserve">10.1890/11-1952.1</w:t>
        </w:r>
      </w:hyperlink>
    </w:p>
    <w:bookmarkEnd w:id="342"/>
    <w:bookmarkStart w:id="344"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 Lett. 2001;4: 379–391. doi:</w:t>
      </w:r>
      <w:hyperlink r:id="rId343">
        <w:r>
          <w:rPr>
            <w:rStyle w:val="Hyperlink"/>
          </w:rPr>
          <w:t xml:space="preserve">10.1046/j.1461-0248.2001.00230.x</w:t>
        </w:r>
      </w:hyperlink>
    </w:p>
    <w:bookmarkEnd w:id="344"/>
    <w:bookmarkStart w:id="346"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Ecol Evol. 2016;7: 1451–1456. doi:</w:t>
      </w:r>
      <w:hyperlink r:id="rId345">
        <w:r>
          <w:rPr>
            <w:rStyle w:val="Hyperlink"/>
          </w:rPr>
          <w:t xml:space="preserve">10.1111/2041-210X.12613</w:t>
        </w:r>
      </w:hyperlink>
    </w:p>
    <w:bookmarkEnd w:id="346"/>
    <w:bookmarkStart w:id="348" w:name="ref-Venables_Ripley_2002"/>
    <w:p>
      <w:pPr>
        <w:pStyle w:val="Bibliography"/>
      </w:pPr>
      <w:r>
        <w:t xml:space="preserve">27.</w:t>
      </w:r>
      <w:r>
        <w:t xml:space="preserve"> </w:t>
      </w:r>
      <w:r>
        <w:t xml:space="preserve">	</w:t>
      </w:r>
      <w:r>
        <w:t xml:space="preserve">Venables WN, Ripley BD. Modern applied statistics with s. Fourth. Springer; 2002. doi:</w:t>
      </w:r>
      <w:hyperlink r:id="rId347">
        <w:r>
          <w:rPr>
            <w:rStyle w:val="Hyperlink"/>
          </w:rPr>
          <w:t xml:space="preserve">10.1007/978-0-387-21706-2</w:t>
        </w:r>
      </w:hyperlink>
    </w:p>
    <w:bookmarkEnd w:id="348"/>
    <w:bookmarkStart w:id="350" w:name="ref-Bentz_Dutkiewicz_2026"/>
    <w:p>
      <w:pPr>
        <w:pStyle w:val="Bibliography"/>
      </w:pPr>
      <w:r>
        <w:t xml:space="preserve">28.</w:t>
      </w:r>
      <w:r>
        <w:t xml:space="preserve"> </w:t>
      </w:r>
      <w:r>
        <w:t xml:space="preserve">	</w:t>
      </w:r>
      <w:r>
        <w:t xml:space="preserve">Bentz C, Dutkiewicz E. Humans 40,000 y ago developed a system of conventional signs. Proc Natl Acad Sci U S A. 2026;123: e2520385123. doi:</w:t>
      </w:r>
      <w:hyperlink r:id="rId349">
        <w:r>
          <w:rPr>
            <w:rStyle w:val="Hyperlink"/>
          </w:rPr>
          <w:t xml:space="preserve">10.1073/pnas.2520385123</w:t>
        </w:r>
      </w:hyperlink>
    </w:p>
    <w:bookmarkEnd w:id="350"/>
    <w:bookmarkStart w:id="352"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Am Stat. 2001;55: 19–24. doi:</w:t>
      </w:r>
      <w:hyperlink r:id="rId351">
        <w:r>
          <w:rPr>
            <w:rStyle w:val="Hyperlink"/>
          </w:rPr>
          <w:t xml:space="preserve">10.1198/000313001300339897</w:t>
        </w:r>
      </w:hyperlink>
    </w:p>
    <w:bookmarkEnd w:id="352"/>
    <w:bookmarkStart w:id="354" w:name="ref-Cohen_1992"/>
    <w:p>
      <w:pPr>
        <w:pStyle w:val="Bibliography"/>
      </w:pPr>
      <w:r>
        <w:t xml:space="preserve">30.</w:t>
      </w:r>
      <w:r>
        <w:t xml:space="preserve"> </w:t>
      </w:r>
      <w:r>
        <w:t xml:space="preserve">	</w:t>
      </w:r>
      <w:r>
        <w:t xml:space="preserve">Cohen J. A power primer. Psychol Bull. 1992;112: 155–159. doi:</w:t>
      </w:r>
      <w:hyperlink r:id="rId353">
        <w:r>
          <w:rPr>
            <w:rStyle w:val="Hyperlink"/>
          </w:rPr>
          <w:t xml:space="preserve">10.1037/0033-2909.112.1.155</w:t>
        </w:r>
      </w:hyperlink>
    </w:p>
    <w:bookmarkEnd w:id="354"/>
    <w:bookmarkStart w:id="356" w:name="ref-Legendre_2015"/>
    <w:p>
      <w:pPr>
        <w:pStyle w:val="Bibliography"/>
      </w:pPr>
      <w:r>
        <w:t xml:space="preserve">31.</w:t>
      </w:r>
      <w:r>
        <w:t xml:space="preserve"> </w:t>
      </w:r>
      <w:r>
        <w:t xml:space="preserve">	</w:t>
      </w:r>
      <w:r>
        <w:t xml:space="preserve">Legendre P, Fortin M-J, Borcard D. Should the mantel test be used in spatial analysis? Methods Ecol Evol. 2015;6: 1239–1247. doi:</w:t>
      </w:r>
      <w:hyperlink r:id="rId355">
        <w:r>
          <w:rPr>
            <w:rStyle w:val="Hyperlink"/>
          </w:rPr>
          <w:t xml:space="preserve">10.1111/2041-210X.12425</w:t>
        </w:r>
      </w:hyperlink>
    </w:p>
    <w:bookmarkEnd w:id="356"/>
    <w:bookmarkStart w:id="358" w:name="ref-Guillot_Rousset_2013"/>
    <w:p>
      <w:pPr>
        <w:pStyle w:val="Bibliography"/>
      </w:pPr>
      <w:r>
        <w:t xml:space="preserve">32.</w:t>
      </w:r>
      <w:r>
        <w:t xml:space="preserve"> </w:t>
      </w:r>
      <w:r>
        <w:t xml:space="preserve">	</w:t>
      </w:r>
      <w:r>
        <w:t xml:space="preserve">Guillot G, Rousset F. Dismantling the mantel tests. Methods Ecol Evol. 2013;4: 336–344. doi:</w:t>
      </w:r>
      <w:hyperlink r:id="rId357">
        <w:r>
          <w:rPr>
            <w:rStyle w:val="Hyperlink"/>
          </w:rPr>
          <w:t xml:space="preserve">10.1111/2041-210X.12018</w:t>
        </w:r>
      </w:hyperlink>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3"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9"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5"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7"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9"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2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3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2026-10-16T21:05:53Z</dcterms:created>
  <dcterms:modified xsi:type="dcterms:W3CDTF">2026-10-16T21:05:53Z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