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Material:</w:t>
      </w:r>
      <w:r>
        <w:t xml:space="preserve"> </w:t>
      </w:r>
      <w:r>
        <w:t xml:space="preserve">Site</w:t>
      </w:r>
      <w:r>
        <w:t xml:space="preserve"> </w:t>
      </w:r>
      <w:r>
        <w:t xml:space="preserve">Phase</w:t>
      </w:r>
      <w:r>
        <w:t xml:space="preserve"> </w:t>
      </w:r>
      <w:r>
        <w:t xml:space="preserve">Assignments</w:t>
      </w:r>
    </w:p>
    <w:p>
      <w:pPr>
        <w:pStyle w:val="Subtitle"/>
      </w:pPr>
      <w:r>
        <w:t xml:space="preserve">Geometric</w:t>
      </w:r>
      <w:r>
        <w:t xml:space="preserve"> </w:t>
      </w:r>
      <w:r>
        <w:t xml:space="preserve">signs</w:t>
      </w:r>
      <w:r>
        <w:t xml:space="preserve"> </w:t>
      </w:r>
      <w:r>
        <w:t xml:space="preserve">reveal</w:t>
      </w:r>
      <w:r>
        <w:t xml:space="preserve"> </w:t>
      </w:r>
      <w:r>
        <w:t xml:space="preserve">a</w:t>
      </w:r>
      <w:r>
        <w:t xml:space="preserve"> </w:t>
      </w:r>
      <w:r>
        <w:t xml:space="preserve">continuum</w:t>
      </w:r>
      <w:r>
        <w:t xml:space="preserve"> </w:t>
      </w:r>
      <w:r>
        <w:t xml:space="preserve">rather</w:t>
      </w:r>
      <w:r>
        <w:t xml:space="preserve"> </w:t>
      </w:r>
      <w:r>
        <w:t xml:space="preserve">than</w:t>
      </w:r>
      <w:r>
        <w:t xml:space="preserve"> </w:t>
      </w:r>
      <w:r>
        <w:t xml:space="preserve">discrete</w:t>
      </w:r>
      <w:r>
        <w:t xml:space="preserve"> </w:t>
      </w:r>
      <w:r>
        <w:t xml:space="preserve">cultural</w:t>
      </w:r>
      <w:r>
        <w:t xml:space="preserve"> </w:t>
      </w:r>
      <w:r>
        <w:t xml:space="preserve">groups</w:t>
      </w:r>
      <w:r>
        <w:t xml:space="preserve"> </w:t>
      </w:r>
      <w:r>
        <w:t xml:space="preserve">in</w:t>
      </w:r>
      <w:r>
        <w:t xml:space="preserve"> </w:t>
      </w:r>
      <w:r>
        <w:t xml:space="preserve">the</w:t>
      </w:r>
      <w:r>
        <w:t xml:space="preserve"> </w:t>
      </w:r>
      <w:r>
        <w:t xml:space="preserve">Aurignacian</w:t>
      </w:r>
    </w:p>
    <w:p>
      <w:pPr>
        <w:pStyle w:val="Author"/>
      </w:pPr>
      <w:r>
        <w:t xml:space="preserve">Sophie Cooper</w:t>
      </w:r>
      <w:r>
        <w:rPr>
          <w:vertAlign w:val="superscript"/>
        </w:rPr>
        <w:t xml:space="preserve">1</w:t>
      </w:r>
      <w:r>
        <w:t xml:space="preserve">,</w:t>
      </w:r>
      <w:r>
        <w:t xml:space="preserve"> </w:t>
      </w:r>
      <w:r>
        <w:t xml:space="preserve">Aleah Rosner</w:t>
      </w:r>
      <w:r>
        <w:rPr>
          <w:vertAlign w:val="superscript"/>
        </w:rPr>
        <w:t xml:space="preserve">1</w:t>
      </w:r>
      <w:r>
        <w:t xml:space="preserve">,</w:t>
      </w:r>
      <w:r>
        <w:t xml:space="preserve"> </w:t>
      </w:r>
      <w:r>
        <w:t xml:space="preserve">Eva Oryn</w:t>
      </w:r>
      <w:r>
        <w:rPr>
          <w:vertAlign w:val="superscript"/>
        </w:rPr>
        <w:t xml:space="preserve">1</w:t>
      </w:r>
      <w:r>
        <w:t xml:space="preserve">,</w:t>
      </w:r>
      <w:r>
        <w:t xml:space="preserve"> </w:t>
      </w:r>
      <w:r>
        <w:t xml:space="preserve">Kenneth B. Vernon</w:t>
      </w:r>
      <w:r>
        <w:rPr>
          <w:vertAlign w:val="superscript"/>
        </w:rPr>
        <w:t xml:space="preserve">2</w:t>
      </w:r>
      <w:r>
        <w:t xml:space="preserve">,</w:t>
      </w:r>
      <w:r>
        <w:t xml:space="preserve"> </w:t>
      </w:r>
      <w:r>
        <w:t xml:space="preserve">and</w:t>
      </w:r>
      <w:r>
        <w:t xml:space="preserve"> </w:t>
      </w:r>
      <w:r>
        <w:t xml:space="preserve">Ben Marwick</w:t>
      </w:r>
      <w:r>
        <w:rPr>
          <w:vertAlign w:val="superscript"/>
        </w:rPr>
        <w:t xml:space="preserve">1</w:t>
      </w:r>
      <w:r>
        <w:rPr>
          <w:vertAlign w:val="superscript"/>
        </w:rPr>
        <w:t xml:space="preserve">,</w:t>
      </w:r>
      <w:r>
        <w:rPr>
          <w:vertAlign w:val="superscript"/>
        </w:rPr>
        <w:t xml:space="preserve">✉</w:t>
      </w:r>
    </w:p>
    <w:p>
      <w:pPr>
        <w:pStyle w:val="Date"/>
      </w:pPr>
      <w:r>
        <w:t xml:space="preserve">October</w:t>
      </w:r>
      <w:r>
        <w:t xml:space="preserve"> </w:t>
      </w:r>
      <w:r>
        <w:t xml:space="preserve">16,</w:t>
      </w:r>
      <w:r>
        <w:t xml:space="preserve"> </w:t>
      </w:r>
      <w:r>
        <w:t xml:space="preserve">2026</w:t>
      </w:r>
    </w:p>
    <w:p>
      <w:pPr>
        <w:pStyle w:val="FirstParagraph"/>
      </w:pPr>
      <w:r>
        <w:rPr>
          <w:vertAlign w:val="superscript"/>
        </w:rPr>
        <w:t xml:space="preserve">1</w:t>
      </w:r>
      <w:r>
        <w:t xml:space="preserve"> </w:t>
      </w:r>
      <w:r>
        <w:t xml:space="preserve">Department of Anthropology, University of Washington, Seattle, USA</w:t>
      </w:r>
      <w:r>
        <w:br/>
      </w:r>
      <w:r>
        <w:rPr>
          <w:vertAlign w:val="superscript"/>
        </w:rPr>
        <w:t xml:space="preserve">2</w:t>
      </w:r>
      <w:r>
        <w:t xml:space="preserve"> </w:t>
      </w:r>
      <w:r>
        <w:t xml:space="preserve">Scientific Computing and Imaging Institute, University of Utah, Salt Lake City, USA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Ben Marwick &lt;bmarwick@uw.edu&gt;</w:t>
        </w:r>
      </w:hyperlink>
    </w:p>
    <w:bookmarkStart w:id="21" w:name="sec-overview"/>
    <w:p>
      <w:pPr>
        <w:pStyle w:val="Heading2"/>
      </w:pPr>
      <w:r>
        <w:t xml:space="preserve">S2.1 Overview</w:t>
      </w:r>
    </w:p>
    <w:p>
      <w:pPr>
        <w:pStyle w:val="FirstParagraph"/>
      </w:pPr>
      <w:r>
        <w:t xml:space="preserve">This supplement documents the rationale and procedure for assigning archaeological sites to Aurignacian phases. Phase assignments in the main analysis are based on specialist technological attributions from the published literature, not solely on radiocarbon dates. This supplement summarises the evidence for each reclassification and provides the complete site-level status table (see</w:t>
      </w:r>
      <w:r>
        <w:t xml:space="preserve"> </w:t>
      </w:r>
      <w:hyperlink w:anchor="tbl-site-table">
        <w:r>
          <w:rPr>
            <w:rStyle w:val="Hyperlink"/>
          </w:rPr>
          <w:t xml:space="preserve">Table S 2</w:t>
        </w:r>
      </w:hyperlink>
      <w:r>
        <w:t xml:space="preserve"> </w:t>
      </w:r>
      <w:r>
        <w:t xml:space="preserve">and the full assignment basis in</w:t>
      </w:r>
      <w:r>
        <w:t xml:space="preserve"> </w:t>
      </w:r>
      <w:hyperlink w:anchor="tbl-site-objects-all">
        <w:r>
          <w:rPr>
            <w:rStyle w:val="Hyperlink"/>
          </w:rPr>
          <w:t xml:space="preserve">Table S 1</w:t>
        </w:r>
      </w:hyperlink>
      <w:r>
        <w:t xml:space="preserve">).</w:t>
      </w:r>
    </w:p>
    <w:p>
      <w:pPr>
        <w:pStyle w:val="BodyText"/>
      </w:pPr>
      <w:r>
        <w:t xml:space="preserve">Our phase assignments follow specialist technological attributions from the published literature, not radiocarbon dates alone, which can conflict with the archaeological content of a layer. Recent reassessments are therefore incorporated directly into our main analysis: Abri Pataud is placed in the Early Aurignacian (Aur-P1) on the basis of its lithic technology</w:t>
      </w:r>
      <w:r>
        <w:t xml:space="preserve"> </w:t>
      </w:r>
      <w:r>
        <w:t xml:space="preserve">[1,2]</w:t>
      </w:r>
      <w:r>
        <w:t xml:space="preserve">, La Ferrassie in the Early Aurignacian (Aur-P1) on the basis of Layer 7 directly above the Châtelperronian</w:t>
      </w:r>
      <w:r>
        <w:t xml:space="preserve"> </w:t>
      </w:r>
      <w:r>
        <w:t xml:space="preserve">[3]</w:t>
      </w:r>
      <w:r>
        <w:t xml:space="preserve">, Mladeč in the Evolved Aurignacian (Aur-P2) on the basis of its massive-base bone points and ~31 ka ¹⁴C BP (~35–36 ka cal BP) dates</w:t>
      </w:r>
      <w:r>
        <w:t xml:space="preserve"> </w:t>
      </w:r>
      <w:r>
        <w:t xml:space="preserve">[4]</w:t>
      </w:r>
      <w:r>
        <w:t xml:space="preserve">, and the Swabian Jura site of Geissenklösterle in the Early Aurignacian</w:t>
      </w:r>
      <w:r>
        <w:t xml:space="preserve"> </w:t>
      </w:r>
      <w:r>
        <w:t xml:space="preserve">[Aur-P1, 5,6]</w:t>
      </w:r>
      <w:r>
        <w:t xml:space="preserve">. Hohle Fels is assigned at the layer level rather than as a single site: its lower Aurignacian horizons (AH V) are placed in the Early Aurignacian (Aur-P1), whereas its upper horizons (AH IV, III and the II-series) are placed in the Evolved/Late Aurignacian (Aur-P2), following the demonstration that the assemblages of AH IV (and the overlying IIIa and IIIb) are closely comparable to the Western European Late Aurignacian</w:t>
      </w:r>
      <w:r>
        <w:t xml:space="preserve"> </w:t>
      </w:r>
      <w:r>
        <w:t xml:space="preserve">[5–7]</w:t>
      </w:r>
      <w:r>
        <w:t xml:space="preserve">. Two sites are excluded from the analysis: Spy, because its assemblage is too mixed to assign to a single phase reliably</w:t>
      </w:r>
      <w:r>
        <w:t xml:space="preserve"> </w:t>
      </w:r>
      <w:r>
        <w:t xml:space="preserve">[8,9]</w:t>
      </w:r>
      <w:r>
        <w:t xml:space="preserve">, and El Castillo, because the Aurignacian attribution of its unit 18 is debated</w:t>
      </w:r>
      <w:r>
        <w:t xml:space="preserve"> </w:t>
      </w:r>
      <w:r>
        <w:t xml:space="preserve">[10]</w:t>
      </w:r>
      <w:r>
        <w:t xml:space="preserve"> </w:t>
      </w:r>
      <w:r>
        <w:t xml:space="preserve">(see</w:t>
      </w:r>
      <w:r>
        <w:t xml:space="preserve"> </w:t>
      </w:r>
      <w:hyperlink w:anchor="tbl-excluded">
        <w:r>
          <w:rPr>
            <w:rStyle w:val="Hyperlink"/>
          </w:rPr>
          <w:t xml:space="preserve">Table S 5</w:t>
        </w:r>
      </w:hyperlink>
      <w:r>
        <w:t xml:space="preserve">). The robustness of these assignments to reverting to purely date-based criteria is tested in S1 §</w:t>
      </w:r>
      <w:r>
        <w:t xml:space="preserve">S1.5.5</w:t>
      </w:r>
      <w:r>
        <w:t xml:space="preserve">, where stratigraphic mixing concerns at Vogelherd are also addressed</w:t>
      </w:r>
      <w:r>
        <w:t xml:space="preserve"> </w:t>
      </w:r>
      <w:r>
        <w:t xml:space="preserve">[11]</w:t>
      </w:r>
      <w:r>
        <w:t xml:space="preserve">. We detail the rationale and procedure for assigning archaeological sites to Aurignacian phases further below (</w:t>
      </w:r>
      <w:r>
        <w:t xml:space="preserve">Section S2.2</w:t>
      </w:r>
      <w:r>
        <w:t xml:space="preserve">,</w:t>
      </w:r>
      <w:r>
        <w:t xml:space="preserve"> </w:t>
      </w:r>
      <w:r>
        <w:t xml:space="preserve">Section S2.3</w:t>
      </w:r>
      <w:r>
        <w:t xml:space="preserve">,</w:t>
      </w:r>
      <w:r>
        <w:t xml:space="preserve"> </w:t>
      </w:r>
      <w:r>
        <w:t xml:space="preserve">Section S2.4</w:t>
      </w:r>
      <w:r>
        <w:t xml:space="preserve">).</w:t>
      </w:r>
    </w:p>
    <w:bookmarkEnd w:id="21"/>
    <w:bookmarkStart w:id="23" w:name="sec-data-pipeline"/>
    <w:p>
      <w:pPr>
        <w:pStyle w:val="Heading2"/>
      </w:pPr>
      <w:r>
        <w:t xml:space="preserve">S2.2 Data pipeline</w:t>
      </w:r>
    </w:p>
    <w:p>
      <w:pPr>
        <w:pStyle w:val="FirstParagraph"/>
      </w:pPr>
      <w:r>
        <w:t xml:space="preserve">The following code loads the raw SignBase dataset, parses radiocarbon dates, calibrates them, and assigns objects to phases. Sites excluded from the main analysis are filtered out, and sites reassigned based on technological attribution are overridden. Date parsing handles both ends of date ranges, routes OSL ages around radiocarbon calibration, and uses IntCal20 explicitly. Sensitivity to variant choice is explored in Supplement S1. The resulting per-site assignment and basis are listed in</w:t>
      </w:r>
      <w:r>
        <w:t xml:space="preserve"> </w:t>
      </w:r>
      <w:hyperlink w:anchor="tbl-site-objects-all">
        <w:r>
          <w:rPr>
            <w:rStyle w:val="Hyperlink"/>
          </w:rPr>
          <w:t xml:space="preserve">Table S 1</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2" w:name="tbl-site-objects-all"/>
          <w:tbl>
            <w:tblPr>
              <w:tblStyle w:val="Table"/>
              <w:tblW w:type="pct" w:w="5000"/>
              <w:tblLook w:firstRow="1" w:lastRow="0" w:firstColumn="0" w:lastColumn="0" w:noHBand="0" w:noVBand="0" w:val="0020"/>
              <w:jc w:val="start"/>
              <w:tblLayout w:type="fixed"/>
            </w:tblPr>
            <w:tblGrid>
              <w:gridCol w:w="1742"/>
              <w:gridCol w:w="950"/>
              <w:gridCol w:w="792"/>
              <w:gridCol w:w="1108"/>
              <w:gridCol w:w="3326"/>
            </w:tblGrid>
            <w:tr>
              <w:trPr>
                <w:tblHeader w:val="true"/>
              </w:trPr>
              <w:tc>
                <w:tcPr/>
                <w:p>
                  <w:pPr>
                    <w:pStyle w:val="Compact"/>
                    <w:jc w:val="left"/>
                    <w:jc w:val="left"/>
                  </w:pPr>
                  <w:r>
                    <w:t xml:space="preserve">Site</w:t>
                  </w:r>
                </w:p>
              </w:tc>
              <w:tc>
                <w:tcPr/>
                <w:p>
                  <w:pPr>
                    <w:pStyle w:val="Compact"/>
                    <w:jc w:val="left"/>
                    <w:jc w:val="left"/>
                  </w:pPr>
                  <w:r>
                    <w:t xml:space="preserve">Phase</w:t>
                  </w:r>
                </w:p>
              </w:tc>
              <w:tc>
                <w:tcPr/>
                <w:p>
                  <w:pPr>
                    <w:pStyle w:val="Compact"/>
                    <w:jc w:val="left"/>
                    <w:jc w:val="left"/>
                  </w:pPr>
                  <w:r>
                    <w:t xml:space="preserve">Objects</w:t>
                  </w:r>
                </w:p>
              </w:tc>
              <w:tc>
                <w:tcPr/>
                <w:p>
                  <w:pPr>
                    <w:pStyle w:val="Compact"/>
                    <w:jc w:val="left"/>
                    <w:jc w:val="left"/>
                  </w:pPr>
                  <w:r>
                    <w:t xml:space="preserve">Assignment</w:t>
                  </w:r>
                </w:p>
              </w:tc>
              <w:tc>
                <w:tcPr/>
                <w:p>
                  <w:pPr>
                    <w:pStyle w:val="Compact"/>
                    <w:jc w:val="left"/>
                    <w:jc w:val="left"/>
                  </w:pPr>
                  <w:r>
                    <w:t xml:space="preserve">Basis</w:t>
                  </w:r>
                </w:p>
              </w:tc>
            </w:tr>
            <w:tr>
              <w:tc>
                <w:tcPr/>
                <w:p>
                  <w:pPr>
                    <w:pStyle w:val="Compact"/>
                    <w:jc w:val="left"/>
                    <w:jc w:val="left"/>
                  </w:pPr>
                  <w:r>
                    <w:t xml:space="preserve">Abri Pataud</w:t>
                  </w:r>
                </w:p>
              </w:tc>
              <w:tc>
                <w:tcPr/>
                <w:p>
                  <w:pPr>
                    <w:pStyle w:val="Compact"/>
                    <w:jc w:val="left"/>
                    <w:jc w:val="left"/>
                  </w:pPr>
                  <w:r>
                    <w:t xml:space="preserve">Aur-P1</w:t>
                  </w:r>
                </w:p>
              </w:tc>
              <w:tc>
                <w:tcPr/>
                <w:p>
                  <w:pPr>
                    <w:pStyle w:val="Compact"/>
                    <w:jc w:val="left"/>
                    <w:jc w:val="left"/>
                  </w:pPr>
                  <w:r>
                    <w:t xml:space="preserve">3</w:t>
                  </w:r>
                </w:p>
              </w:tc>
              <w:tc>
                <w:tcPr/>
                <w:p>
                  <w:pPr>
                    <w:pStyle w:val="Compact"/>
                    <w:jc w:val="left"/>
                    <w:jc w:val="left"/>
                  </w:pPr>
                  <w:r>
                    <w:t xml:space="preserve">technology</w:t>
                  </w:r>
                </w:p>
              </w:tc>
              <w:tc>
                <w:tcPr/>
                <w:p>
                  <w:pPr>
                    <w:pStyle w:val="Compact"/>
                    <w:jc w:val="left"/>
                    <w:jc w:val="left"/>
                  </w:pPr>
                  <w:r>
                    <w:t xml:space="preserve">Early Aurignacian</w:t>
                  </w:r>
                  <w:r>
                    <w:t xml:space="preserve"> </w:t>
                  </w:r>
                  <w:r>
                    <w:t xml:space="preserve">[1,2]</w:t>
                  </w:r>
                </w:p>
              </w:tc>
            </w:tr>
            <w:tr>
              <w:tc>
                <w:tcPr/>
                <w:p>
                  <w:pPr>
                    <w:pStyle w:val="Compact"/>
                    <w:jc w:val="left"/>
                    <w:jc w:val="left"/>
                  </w:pPr>
                  <w:r>
                    <w:t xml:space="preserve">Blanchard</w:t>
                  </w:r>
                </w:p>
              </w:tc>
              <w:tc>
                <w:tcPr/>
                <w:p>
                  <w:pPr>
                    <w:pStyle w:val="Compact"/>
                    <w:jc w:val="left"/>
                    <w:jc w:val="left"/>
                  </w:pPr>
                  <w:r>
                    <w:t xml:space="preserve">Aur-P1</w:t>
                  </w:r>
                </w:p>
              </w:tc>
              <w:tc>
                <w:tcPr/>
                <w:p>
                  <w:pPr>
                    <w:pStyle w:val="Compact"/>
                    <w:jc w:val="left"/>
                    <w:jc w:val="left"/>
                  </w:pPr>
                  <w:r>
                    <w:t xml:space="preserve">18</w:t>
                  </w:r>
                </w:p>
              </w:tc>
              <w:tc>
                <w:tcPr/>
                <w:p>
                  <w:pPr>
                    <w:pStyle w:val="Compact"/>
                    <w:jc w:val="left"/>
                    <w:jc w:val="left"/>
                  </w:pPr>
                  <w:r>
                    <w:t xml:space="preserve">date</w:t>
                  </w:r>
                </w:p>
              </w:tc>
              <w:tc>
                <w:tcPr/>
                <w:p>
                  <w:pPr>
                    <w:pStyle w:val="Compact"/>
                    <w:jc w:val="left"/>
                    <w:jc w:val="left"/>
                  </w:pPr>
                  <w:r>
                    <w:t xml:space="preserve">MedianBP 37,799–39,799</w:t>
                  </w:r>
                </w:p>
              </w:tc>
            </w:tr>
            <w:tr>
              <w:tc>
                <w:tcPr/>
                <w:p>
                  <w:pPr>
                    <w:pStyle w:val="Compact"/>
                    <w:jc w:val="left"/>
                    <w:jc w:val="left"/>
                  </w:pPr>
                  <w:r>
                    <w:t xml:space="preserve">Bockstein-Törle</w:t>
                  </w:r>
                </w:p>
              </w:tc>
              <w:tc>
                <w:tcPr/>
                <w:p>
                  <w:pPr>
                    <w:pStyle w:val="Compact"/>
                    <w:jc w:val="left"/>
                    <w:jc w:val="left"/>
                  </w:pPr>
                  <w:r>
                    <w:t xml:space="preserve">Aur-P2</w:t>
                  </w:r>
                </w:p>
              </w:tc>
              <w:tc>
                <w:tcPr/>
                <w:p>
                  <w:pPr>
                    <w:pStyle w:val="Compact"/>
                    <w:jc w:val="left"/>
                    <w:jc w:val="left"/>
                  </w:pPr>
                  <w:r>
                    <w:t xml:space="preserve">3</w:t>
                  </w:r>
                </w:p>
              </w:tc>
              <w:tc>
                <w:tcPr/>
                <w:p>
                  <w:pPr>
                    <w:pStyle w:val="Compact"/>
                    <w:jc w:val="left"/>
                    <w:jc w:val="left"/>
                  </w:pPr>
                  <w:r>
                    <w:t xml:space="preserve">date</w:t>
                  </w:r>
                </w:p>
              </w:tc>
              <w:tc>
                <w:tcPr/>
                <w:p>
                  <w:pPr>
                    <w:pStyle w:val="Compact"/>
                    <w:jc w:val="left"/>
                    <w:jc w:val="left"/>
                  </w:pPr>
                  <w:r>
                    <w:t xml:space="preserve">MedianBP 31,999–37,799</w:t>
                  </w:r>
                </w:p>
              </w:tc>
            </w:tr>
            <w:tr>
              <w:tc>
                <w:tcPr/>
                <w:p>
                  <w:pPr>
                    <w:pStyle w:val="Compact"/>
                    <w:jc w:val="left"/>
                    <w:jc w:val="left"/>
                  </w:pPr>
                  <w:r>
                    <w:t xml:space="preserve">Castanet</w:t>
                  </w:r>
                </w:p>
              </w:tc>
              <w:tc>
                <w:tcPr/>
                <w:p>
                  <w:pPr>
                    <w:pStyle w:val="Compact"/>
                    <w:jc w:val="left"/>
                    <w:jc w:val="left"/>
                  </w:pPr>
                  <w:r>
                    <w:t xml:space="preserve">Aur-P1</w:t>
                  </w:r>
                </w:p>
              </w:tc>
              <w:tc>
                <w:tcPr/>
                <w:p>
                  <w:pPr>
                    <w:pStyle w:val="Compact"/>
                    <w:jc w:val="left"/>
                    <w:jc w:val="left"/>
                  </w:pPr>
                  <w:r>
                    <w:t xml:space="preserve">21</w:t>
                  </w:r>
                </w:p>
              </w:tc>
              <w:tc>
                <w:tcPr/>
                <w:p>
                  <w:pPr>
                    <w:pStyle w:val="Compact"/>
                    <w:jc w:val="left"/>
                    <w:jc w:val="left"/>
                  </w:pPr>
                  <w:r>
                    <w:t xml:space="preserve">date</w:t>
                  </w:r>
                </w:p>
              </w:tc>
              <w:tc>
                <w:tcPr/>
                <w:p>
                  <w:pPr>
                    <w:pStyle w:val="Compact"/>
                    <w:jc w:val="left"/>
                    <w:jc w:val="left"/>
                  </w:pPr>
                  <w:r>
                    <w:t xml:space="preserve">MedianBP 37,799–39,799</w:t>
                  </w:r>
                </w:p>
              </w:tc>
            </w:tr>
            <w:tr>
              <w:tc>
                <w:tcPr/>
                <w:p>
                  <w:pPr>
                    <w:pStyle w:val="Compact"/>
                    <w:jc w:val="left"/>
                    <w:jc w:val="left"/>
                  </w:pPr>
                  <w:r>
                    <w:t xml:space="preserve">Cellier</w:t>
                  </w:r>
                </w:p>
              </w:tc>
              <w:tc>
                <w:tcPr/>
                <w:p>
                  <w:pPr>
                    <w:pStyle w:val="Compact"/>
                    <w:jc w:val="left"/>
                    <w:jc w:val="left"/>
                  </w:pPr>
                  <w:r>
                    <w:t xml:space="preserve">Aur-P1</w:t>
                  </w:r>
                </w:p>
              </w:tc>
              <w:tc>
                <w:tcPr/>
                <w:p>
                  <w:pPr>
                    <w:pStyle w:val="Compact"/>
                    <w:jc w:val="left"/>
                    <w:jc w:val="left"/>
                  </w:pPr>
                  <w:r>
                    <w:t xml:space="preserve">28</w:t>
                  </w:r>
                </w:p>
              </w:tc>
              <w:tc>
                <w:tcPr/>
                <w:p>
                  <w:pPr>
                    <w:pStyle w:val="Compact"/>
                    <w:jc w:val="left"/>
                    <w:jc w:val="left"/>
                  </w:pPr>
                  <w:r>
                    <w:t xml:space="preserve">date</w:t>
                  </w:r>
                </w:p>
              </w:tc>
              <w:tc>
                <w:tcPr/>
                <w:p>
                  <w:pPr>
                    <w:pStyle w:val="Compact"/>
                    <w:jc w:val="left"/>
                    <w:jc w:val="left"/>
                  </w:pPr>
                  <w:r>
                    <w:t xml:space="preserve">MedianBP 37,799–39,799</w:t>
                  </w:r>
                </w:p>
              </w:tc>
            </w:tr>
            <w:tr>
              <w:tc>
                <w:tcPr/>
                <w:p>
                  <w:pPr>
                    <w:pStyle w:val="Compact"/>
                    <w:jc w:val="left"/>
                    <w:jc w:val="left"/>
                  </w:pPr>
                  <w:r>
                    <w:t xml:space="preserve">Fumane</w:t>
                  </w:r>
                </w:p>
              </w:tc>
              <w:tc>
                <w:tcPr/>
                <w:p>
                  <w:pPr>
                    <w:pStyle w:val="Compact"/>
                    <w:jc w:val="left"/>
                    <w:jc w:val="left"/>
                  </w:pPr>
                  <w:r>
                    <w:t xml:space="preserve">Aur-P1</w:t>
                  </w:r>
                </w:p>
              </w:tc>
              <w:tc>
                <w:tcPr/>
                <w:p>
                  <w:pPr>
                    <w:pStyle w:val="Compact"/>
                    <w:jc w:val="left"/>
                    <w:jc w:val="left"/>
                  </w:pPr>
                  <w:r>
                    <w:t xml:space="preserve">1</w:t>
                  </w:r>
                </w:p>
              </w:tc>
              <w:tc>
                <w:tcPr/>
                <w:p>
                  <w:pPr>
                    <w:pStyle w:val="Compact"/>
                    <w:jc w:val="left"/>
                    <w:jc w:val="left"/>
                  </w:pPr>
                  <w:r>
                    <w:t xml:space="preserve">date</w:t>
                  </w:r>
                </w:p>
              </w:tc>
              <w:tc>
                <w:tcPr/>
                <w:p>
                  <w:pPr>
                    <w:pStyle w:val="Compact"/>
                    <w:jc w:val="left"/>
                    <w:jc w:val="left"/>
                  </w:pPr>
                  <w:r>
                    <w:t xml:space="preserve">MedianBP &gt; 39,799 (Protoaurignacian throughout sequence</w:t>
                  </w:r>
                  <w:r>
                    <w:t xml:space="preserve"> </w:t>
                  </w:r>
                  <w:r>
                    <w:t xml:space="preserve">[12,13]</w:t>
                  </w:r>
                  <w:r>
                    <w:t xml:space="preserve">)</w:t>
                  </w:r>
                </w:p>
              </w:tc>
            </w:tr>
            <w:tr>
              <w:tc>
                <w:tcPr/>
                <w:p>
                  <w:pPr>
                    <w:pStyle w:val="Compact"/>
                    <w:jc w:val="left"/>
                    <w:jc w:val="left"/>
                  </w:pPr>
                  <w:r>
                    <w:t xml:space="preserve">Gargas</w:t>
                  </w:r>
                </w:p>
              </w:tc>
              <w:tc>
                <w:tcPr/>
                <w:p>
                  <w:pPr>
                    <w:pStyle w:val="Compact"/>
                    <w:jc w:val="left"/>
                    <w:jc w:val="left"/>
                  </w:pPr>
                  <w:r>
                    <w:t xml:space="preserve">Aur-P2</w:t>
                  </w:r>
                </w:p>
              </w:tc>
              <w:tc>
                <w:tcPr/>
                <w:p>
                  <w:pPr>
                    <w:pStyle w:val="Compact"/>
                    <w:jc w:val="left"/>
                    <w:jc w:val="left"/>
                  </w:pPr>
                  <w:r>
                    <w:t xml:space="preserve">11</w:t>
                  </w:r>
                </w:p>
              </w:tc>
              <w:tc>
                <w:tcPr/>
                <w:p>
                  <w:pPr>
                    <w:pStyle w:val="Compact"/>
                    <w:jc w:val="left"/>
                    <w:jc w:val="left"/>
                  </w:pPr>
                  <w:r>
                    <w:t xml:space="preserve">date</w:t>
                  </w:r>
                </w:p>
              </w:tc>
              <w:tc>
                <w:tcPr/>
                <w:p>
                  <w:pPr>
                    <w:pStyle w:val="Compact"/>
                    <w:jc w:val="left"/>
                    <w:jc w:val="left"/>
                  </w:pPr>
                  <w:r>
                    <w:t xml:space="preserve">MedianBP 31,999–37,799</w:t>
                  </w:r>
                </w:p>
              </w:tc>
            </w:tr>
            <w:tr>
              <w:tc>
                <w:tcPr/>
                <w:p>
                  <w:pPr>
                    <w:pStyle w:val="Compact"/>
                    <w:jc w:val="left"/>
                    <w:jc w:val="left"/>
                  </w:pPr>
                  <w:r>
                    <w:t xml:space="preserve">Gatzarria</w:t>
                  </w:r>
                </w:p>
              </w:tc>
              <w:tc>
                <w:tcPr/>
                <w:p>
                  <w:pPr>
                    <w:pStyle w:val="Compact"/>
                    <w:jc w:val="left"/>
                    <w:jc w:val="left"/>
                  </w:pPr>
                  <w:r>
                    <w:t xml:space="preserve">Aur-P1</w:t>
                  </w:r>
                </w:p>
              </w:tc>
              <w:tc>
                <w:tcPr/>
                <w:p>
                  <w:pPr>
                    <w:pStyle w:val="Compact"/>
                    <w:jc w:val="left"/>
                    <w:jc w:val="left"/>
                  </w:pPr>
                  <w:r>
                    <w:t xml:space="preserve">3</w:t>
                  </w:r>
                </w:p>
              </w:tc>
              <w:tc>
                <w:tcPr/>
                <w:p>
                  <w:pPr>
                    <w:pStyle w:val="Compact"/>
                    <w:jc w:val="left"/>
                    <w:jc w:val="left"/>
                  </w:pPr>
                  <w:r>
                    <w:t xml:space="preserve">technology</w:t>
                  </w:r>
                </w:p>
              </w:tc>
              <w:tc>
                <w:tcPr/>
                <w:p>
                  <w:pPr>
                    <w:pStyle w:val="Compact"/>
                    <w:jc w:val="left"/>
                    <w:jc w:val="left"/>
                  </w:pPr>
                  <w:r>
                    <w:t xml:space="preserve">Proto-Aurignacian, layer Cjn2</w:t>
                  </w:r>
                  <w:r>
                    <w:t xml:space="preserve"> </w:t>
                  </w:r>
                  <w:r>
                    <w:t xml:space="preserve">[14]</w:t>
                  </w:r>
                </w:p>
              </w:tc>
            </w:tr>
            <w:tr>
              <w:tc>
                <w:tcPr/>
                <w:p>
                  <w:pPr>
                    <w:pStyle w:val="Compact"/>
                    <w:jc w:val="left"/>
                    <w:jc w:val="left"/>
                  </w:pPr>
                  <w:r>
                    <w:t xml:space="preserve">Geissenklösterle</w:t>
                  </w:r>
                </w:p>
              </w:tc>
              <w:tc>
                <w:tcPr/>
                <w:p>
                  <w:pPr>
                    <w:pStyle w:val="Compact"/>
                    <w:jc w:val="left"/>
                    <w:jc w:val="left"/>
                  </w:pPr>
                  <w:r>
                    <w:t xml:space="preserve">Aur-P1</w:t>
                  </w:r>
                </w:p>
              </w:tc>
              <w:tc>
                <w:tcPr/>
                <w:p>
                  <w:pPr>
                    <w:pStyle w:val="Compact"/>
                    <w:jc w:val="left"/>
                    <w:jc w:val="left"/>
                  </w:pPr>
                  <w:r>
                    <w:t xml:space="preserve">30</w:t>
                  </w:r>
                </w:p>
              </w:tc>
              <w:tc>
                <w:tcPr/>
                <w:p>
                  <w:pPr>
                    <w:pStyle w:val="Compact"/>
                    <w:jc w:val="left"/>
                    <w:jc w:val="left"/>
                  </w:pPr>
                  <w:r>
                    <w:t xml:space="preserve">technology</w:t>
                  </w:r>
                </w:p>
              </w:tc>
              <w:tc>
                <w:tcPr/>
                <w:p>
                  <w:pPr>
                    <w:pStyle w:val="Compact"/>
                    <w:jc w:val="left"/>
                    <w:jc w:val="left"/>
                  </w:pPr>
                  <w:r>
                    <w:t xml:space="preserve">Early Aurignacian</w:t>
                  </w:r>
                  <w:r>
                    <w:t xml:space="preserve"> </w:t>
                  </w:r>
                  <w:r>
                    <w:t xml:space="preserve">[5]</w:t>
                  </w:r>
                </w:p>
              </w:tc>
            </w:tr>
            <w:tr>
              <w:tc>
                <w:tcPr/>
                <w:p>
                  <w:pPr>
                    <w:pStyle w:val="Compact"/>
                    <w:jc w:val="left"/>
                    <w:jc w:val="left"/>
                  </w:pPr>
                  <w:r>
                    <w:t xml:space="preserve">Grotte de la Verpillière I</w:t>
                  </w:r>
                </w:p>
              </w:tc>
              <w:tc>
                <w:tcPr/>
                <w:p>
                  <w:pPr>
                    <w:pStyle w:val="Compact"/>
                    <w:jc w:val="left"/>
                    <w:jc w:val="left"/>
                  </w:pPr>
                  <w:r>
                    <w:t xml:space="preserve">Aur-P1</w:t>
                  </w:r>
                </w:p>
              </w:tc>
              <w:tc>
                <w:tcPr/>
                <w:p>
                  <w:pPr>
                    <w:pStyle w:val="Compact"/>
                    <w:jc w:val="left"/>
                    <w:jc w:val="left"/>
                  </w:pPr>
                  <w:r>
                    <w:t xml:space="preserve">4</w:t>
                  </w:r>
                </w:p>
              </w:tc>
              <w:tc>
                <w:tcPr/>
                <w:p>
                  <w:pPr>
                    <w:pStyle w:val="Compact"/>
                    <w:jc w:val="left"/>
                    <w:jc w:val="left"/>
                  </w:pPr>
                  <w:r>
                    <w:t xml:space="preserve">date</w:t>
                  </w:r>
                </w:p>
              </w:tc>
              <w:tc>
                <w:tcPr/>
                <w:p>
                  <w:pPr>
                    <w:pStyle w:val="Compact"/>
                    <w:jc w:val="left"/>
                    <w:jc w:val="left"/>
                  </w:pPr>
                  <w:r>
                    <w:t xml:space="preserve">MedianBP 37,799–39,799</w:t>
                  </w:r>
                </w:p>
              </w:tc>
            </w:tr>
            <w:tr>
              <w:tc>
                <w:tcPr/>
                <w:p>
                  <w:pPr>
                    <w:pStyle w:val="Compact"/>
                    <w:jc w:val="left"/>
                    <w:jc w:val="left"/>
                  </w:pPr>
                  <w:r>
                    <w:t xml:space="preserve">Grotte du Renne</w:t>
                  </w:r>
                </w:p>
              </w:tc>
              <w:tc>
                <w:tcPr/>
                <w:p>
                  <w:pPr>
                    <w:pStyle w:val="Compact"/>
                    <w:jc w:val="left"/>
                    <w:jc w:val="left"/>
                  </w:pPr>
                  <w:r>
                    <w:t xml:space="preserve">Aur-P1</w:t>
                  </w:r>
                </w:p>
              </w:tc>
              <w:tc>
                <w:tcPr/>
                <w:p>
                  <w:pPr>
                    <w:pStyle w:val="Compact"/>
                    <w:jc w:val="left"/>
                    <w:jc w:val="left"/>
                  </w:pPr>
                  <w:r>
                    <w:t xml:space="preserve">7</w:t>
                  </w:r>
                </w:p>
              </w:tc>
              <w:tc>
                <w:tcPr/>
                <w:p>
                  <w:pPr>
                    <w:pStyle w:val="Compact"/>
                    <w:jc w:val="left"/>
                    <w:jc w:val="left"/>
                  </w:pPr>
                  <w:r>
                    <w:t xml:space="preserve">date</w:t>
                  </w:r>
                </w:p>
              </w:tc>
              <w:tc>
                <w:tcPr/>
                <w:p>
                  <w:pPr>
                    <w:pStyle w:val="Compact"/>
                    <w:jc w:val="left"/>
                    <w:jc w:val="left"/>
                  </w:pPr>
                  <w:r>
                    <w:t xml:space="preserve">MedianBP &gt; 39,799</w:t>
                  </w:r>
                </w:p>
              </w:tc>
            </w:tr>
            <w:tr>
              <w:tc>
                <w:tcPr/>
                <w:p>
                  <w:pPr>
                    <w:pStyle w:val="Compact"/>
                    <w:jc w:val="left"/>
                    <w:jc w:val="left"/>
                  </w:pPr>
                  <w:r>
                    <w:t xml:space="preserve">Grottes de Fonds-de-Forêt</w:t>
                  </w:r>
                </w:p>
              </w:tc>
              <w:tc>
                <w:tcPr/>
                <w:p>
                  <w:pPr>
                    <w:pStyle w:val="Compact"/>
                    <w:jc w:val="left"/>
                    <w:jc w:val="left"/>
                  </w:pPr>
                  <w:r>
                    <w:t xml:space="preserve">Aur-P1</w:t>
                  </w:r>
                </w:p>
              </w:tc>
              <w:tc>
                <w:tcPr/>
                <w:p>
                  <w:pPr>
                    <w:pStyle w:val="Compact"/>
                    <w:jc w:val="left"/>
                    <w:jc w:val="left"/>
                  </w:pPr>
                  <w:r>
                    <w:t xml:space="preserve">1</w:t>
                  </w:r>
                </w:p>
              </w:tc>
              <w:tc>
                <w:tcPr/>
                <w:p>
                  <w:pPr>
                    <w:pStyle w:val="Compact"/>
                    <w:jc w:val="left"/>
                    <w:jc w:val="left"/>
                  </w:pPr>
                  <w:r>
                    <w:t xml:space="preserve">date</w:t>
                  </w:r>
                </w:p>
              </w:tc>
              <w:tc>
                <w:tcPr/>
                <w:p>
                  <w:pPr>
                    <w:pStyle w:val="Compact"/>
                    <w:jc w:val="left"/>
                    <w:jc w:val="left"/>
                  </w:pPr>
                  <w:r>
                    <w:t xml:space="preserve">MedianBP 37,799–39,799</w:t>
                  </w:r>
                </w:p>
              </w:tc>
            </w:tr>
            <w:tr>
              <w:tc>
                <w:tcPr/>
                <w:p>
                  <w:pPr>
                    <w:pStyle w:val="Compact"/>
                    <w:jc w:val="left"/>
                    <w:jc w:val="left"/>
                  </w:pPr>
                  <w:r>
                    <w:t xml:space="preserve">Hohle Fels</w:t>
                  </w:r>
                </w:p>
              </w:tc>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technology</w:t>
                  </w:r>
                </w:p>
              </w:tc>
              <w:tc>
                <w:tcPr/>
                <w:p>
                  <w:pPr>
                    <w:pStyle w:val="Compact"/>
                    <w:jc w:val="left"/>
                    <w:jc w:val="left"/>
                  </w:pPr>
                  <w:r>
                    <w:t xml:space="preserve">Layer-level split: AH V Early Aurignacian (Aur-P1); AH IV, III and II-series Evolved/Late Aurignacian (Aur-P2)</w:t>
                  </w:r>
                  <w:r>
                    <w:t xml:space="preserve"> </w:t>
                  </w:r>
                  <w:r>
                    <w:t xml:space="preserve">[5–7]</w:t>
                  </w:r>
                </w:p>
              </w:tc>
            </w:tr>
            <w:tr>
              <w:tc>
                <w:tcPr/>
                <w:p>
                  <w:pPr>
                    <w:pStyle w:val="Compact"/>
                    <w:jc w:val="left"/>
                    <w:jc w:val="left"/>
                  </w:pPr>
                  <w:r>
                    <w:t xml:space="preserve">Hohle Fels</w:t>
                  </w:r>
                </w:p>
              </w:tc>
              <w:tc>
                <w:tcPr/>
                <w:p>
                  <w:pPr>
                    <w:pStyle w:val="Compact"/>
                    <w:jc w:val="left"/>
                    <w:jc w:val="left"/>
                  </w:pPr>
                  <w:r>
                    <w:t xml:space="preserve">Aur-P2</w:t>
                  </w:r>
                </w:p>
              </w:tc>
              <w:tc>
                <w:tcPr/>
                <w:p>
                  <w:pPr>
                    <w:pStyle w:val="Compact"/>
                    <w:jc w:val="left"/>
                    <w:jc w:val="left"/>
                  </w:pPr>
                  <w:r>
                    <w:t xml:space="preserve">29</w:t>
                  </w:r>
                </w:p>
              </w:tc>
              <w:tc>
                <w:tcPr/>
                <w:p>
                  <w:pPr>
                    <w:pStyle w:val="Compact"/>
                    <w:jc w:val="left"/>
                    <w:jc w:val="left"/>
                  </w:pPr>
                  <w:r>
                    <w:t xml:space="preserve">technology</w:t>
                  </w:r>
                </w:p>
              </w:tc>
              <w:tc>
                <w:tcPr/>
                <w:p>
                  <w:pPr>
                    <w:pStyle w:val="Compact"/>
                    <w:jc w:val="left"/>
                    <w:jc w:val="left"/>
                  </w:pPr>
                  <w:r>
                    <w:t xml:space="preserve">Layer-level split: AH V Early Aurignacian (Aur-P1); AH IV, III and II-series Evolved/Late Aurignacian (Aur-P2)</w:t>
                  </w:r>
                  <w:r>
                    <w:t xml:space="preserve"> </w:t>
                  </w:r>
                  <w:r>
                    <w:t xml:space="preserve">[5–7]</w:t>
                  </w:r>
                </w:p>
              </w:tc>
            </w:tr>
            <w:tr>
              <w:tc>
                <w:tcPr/>
                <w:p>
                  <w:pPr>
                    <w:pStyle w:val="Compact"/>
                    <w:jc w:val="left"/>
                    <w:jc w:val="left"/>
                  </w:pPr>
                  <w:r>
                    <w:t xml:space="preserve">Hohlenstein-Stadel</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date</w:t>
                  </w:r>
                </w:p>
              </w:tc>
              <w:tc>
                <w:tcPr/>
                <w:p>
                  <w:pPr>
                    <w:pStyle w:val="Compact"/>
                    <w:jc w:val="left"/>
                    <w:jc w:val="left"/>
                  </w:pPr>
                  <w:r>
                    <w:t xml:space="preserve">MedianBP &gt; 39,799</w:t>
                  </w:r>
                </w:p>
              </w:tc>
            </w:tr>
            <w:tr>
              <w:tc>
                <w:tcPr/>
                <w:p>
                  <w:pPr>
                    <w:pStyle w:val="Compact"/>
                    <w:jc w:val="left"/>
                    <w:jc w:val="left"/>
                  </w:pPr>
                  <w:r>
                    <w:t xml:space="preserve">La Ferrassie</w:t>
                  </w:r>
                </w:p>
              </w:tc>
              <w:tc>
                <w:tcPr/>
                <w:p>
                  <w:pPr>
                    <w:pStyle w:val="Compact"/>
                    <w:jc w:val="left"/>
                    <w:jc w:val="left"/>
                  </w:pPr>
                  <w:r>
                    <w:t xml:space="preserve">Aur-P1</w:t>
                  </w:r>
                </w:p>
              </w:tc>
              <w:tc>
                <w:tcPr/>
                <w:p>
                  <w:pPr>
                    <w:pStyle w:val="Compact"/>
                    <w:jc w:val="left"/>
                    <w:jc w:val="left"/>
                  </w:pPr>
                  <w:r>
                    <w:t xml:space="preserve">22</w:t>
                  </w:r>
                </w:p>
              </w:tc>
              <w:tc>
                <w:tcPr/>
                <w:p>
                  <w:pPr>
                    <w:pStyle w:val="Compact"/>
                    <w:jc w:val="left"/>
                    <w:jc w:val="left"/>
                  </w:pPr>
                  <w:r>
                    <w:t xml:space="preserve">technology</w:t>
                  </w:r>
                </w:p>
              </w:tc>
              <w:tc>
                <w:tcPr/>
                <w:p>
                  <w:pPr>
                    <w:pStyle w:val="Compact"/>
                    <w:jc w:val="left"/>
                    <w:jc w:val="left"/>
                  </w:pPr>
                  <w:r>
                    <w:t xml:space="preserve">Early Aurignacian</w:t>
                  </w:r>
                  <w:r>
                    <w:t xml:space="preserve"> </w:t>
                  </w:r>
                  <w:r>
                    <w:t xml:space="preserve">[3]</w:t>
                  </w:r>
                </w:p>
              </w:tc>
            </w:tr>
            <w:tr>
              <w:tc>
                <w:tcPr/>
                <w:p>
                  <w:pPr>
                    <w:pStyle w:val="Compact"/>
                    <w:jc w:val="left"/>
                    <w:jc w:val="left"/>
                  </w:pPr>
                  <w:r>
                    <w:t xml:space="preserve">La Viña</w:t>
                  </w:r>
                </w:p>
              </w:tc>
              <w:tc>
                <w:tcPr/>
                <w:p>
                  <w:pPr>
                    <w:pStyle w:val="Compact"/>
                    <w:jc w:val="left"/>
                    <w:jc w:val="left"/>
                  </w:pPr>
                  <w:r>
                    <w:t xml:space="preserve">Aur-P2</w:t>
                  </w:r>
                </w:p>
              </w:tc>
              <w:tc>
                <w:tcPr/>
                <w:p>
                  <w:pPr>
                    <w:pStyle w:val="Compact"/>
                    <w:jc w:val="left"/>
                    <w:jc w:val="left"/>
                  </w:pPr>
                  <w:r>
                    <w:t xml:space="preserve">1</w:t>
                  </w:r>
                </w:p>
              </w:tc>
              <w:tc>
                <w:tcPr/>
                <w:p>
                  <w:pPr>
                    <w:pStyle w:val="Compact"/>
                    <w:jc w:val="left"/>
                    <w:jc w:val="left"/>
                  </w:pPr>
                  <w:r>
                    <w:t xml:space="preserve">date</w:t>
                  </w:r>
                </w:p>
              </w:tc>
              <w:tc>
                <w:tcPr/>
                <w:p>
                  <w:pPr>
                    <w:pStyle w:val="Compact"/>
                    <w:jc w:val="left"/>
                    <w:jc w:val="left"/>
                  </w:pPr>
                  <w:r>
                    <w:t xml:space="preserve">MedianBP 31,999–37,799</w:t>
                  </w:r>
                </w:p>
              </w:tc>
            </w:tr>
            <w:tr>
              <w:tc>
                <w:tcPr/>
                <w:p>
                  <w:pPr>
                    <w:pStyle w:val="Compact"/>
                    <w:jc w:val="left"/>
                    <w:jc w:val="left"/>
                  </w:pPr>
                  <w:r>
                    <w:t xml:space="preserve">Labeko Koba</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date</w:t>
                  </w:r>
                </w:p>
              </w:tc>
              <w:tc>
                <w:tcPr/>
                <w:p>
                  <w:pPr>
                    <w:pStyle w:val="Compact"/>
                    <w:jc w:val="left"/>
                    <w:jc w:val="left"/>
                  </w:pPr>
                  <w:r>
                    <w:t xml:space="preserve">MedianBP &gt; 39,799</w:t>
                  </w:r>
                </w:p>
              </w:tc>
            </w:tr>
            <w:tr>
              <w:tc>
                <w:tcPr/>
                <w:p>
                  <w:pPr>
                    <w:pStyle w:val="Compact"/>
                    <w:jc w:val="left"/>
                    <w:jc w:val="left"/>
                  </w:pPr>
                  <w:r>
                    <w:t xml:space="preserve">Les Cottés</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date</w:t>
                  </w:r>
                </w:p>
              </w:tc>
              <w:tc>
                <w:tcPr/>
                <w:p>
                  <w:pPr>
                    <w:pStyle w:val="Compact"/>
                    <w:jc w:val="left"/>
                    <w:jc w:val="left"/>
                  </w:pPr>
                  <w:r>
                    <w:t xml:space="preserve">MedianBP &gt; 39,799</w:t>
                  </w:r>
                </w:p>
              </w:tc>
            </w:tr>
            <w:tr>
              <w:tc>
                <w:tcPr/>
                <w:p>
                  <w:pPr>
                    <w:pStyle w:val="Compact"/>
                    <w:jc w:val="left"/>
                    <w:jc w:val="left"/>
                  </w:pPr>
                  <w:r>
                    <w:t xml:space="preserve">Les Rois</w:t>
                  </w:r>
                </w:p>
              </w:tc>
              <w:tc>
                <w:tcPr/>
                <w:p>
                  <w:pPr>
                    <w:pStyle w:val="Compact"/>
                    <w:jc w:val="left"/>
                    <w:jc w:val="left"/>
                  </w:pPr>
                  <w:r>
                    <w:t xml:space="preserve">Aur-P2</w:t>
                  </w:r>
                </w:p>
              </w:tc>
              <w:tc>
                <w:tcPr/>
                <w:p>
                  <w:pPr>
                    <w:pStyle w:val="Compact"/>
                    <w:jc w:val="left"/>
                    <w:jc w:val="left"/>
                  </w:pPr>
                  <w:r>
                    <w:t xml:space="preserve">1</w:t>
                  </w:r>
                </w:p>
              </w:tc>
              <w:tc>
                <w:tcPr/>
                <w:p>
                  <w:pPr>
                    <w:pStyle w:val="Compact"/>
                    <w:jc w:val="left"/>
                    <w:jc w:val="left"/>
                  </w:pPr>
                  <w:r>
                    <w:t xml:space="preserve">date</w:t>
                  </w:r>
                </w:p>
              </w:tc>
              <w:tc>
                <w:tcPr/>
                <w:p>
                  <w:pPr>
                    <w:pStyle w:val="Compact"/>
                    <w:jc w:val="left"/>
                    <w:jc w:val="left"/>
                  </w:pPr>
                  <w:r>
                    <w:t xml:space="preserve">MedianBP 31,999–37,799</w:t>
                  </w:r>
                </w:p>
              </w:tc>
            </w:tr>
            <w:tr>
              <w:tc>
                <w:tcPr/>
                <w:p>
                  <w:pPr>
                    <w:pStyle w:val="Compact"/>
                    <w:jc w:val="left"/>
                    <w:jc w:val="left"/>
                  </w:pPr>
                  <w:r>
                    <w:t xml:space="preserve">Mladeč</w:t>
                  </w:r>
                </w:p>
              </w:tc>
              <w:tc>
                <w:tcPr/>
                <w:p>
                  <w:pPr>
                    <w:pStyle w:val="Compact"/>
                    <w:jc w:val="left"/>
                    <w:jc w:val="left"/>
                  </w:pPr>
                  <w:r>
                    <w:t xml:space="preserve">Aur-P2</w:t>
                  </w:r>
                </w:p>
              </w:tc>
              <w:tc>
                <w:tcPr/>
                <w:p>
                  <w:pPr>
                    <w:pStyle w:val="Compact"/>
                    <w:jc w:val="left"/>
                    <w:jc w:val="left"/>
                  </w:pPr>
                  <w:r>
                    <w:t xml:space="preserve">4</w:t>
                  </w:r>
                </w:p>
              </w:tc>
              <w:tc>
                <w:tcPr/>
                <w:p>
                  <w:pPr>
                    <w:pStyle w:val="Compact"/>
                    <w:jc w:val="left"/>
                    <w:jc w:val="left"/>
                  </w:pPr>
                  <w:r>
                    <w:t xml:space="preserve">technology</w:t>
                  </w:r>
                </w:p>
              </w:tc>
              <w:tc>
                <w:tcPr/>
                <w:p>
                  <w:pPr>
                    <w:pStyle w:val="Compact"/>
                    <w:jc w:val="left"/>
                    <w:jc w:val="left"/>
                  </w:pPr>
                  <w:r>
                    <w:t xml:space="preserve">Evolved Aurignacian</w:t>
                  </w:r>
                  <w:r>
                    <w:t xml:space="preserve"> </w:t>
                  </w:r>
                  <w:r>
                    <w:t xml:space="preserve">[15]</w:t>
                  </w:r>
                </w:p>
              </w:tc>
            </w:tr>
            <w:tr>
              <w:tc>
                <w:tcPr/>
                <w:p>
                  <w:pPr>
                    <w:pStyle w:val="Compact"/>
                    <w:jc w:val="left"/>
                    <w:jc w:val="left"/>
                  </w:pPr>
                  <w:r>
                    <w:t xml:space="preserve">Pod Hradem</w:t>
                  </w:r>
                </w:p>
              </w:tc>
              <w:tc>
                <w:tcPr/>
                <w:p>
                  <w:pPr>
                    <w:pStyle w:val="Compact"/>
                    <w:jc w:val="left"/>
                    <w:jc w:val="left"/>
                  </w:pPr>
                  <w:r>
                    <w:t xml:space="preserve">Aur-P1</w:t>
                  </w:r>
                </w:p>
              </w:tc>
              <w:tc>
                <w:tcPr/>
                <w:p>
                  <w:pPr>
                    <w:pStyle w:val="Compact"/>
                    <w:jc w:val="left"/>
                    <w:jc w:val="left"/>
                  </w:pPr>
                  <w:r>
                    <w:t xml:space="preserve">1</w:t>
                  </w:r>
                </w:p>
              </w:tc>
              <w:tc>
                <w:tcPr/>
                <w:p>
                  <w:pPr>
                    <w:pStyle w:val="Compact"/>
                    <w:jc w:val="left"/>
                    <w:jc w:val="left"/>
                  </w:pPr>
                  <w:r>
                    <w:t xml:space="preserve">date</w:t>
                  </w:r>
                </w:p>
              </w:tc>
              <w:tc>
                <w:tcPr/>
                <w:p>
                  <w:pPr>
                    <w:pStyle w:val="Compact"/>
                    <w:jc w:val="left"/>
                    <w:jc w:val="left"/>
                  </w:pPr>
                  <w:r>
                    <w:t xml:space="preserve">MedianBP &gt; 39,799</w:t>
                  </w:r>
                </w:p>
              </w:tc>
            </w:tr>
            <w:tr>
              <w:tc>
                <w:tcPr/>
                <w:p>
                  <w:pPr>
                    <w:pStyle w:val="Compact"/>
                    <w:jc w:val="left"/>
                    <w:jc w:val="left"/>
                  </w:pPr>
                  <w:r>
                    <w:t xml:space="preserve">Riparo Bombrini</w:t>
                  </w:r>
                </w:p>
              </w:tc>
              <w:tc>
                <w:tcPr/>
                <w:p>
                  <w:pPr>
                    <w:pStyle w:val="Compact"/>
                    <w:jc w:val="left"/>
                    <w:jc w:val="left"/>
                  </w:pPr>
                  <w:r>
                    <w:t xml:space="preserve">Aur-P1</w:t>
                  </w:r>
                </w:p>
              </w:tc>
              <w:tc>
                <w:tcPr/>
                <w:p>
                  <w:pPr>
                    <w:pStyle w:val="Compact"/>
                    <w:jc w:val="left"/>
                    <w:jc w:val="left"/>
                  </w:pPr>
                  <w:r>
                    <w:t xml:space="preserve">3</w:t>
                  </w:r>
                </w:p>
              </w:tc>
              <w:tc>
                <w:tcPr/>
                <w:p>
                  <w:pPr>
                    <w:pStyle w:val="Compact"/>
                    <w:jc w:val="left"/>
                    <w:jc w:val="left"/>
                  </w:pPr>
                  <w:r>
                    <w:t xml:space="preserve">date</w:t>
                  </w:r>
                </w:p>
              </w:tc>
              <w:tc>
                <w:tcPr/>
                <w:p>
                  <w:pPr>
                    <w:pStyle w:val="Compact"/>
                    <w:jc w:val="left"/>
                    <w:jc w:val="left"/>
                  </w:pPr>
                  <w:r>
                    <w:t xml:space="preserve">MedianBP 37,799–39,799</w:t>
                  </w:r>
                </w:p>
              </w:tc>
            </w:tr>
            <w:tr>
              <w:tc>
                <w:tcPr/>
                <w:p>
                  <w:pPr>
                    <w:pStyle w:val="Compact"/>
                    <w:jc w:val="left"/>
                    <w:jc w:val="left"/>
                  </w:pPr>
                  <w:r>
                    <w:t xml:space="preserve">Sirgenstein Cave</w:t>
                  </w:r>
                </w:p>
              </w:tc>
              <w:tc>
                <w:tcPr/>
                <w:p>
                  <w:pPr>
                    <w:pStyle w:val="Compact"/>
                    <w:jc w:val="left"/>
                    <w:jc w:val="left"/>
                  </w:pPr>
                  <w:r>
                    <w:t xml:space="preserve">Aur-P2</w:t>
                  </w:r>
                </w:p>
              </w:tc>
              <w:tc>
                <w:tcPr/>
                <w:p>
                  <w:pPr>
                    <w:pStyle w:val="Compact"/>
                    <w:jc w:val="left"/>
                    <w:jc w:val="left"/>
                  </w:pPr>
                  <w:r>
                    <w:t xml:space="preserve">1</w:t>
                  </w:r>
                </w:p>
              </w:tc>
              <w:tc>
                <w:tcPr/>
                <w:p>
                  <w:pPr>
                    <w:pStyle w:val="Compact"/>
                    <w:jc w:val="left"/>
                    <w:jc w:val="left"/>
                  </w:pPr>
                  <w:r>
                    <w:t xml:space="preserve">date</w:t>
                  </w:r>
                </w:p>
              </w:tc>
              <w:tc>
                <w:tcPr/>
                <w:p>
                  <w:pPr>
                    <w:pStyle w:val="Compact"/>
                    <w:jc w:val="left"/>
                    <w:jc w:val="left"/>
                  </w:pPr>
                  <w:r>
                    <w:t xml:space="preserve">MedianBP 31,999–37,799</w:t>
                  </w:r>
                </w:p>
              </w:tc>
            </w:tr>
            <w:tr>
              <w:tc>
                <w:tcPr/>
                <w:p>
                  <w:pPr>
                    <w:pStyle w:val="Compact"/>
                    <w:jc w:val="left"/>
                    <w:jc w:val="left"/>
                  </w:pPr>
                  <w:r>
                    <w:t xml:space="preserve">Solutré</w:t>
                  </w:r>
                </w:p>
              </w:tc>
              <w:tc>
                <w:tcPr/>
                <w:p>
                  <w:pPr>
                    <w:pStyle w:val="Compact"/>
                    <w:jc w:val="left"/>
                    <w:jc w:val="left"/>
                  </w:pPr>
                  <w:r>
                    <w:t xml:space="preserve">Aur-P1</w:t>
                  </w:r>
                </w:p>
              </w:tc>
              <w:tc>
                <w:tcPr/>
                <w:p>
                  <w:pPr>
                    <w:pStyle w:val="Compact"/>
                    <w:jc w:val="left"/>
                    <w:jc w:val="left"/>
                  </w:pPr>
                  <w:r>
                    <w:t xml:space="preserve">4</w:t>
                  </w:r>
                </w:p>
              </w:tc>
              <w:tc>
                <w:tcPr/>
                <w:p>
                  <w:pPr>
                    <w:pStyle w:val="Compact"/>
                    <w:jc w:val="left"/>
                    <w:jc w:val="left"/>
                  </w:pPr>
                  <w:r>
                    <w:t xml:space="preserve">date</w:t>
                  </w:r>
                </w:p>
              </w:tc>
              <w:tc>
                <w:tcPr/>
                <w:p>
                  <w:pPr>
                    <w:pStyle w:val="Compact"/>
                    <w:jc w:val="left"/>
                    <w:jc w:val="left"/>
                  </w:pPr>
                  <w:r>
                    <w:t xml:space="preserve">MedianBP 37,799–39,799</w:t>
                  </w:r>
                </w:p>
              </w:tc>
            </w:tr>
            <w:tr>
              <w:tc>
                <w:tcPr/>
                <w:p>
                  <w:pPr>
                    <w:pStyle w:val="Compact"/>
                    <w:jc w:val="left"/>
                    <w:jc w:val="left"/>
                  </w:pPr>
                  <w:r>
                    <w:t xml:space="preserve">Trou Magrite</w:t>
                  </w:r>
                </w:p>
              </w:tc>
              <w:tc>
                <w:tcPr/>
                <w:p>
                  <w:pPr>
                    <w:pStyle w:val="Compact"/>
                    <w:jc w:val="left"/>
                    <w:jc w:val="left"/>
                  </w:pPr>
                  <w:r>
                    <w:t xml:space="preserve">Aur-P2</w:t>
                  </w:r>
                </w:p>
              </w:tc>
              <w:tc>
                <w:tcPr/>
                <w:p>
                  <w:pPr>
                    <w:pStyle w:val="Compact"/>
                    <w:jc w:val="left"/>
                    <w:jc w:val="left"/>
                  </w:pPr>
                  <w:r>
                    <w:t xml:space="preserve">12</w:t>
                  </w:r>
                </w:p>
              </w:tc>
              <w:tc>
                <w:tcPr/>
                <w:p>
                  <w:pPr>
                    <w:pStyle w:val="Compact"/>
                    <w:jc w:val="left"/>
                    <w:jc w:val="left"/>
                  </w:pPr>
                  <w:r>
                    <w:t xml:space="preserve">date</w:t>
                  </w:r>
                </w:p>
              </w:tc>
              <w:tc>
                <w:tcPr/>
                <w:p>
                  <w:pPr>
                    <w:pStyle w:val="Compact"/>
                    <w:jc w:val="left"/>
                    <w:jc w:val="left"/>
                  </w:pPr>
                  <w:r>
                    <w:t xml:space="preserve">MedianBP 31,999–37,799</w:t>
                  </w:r>
                </w:p>
              </w:tc>
            </w:tr>
            <w:tr>
              <w:tc>
                <w:tcPr/>
                <w:p>
                  <w:pPr>
                    <w:pStyle w:val="Compact"/>
                    <w:jc w:val="left"/>
                    <w:jc w:val="left"/>
                  </w:pPr>
                  <w:r>
                    <w:t xml:space="preserve">Trou al’Wesse</w:t>
                  </w:r>
                </w:p>
              </w:tc>
              <w:tc>
                <w:tcPr/>
                <w:p>
                  <w:pPr>
                    <w:pStyle w:val="Compact"/>
                    <w:jc w:val="left"/>
                    <w:jc w:val="left"/>
                  </w:pPr>
                  <w:r>
                    <w:t xml:space="preserve">Aur-P1</w:t>
                  </w:r>
                </w:p>
              </w:tc>
              <w:tc>
                <w:tcPr/>
                <w:p>
                  <w:pPr>
                    <w:pStyle w:val="Compact"/>
                    <w:jc w:val="left"/>
                    <w:jc w:val="left"/>
                  </w:pPr>
                  <w:r>
                    <w:t xml:space="preserve">1</w:t>
                  </w:r>
                </w:p>
              </w:tc>
              <w:tc>
                <w:tcPr/>
                <w:p>
                  <w:pPr>
                    <w:pStyle w:val="Compact"/>
                    <w:jc w:val="left"/>
                    <w:jc w:val="left"/>
                  </w:pPr>
                  <w:r>
                    <w:t xml:space="preserve">date</w:t>
                  </w:r>
                </w:p>
              </w:tc>
              <w:tc>
                <w:tcPr/>
                <w:p>
                  <w:pPr>
                    <w:pStyle w:val="Compact"/>
                    <w:jc w:val="left"/>
                    <w:jc w:val="left"/>
                  </w:pPr>
                  <w:r>
                    <w:t xml:space="preserve">MedianBP 37,799–39,799</w:t>
                  </w:r>
                </w:p>
              </w:tc>
            </w:tr>
            <w:tr>
              <w:tc>
                <w:tcPr/>
                <w:p>
                  <w:pPr>
                    <w:pStyle w:val="Compact"/>
                    <w:jc w:val="left"/>
                    <w:jc w:val="left"/>
                  </w:pPr>
                  <w:r>
                    <w:t xml:space="preserve">Vindija Cave</w:t>
                  </w:r>
                </w:p>
              </w:tc>
              <w:tc>
                <w:tcPr/>
                <w:p>
                  <w:pPr>
                    <w:pStyle w:val="Compact"/>
                    <w:jc w:val="left"/>
                    <w:jc w:val="left"/>
                  </w:pPr>
                  <w:r>
                    <w:t xml:space="preserve">Aur-P2</w:t>
                  </w:r>
                </w:p>
              </w:tc>
              <w:tc>
                <w:tcPr/>
                <w:p>
                  <w:pPr>
                    <w:pStyle w:val="Compact"/>
                    <w:jc w:val="left"/>
                    <w:jc w:val="left"/>
                  </w:pPr>
                  <w:r>
                    <w:t xml:space="preserve">1</w:t>
                  </w:r>
                </w:p>
              </w:tc>
              <w:tc>
                <w:tcPr/>
                <w:p>
                  <w:pPr>
                    <w:pStyle w:val="Compact"/>
                    <w:jc w:val="left"/>
                    <w:jc w:val="left"/>
                  </w:pPr>
                  <w:r>
                    <w:t xml:space="preserve">date</w:t>
                  </w:r>
                </w:p>
              </w:tc>
              <w:tc>
                <w:tcPr/>
                <w:p>
                  <w:pPr>
                    <w:pStyle w:val="Compact"/>
                    <w:jc w:val="left"/>
                    <w:jc w:val="left"/>
                  </w:pPr>
                  <w:r>
                    <w:t xml:space="preserve">MedianBP 31,999–37,799</w:t>
                  </w:r>
                </w:p>
              </w:tc>
            </w:tr>
            <w:tr>
              <w:tc>
                <w:tcPr/>
                <w:p>
                  <w:pPr>
                    <w:pStyle w:val="Compact"/>
                    <w:jc w:val="left"/>
                    <w:jc w:val="left"/>
                  </w:pPr>
                  <w:r>
                    <w:t xml:space="preserve">Vogelherd</w:t>
                  </w:r>
                </w:p>
              </w:tc>
              <w:tc>
                <w:tcPr/>
                <w:p>
                  <w:pPr>
                    <w:pStyle w:val="Compact"/>
                    <w:jc w:val="left"/>
                    <w:jc w:val="left"/>
                  </w:pPr>
                  <w:r>
                    <w:t xml:space="preserve">Aur-P1</w:t>
                  </w:r>
                </w:p>
              </w:tc>
              <w:tc>
                <w:tcPr/>
                <w:p>
                  <w:pPr>
                    <w:pStyle w:val="Compact"/>
                    <w:jc w:val="left"/>
                    <w:jc w:val="left"/>
                  </w:pPr>
                  <w:r>
                    <w:t xml:space="preserve">173</w:t>
                  </w:r>
                </w:p>
              </w:tc>
              <w:tc>
                <w:tcPr/>
                <w:p>
                  <w:pPr>
                    <w:pStyle w:val="Compact"/>
                    <w:jc w:val="left"/>
                    <w:jc w:val="left"/>
                  </w:pPr>
                  <w:r>
                    <w:t xml:space="preserve">technology</w:t>
                  </w:r>
                </w:p>
              </w:tc>
              <w:tc>
                <w:tcPr/>
                <w:p>
                  <w:pPr>
                    <w:pStyle w:val="Compact"/>
                    <w:jc w:val="left"/>
                    <w:jc w:val="left"/>
                  </w:pPr>
                  <w:r>
                    <w:t xml:space="preserve">Early Aurignacian</w:t>
                  </w:r>
                  <w:r>
                    <w:t xml:space="preserve"> </w:t>
                  </w:r>
                  <w:r>
                    <w:t xml:space="preserve">[5,11]</w:t>
                  </w:r>
                </w:p>
              </w:tc>
            </w:tr>
          </w:tbl>
          <w:p>
            <w:pPr>
              <w:jc w:val="left"/>
            </w:pPr>
            <w:pPr>
              <w:jc w:val="start"/>
              <w:spacing w:before="200"/>
              <w:pStyle w:val="ImageCaption"/>
            </w:pPr>
            <w:r>
              <w:t xml:space="preserve">Table S 1: Retained sites with object counts and assignment basis.</w:t>
            </w:r>
          </w:p>
          <w:bookmarkEnd w:id="22"/>
        </w:tc>
      </w:tr>
    </w:tbl>
    <w:bookmarkEnd w:id="23"/>
    <w:bookmarkStart w:id="34" w:name="sec-literature-findings"/>
    <w:p>
      <w:pPr>
        <w:pStyle w:val="Heading2"/>
      </w:pPr>
      <w:r>
        <w:t xml:space="preserve">S2.3 Key literature findings</w:t>
      </w:r>
    </w:p>
    <w:bookmarkStart w:id="24" w:name="Xaa48a3383dbb317aa56ed49af9ef72d79b6a3c9"/>
    <w:p>
      <w:pPr>
        <w:pStyle w:val="Heading3"/>
      </w:pPr>
      <w:r>
        <w:t xml:space="preserve">Hohle Fels → layer-level assignment (AH V Early; AH IV, III, II-series Evolved)</w:t>
      </w:r>
    </w:p>
    <w:p>
      <w:pPr>
        <w:pStyle w:val="FirstParagraph"/>
      </w:pPr>
      <w:r>
        <w:t xml:space="preserve">Hohle Fels is the only site in the dataset whose internal sequence warrants splitting the phase assignment at the layer level rather than treating the whole site as a single phase.</w:t>
      </w:r>
    </w:p>
    <w:p>
      <w:pPr>
        <w:numPr>
          <w:ilvl w:val="0"/>
          <w:numId w:val="1001"/>
        </w:numPr>
        <w:pStyle w:val="Compact"/>
      </w:pPr>
      <w:r>
        <w:t xml:space="preserve">[5]</w:t>
      </w:r>
      <w:r>
        <w:t xml:space="preserve"> </w:t>
      </w:r>
      <w:r>
        <w:t xml:space="preserve">: AH IV is a</w:t>
      </w:r>
      <w:r>
        <w:t xml:space="preserve"> </w:t>
      </w:r>
      <w:r>
        <w:t xml:space="preserve">“</w:t>
      </w:r>
      <w:r>
        <w:t xml:space="preserve">techno-functional facies of the Swabian Aurignacian</w:t>
      </w:r>
      <w:r>
        <w:t xml:space="preserve">”</w:t>
      </w:r>
      <w:r>
        <w:t xml:space="preserve"> </w:t>
      </w:r>
      <w:r>
        <w:t xml:space="preserve">with burin-core bladelet production; it shares features with the Early Aurignacian but is compositionally distinct from the underlying AH V assemblage, challenging the straightforward application of the Western European typo-chronological system to Central Europe.</w:t>
      </w:r>
    </w:p>
    <w:p>
      <w:pPr>
        <w:numPr>
          <w:ilvl w:val="0"/>
          <w:numId w:val="1001"/>
        </w:numPr>
        <w:pStyle w:val="Compact"/>
      </w:pPr>
      <w:r>
        <w:t xml:space="preserve">[6]</w:t>
      </w:r>
      <w:r>
        <w:t xml:space="preserve"> </w:t>
      </w:r>
      <w:r>
        <w:t xml:space="preserve">: AH IIIa and IV share similar tool/core assemblages typical of the Swabian Aurignacian, forming a coherent upper unit that contrasts with AH V.</w:t>
      </w:r>
    </w:p>
    <w:p>
      <w:pPr>
        <w:numPr>
          <w:ilvl w:val="0"/>
          <w:numId w:val="1001"/>
        </w:numPr>
        <w:pStyle w:val="Compact"/>
      </w:pPr>
      <w:r>
        <w:t xml:space="preserve">[7]</w:t>
      </w:r>
      <w:r>
        <w:t xml:space="preserve"> </w:t>
      </w:r>
      <w:r>
        <w:t xml:space="preserve">: Hohle Fels IV shows</w:t>
      </w:r>
      <w:r>
        <w:t xml:space="preserve"> </w:t>
      </w:r>
      <w:r>
        <w:t xml:space="preserve">“</w:t>
      </w:r>
      <w:r>
        <w:t xml:space="preserve">important similarities with the Western European Late Aurignacian</w:t>
      </w:r>
      <w:r>
        <w:t xml:space="preserve">”</w:t>
      </w:r>
      <w:r>
        <w:t xml:space="preserve">; its radiocarbon dates of 33–30 ka ¹⁴C BP are not older than those of the Western European Late Aurignacian. This is the direct basis for placing AH IV and the overlying III and II-series layers in Aur-P2 (Evolved/Late).</w:t>
      </w:r>
    </w:p>
    <w:p>
      <w:pPr>
        <w:numPr>
          <w:ilvl w:val="0"/>
          <w:numId w:val="1001"/>
        </w:numPr>
        <w:pStyle w:val="Compact"/>
      </w:pPr>
      <w:r>
        <w:t xml:space="preserve">AH V (Va, Vaa, Vab, Vb) is the earlier Aurignacian unit at Hohle Fels and is retained in Aur-P1 (Early Aurignacian); its calibrated median dates (~39.7–43.3 ka cal BP) are consistent with that placement.</w:t>
      </w:r>
    </w:p>
    <w:p>
      <w:pPr>
        <w:numPr>
          <w:ilvl w:val="0"/>
          <w:numId w:val="1001"/>
        </w:numPr>
        <w:pStyle w:val="Compact"/>
      </w:pPr>
      <w:r>
        <w:t xml:space="preserve">The single object recorded from the mixed layer</w:t>
      </w:r>
      <w:r>
        <w:t xml:space="preserve"> </w:t>
      </w:r>
      <w:r>
        <w:t xml:space="preserve">“</w:t>
      </w:r>
      <w:r>
        <w:t xml:space="preserve">IIIa-V</w:t>
      </w:r>
      <w:r>
        <w:t xml:space="preserve">”</w:t>
      </w:r>
      <w:r>
        <w:t xml:space="preserve"> </w:t>
      </w:r>
      <w:r>
        <w:t xml:space="preserve">spans the whole Aurignacian sequence and is therefore excluded from the analysis, in line with the treatment of the mixed assemblage from Spy.</w:t>
      </w:r>
    </w:p>
    <w:bookmarkEnd w:id="24"/>
    <w:bookmarkStart w:id="25" w:name="X929d947406c212d8f968cd52856f51a1bb90040"/>
    <w:p>
      <w:pPr>
        <w:pStyle w:val="Heading3"/>
      </w:pPr>
      <w:r>
        <w:t xml:space="preserve">Geissenklösterle → Early Aurignacian (Aur-P1)</w:t>
      </w:r>
    </w:p>
    <w:p>
      <w:pPr>
        <w:numPr>
          <w:ilvl w:val="0"/>
          <w:numId w:val="1002"/>
        </w:numPr>
        <w:pStyle w:val="Compact"/>
      </w:pPr>
      <w:r>
        <w:t xml:space="preserve">[5]</w:t>
      </w:r>
      <w:r>
        <w:t xml:space="preserve"> </w:t>
      </w:r>
      <w:r>
        <w:t xml:space="preserve">: The Geissenklösterle Aurignacian (AH III and II) is assigned to the Early Aurignacian on technological grounds.</w:t>
      </w:r>
    </w:p>
    <w:p>
      <w:pPr>
        <w:numPr>
          <w:ilvl w:val="0"/>
          <w:numId w:val="1002"/>
        </w:numPr>
        <w:pStyle w:val="Compact"/>
      </w:pPr>
      <w:r>
        <w:t xml:space="preserve">[16]</w:t>
      </w:r>
      <w:r>
        <w:t xml:space="preserve"> </w:t>
      </w:r>
      <w:r>
        <w:t xml:space="preserve">: Radiocarbon chronology of Geißenklösterle provides the direct dating basis for this assignment.</w:t>
      </w:r>
    </w:p>
    <w:p>
      <w:pPr>
        <w:numPr>
          <w:ilvl w:val="0"/>
          <w:numId w:val="1002"/>
        </w:numPr>
        <w:pStyle w:val="Compact"/>
      </w:pPr>
      <w:r>
        <w:t xml:space="preserve">Both Geissenklösterle layers remain in Aur-P1: the calibrated median dates of the SignBase radiocarbon determinations for AH II (~40.7 ka cal BP) and AH III (~42.7 ka cal BP) fall within the Aur-P1 range, so the technology- and date-based assignments agree for this site. A reassessment places AH III later (~33–35 ka BP)</w:t>
      </w:r>
      <w:r>
        <w:t xml:space="preserve"> </w:t>
      </w:r>
      <w:r>
        <w:t xml:space="preserve">[17]</w:t>
      </w:r>
      <w:r>
        <w:t xml:space="preserve">, but this conflicts with the site’s own radiocarbon chronology and is not adopted here; the weight of the technological and stratigraphic evidence keeps both layers in Aur-P1.</w:t>
      </w:r>
    </w:p>
    <w:bookmarkEnd w:id="25"/>
    <w:bookmarkStart w:id="26" w:name="Xeaab8167c3763f4e7d6b9af5f079d3bf695d673"/>
    <w:p>
      <w:pPr>
        <w:pStyle w:val="Heading3"/>
      </w:pPr>
      <w:r>
        <w:t xml:space="preserve">Vogelherd → Early Aurignacian (Aur-P1, site-level)</w:t>
      </w:r>
    </w:p>
    <w:p>
      <w:pPr>
        <w:pStyle w:val="FirstParagraph"/>
      </w:pPr>
      <w:r>
        <w:t xml:space="preserve">Vogelherd is kept as a single site-level Aur-P1 unit rather than split by layer: unlike Hohle Fels, its documented mixing is</w:t>
      </w:r>
      <w:r>
        <w:t xml:space="preserve"> </w:t>
      </w:r>
      <w:r>
        <w:rPr>
          <w:iCs/>
          <w:i/>
        </w:rPr>
        <w:t xml:space="preserve">between</w:t>
      </w:r>
      <w:r>
        <w:t xml:space="preserve"> </w:t>
      </w:r>
      <w:r>
        <w:t xml:space="preserve">the Aurignacian and other technocomplexes (Gravettian, Magdalenian), not between Aur-P1 and Aur-P2 Aurignacian facies, so no layer-level phase boundary can be drawn from the published reassessments. The mixing concern is instead addressed directly in S1 §</w:t>
      </w:r>
      <w:r>
        <w:t xml:space="preserve">S1.5.5</w:t>
      </w:r>
      <w:r>
        <w:t xml:space="preserve"> </w:t>
      </w:r>
      <w:r>
        <w:t xml:space="preserve">(Analysis B, exclusion of Vogelherd).</w:t>
      </w:r>
    </w:p>
    <w:p>
      <w:pPr>
        <w:numPr>
          <w:ilvl w:val="0"/>
          <w:numId w:val="1003"/>
        </w:numPr>
        <w:pStyle w:val="Compact"/>
      </w:pPr>
      <w:r>
        <w:t xml:space="preserve">[11]</w:t>
      </w:r>
      <w:r>
        <w:t xml:space="preserve"> </w:t>
      </w:r>
      <w:r>
        <w:t xml:space="preserve">: Reassesses cultural stratigraphy; AH IV–V are Aurignacian but with severe mixing (38 refit connections between layers); 15 radiocarbon dates span 42–34.5 ka cal BP; Gravettian also present.</w:t>
      </w:r>
    </w:p>
    <w:p>
      <w:pPr>
        <w:numPr>
          <w:ilvl w:val="0"/>
          <w:numId w:val="1003"/>
        </w:numPr>
        <w:pStyle w:val="Compact"/>
      </w:pPr>
      <w:r>
        <w:t xml:space="preserve">[18]</w:t>
      </w:r>
      <w:r>
        <w:t xml:space="preserve"> </w:t>
      </w:r>
      <w:r>
        <w:t xml:space="preserve">: Blade/bladelet production analysis; mixing documented but majority of artifacts are Aurignacian.</w:t>
      </w:r>
    </w:p>
    <w:bookmarkEnd w:id="26"/>
    <w:bookmarkStart w:id="27" w:name="fumane-protoaurignacian"/>
    <w:p>
      <w:pPr>
        <w:pStyle w:val="Heading3"/>
      </w:pPr>
      <w:r>
        <w:t xml:space="preserve">Fumane → Protoaurignacian</w:t>
      </w:r>
    </w:p>
    <w:p>
      <w:pPr>
        <w:numPr>
          <w:ilvl w:val="0"/>
          <w:numId w:val="1004"/>
        </w:numPr>
        <w:pStyle w:val="Compact"/>
      </w:pPr>
      <w:r>
        <w:t xml:space="preserve">[12]</w:t>
      </w:r>
      <w:r>
        <w:t xml:space="preserve"> </w:t>
      </w:r>
      <w:r>
        <w:t xml:space="preserve">: Protoaurignacian techno-typology persists throughout sequence at Fumane (A2-A1 through D3).</w:t>
      </w:r>
    </w:p>
    <w:p>
      <w:pPr>
        <w:numPr>
          <w:ilvl w:val="0"/>
          <w:numId w:val="1004"/>
        </w:numPr>
        <w:pStyle w:val="Compact"/>
      </w:pPr>
      <w:r>
        <w:t xml:space="preserve">[13]</w:t>
      </w:r>
      <w:r>
        <w:t xml:space="preserve"> </w:t>
      </w:r>
      <w:r>
        <w:t xml:space="preserve">:</w:t>
      </w:r>
      <w:r>
        <w:t xml:space="preserve"> </w:t>
      </w:r>
      <w:r>
        <w:t xml:space="preserve">“</w:t>
      </w:r>
      <w:r>
        <w:t xml:space="preserve">Features of the Protoaurignacian techno-typology are present throughout the stratigraphic sequence.</w:t>
      </w:r>
      <w:r>
        <w:t xml:space="preserve">”</w:t>
      </w:r>
    </w:p>
    <w:bookmarkEnd w:id="27"/>
    <w:bookmarkStart w:id="28" w:name="la-ferrassie-early-aurignacian"/>
    <w:p>
      <w:pPr>
        <w:pStyle w:val="Heading3"/>
      </w:pPr>
      <w:r>
        <w:t xml:space="preserve">La Ferrassie → Early Aurignacian</w:t>
      </w:r>
    </w:p>
    <w:p>
      <w:pPr>
        <w:numPr>
          <w:ilvl w:val="0"/>
          <w:numId w:val="1005"/>
        </w:numPr>
        <w:pStyle w:val="Compact"/>
      </w:pPr>
      <w:r>
        <w:t xml:space="preserve">[3]</w:t>
      </w:r>
      <w:r>
        <w:t xml:space="preserve"> </w:t>
      </w:r>
      <w:r>
        <w:t xml:space="preserve">: Technological attribution places La Ferrassie in the Early Aurignacian.</w:t>
      </w:r>
    </w:p>
    <w:bookmarkEnd w:id="28"/>
    <w:bookmarkStart w:id="29" w:name="abri-pataud-early-aurignacian"/>
    <w:p>
      <w:pPr>
        <w:pStyle w:val="Heading3"/>
      </w:pPr>
      <w:r>
        <w:t xml:space="preserve">Abri Pataud → Early Aurignacian</w:t>
      </w:r>
    </w:p>
    <w:p>
      <w:pPr>
        <w:numPr>
          <w:ilvl w:val="0"/>
          <w:numId w:val="1006"/>
        </w:numPr>
        <w:pStyle w:val="Compact"/>
      </w:pPr>
      <w:r>
        <w:t xml:space="preserve">[1]</w:t>
      </w:r>
      <w:r>
        <w:t xml:space="preserve"> </w:t>
      </w:r>
      <w:r>
        <w:t xml:space="preserve">: Technological analysis assigns Abri Pataud to the Early Aurignacian.</w:t>
      </w:r>
    </w:p>
    <w:p>
      <w:pPr>
        <w:numPr>
          <w:ilvl w:val="0"/>
          <w:numId w:val="1006"/>
        </w:numPr>
        <w:pStyle w:val="Compact"/>
      </w:pPr>
      <w:r>
        <w:t xml:space="preserve">[2]</w:t>
      </w:r>
      <w:r>
        <w:t xml:space="preserve"> </w:t>
      </w:r>
      <w:r>
        <w:t xml:space="preserve">: Radiocarbon dating supports Early Aurignacian placement.</w:t>
      </w:r>
    </w:p>
    <w:bookmarkEnd w:id="29"/>
    <w:bookmarkStart w:id="30" w:name="mladeč-evolved-aurignacian"/>
    <w:p>
      <w:pPr>
        <w:pStyle w:val="Heading3"/>
      </w:pPr>
      <w:r>
        <w:t xml:space="preserve">Mladeč → Evolved Aurignacian</w:t>
      </w:r>
    </w:p>
    <w:p>
      <w:pPr>
        <w:numPr>
          <w:ilvl w:val="0"/>
          <w:numId w:val="1007"/>
        </w:numPr>
        <w:pStyle w:val="Compact"/>
      </w:pPr>
      <w:r>
        <w:t xml:space="preserve">[15]</w:t>
      </w:r>
      <w:r>
        <w:t xml:space="preserve"> </w:t>
      </w:r>
      <w:r>
        <w:t xml:space="preserve">: Technological and typological analysis assigns Mladeč to the Evolved Aurignacian.</w:t>
      </w:r>
    </w:p>
    <w:p>
      <w:pPr>
        <w:numPr>
          <w:ilvl w:val="0"/>
          <w:numId w:val="1007"/>
        </w:numPr>
        <w:pStyle w:val="Compact"/>
      </w:pPr>
      <w:r>
        <w:t xml:space="preserve">[4]</w:t>
      </w:r>
      <w:r>
        <w:t xml:space="preserve"> </w:t>
      </w:r>
      <w:r>
        <w:t xml:space="preserve">: Direct AMS dates of ~31 ka ¹⁴C BP (~35–36 ka cal BP) support an Evolved Aurignacian attribution.</w:t>
      </w:r>
    </w:p>
    <w:bookmarkEnd w:id="30"/>
    <w:bookmarkStart w:id="31" w:name="spy-excluded"/>
    <w:p>
      <w:pPr>
        <w:pStyle w:val="Heading3"/>
      </w:pPr>
      <w:r>
        <w:t xml:space="preserve">Spy → Excluded</w:t>
      </w:r>
    </w:p>
    <w:p>
      <w:pPr>
        <w:numPr>
          <w:ilvl w:val="0"/>
          <w:numId w:val="1008"/>
        </w:numPr>
        <w:pStyle w:val="Compact"/>
      </w:pPr>
      <w:r>
        <w:t xml:space="preserve">[8]</w:t>
      </w:r>
      <w:r>
        <w:t xml:space="preserve"> </w:t>
      </w:r>
      <w:r>
        <w:t xml:space="preserve">: The Spy Aurignacian assemblage exhibits features of both Early and Late Aurignacian phases. Split-based osseous points suggest Early Aurignacian; small curved bladelets from nosed endscrapers, burins busqués, and Vachons burins suggest Late Aurignacian.</w:t>
      </w:r>
    </w:p>
    <w:p>
      <w:pPr>
        <w:numPr>
          <w:ilvl w:val="0"/>
          <w:numId w:val="1008"/>
        </w:numPr>
        <w:pStyle w:val="Compact"/>
      </w:pPr>
      <w:r>
        <w:t xml:space="preserve">[9]</w:t>
      </w:r>
      <w:r>
        <w:t xml:space="preserve"> </w:t>
      </w:r>
      <w:r>
        <w:t xml:space="preserve">: The Aurignacian at Spy is a mixed assemblage containing a small Early Aurignacian component and several Late Aurignacian components. The earliest convincing Aurignacian date in the region is about 33,000–32,000 BP.</w:t>
      </w:r>
    </w:p>
    <w:p>
      <w:pPr>
        <w:numPr>
          <w:ilvl w:val="0"/>
          <w:numId w:val="1008"/>
        </w:numPr>
        <w:pStyle w:val="Compact"/>
      </w:pPr>
      <w:r>
        <w:t xml:space="preserve">[19]</w:t>
      </w:r>
      <w:r>
        <w:t xml:space="preserve"> </w:t>
      </w:r>
      <w:r>
        <w:t xml:space="preserve">: The Spy Neandertals date to ~36,000 BP, associated with the Lincombian-Ranisian-Jerzmanowician (LRJ). The LRJ and Aurignacian are mixed in the</w:t>
      </w:r>
      <w:r>
        <w:t xml:space="preserve"> </w:t>
      </w:r>
      <w:r>
        <w:t xml:space="preserve">“</w:t>
      </w:r>
      <w:r>
        <w:t xml:space="preserve">deuxième niveau ossifère.</w:t>
      </w:r>
      <w:r>
        <w:t xml:space="preserve">”</w:t>
      </w:r>
    </w:p>
    <w:p>
      <w:pPr>
        <w:numPr>
          <w:ilvl w:val="0"/>
          <w:numId w:val="1008"/>
        </w:numPr>
        <w:pStyle w:val="Compact"/>
      </w:pPr>
      <w:r>
        <w:t xml:space="preserve">The site is heavily mixed: Multiple excavations (1885–1886, 1903–1904, 1952–1960s) with inconsistent methods. The</w:t>
      </w:r>
      <w:r>
        <w:t xml:space="preserve"> </w:t>
      </w:r>
      <w:r>
        <w:t xml:space="preserve">“</w:t>
      </w:r>
      <w:r>
        <w:t xml:space="preserve">deuxième niveau ossifère</w:t>
      </w:r>
      <w:r>
        <w:t xml:space="preserve">”</w:t>
      </w:r>
      <w:r>
        <w:t xml:space="preserve"> </w:t>
      </w:r>
      <w:r>
        <w:t xml:space="preserve">contains Mousterian, LRJ, and Aurignacian materials mixed together.</w:t>
      </w:r>
    </w:p>
    <w:bookmarkEnd w:id="31"/>
    <w:bookmarkStart w:id="32" w:name="gatzarria-proto-aurignacian"/>
    <w:p>
      <w:pPr>
        <w:pStyle w:val="Heading3"/>
      </w:pPr>
      <w:r>
        <w:t xml:space="preserve">Gatzarria → Proto-Aurignacian</w:t>
      </w:r>
    </w:p>
    <w:p>
      <w:pPr>
        <w:numPr>
          <w:ilvl w:val="0"/>
          <w:numId w:val="1009"/>
        </w:numPr>
        <w:pStyle w:val="Compact"/>
      </w:pPr>
      <w:r>
        <w:t xml:space="preserve">[14]</w:t>
      </w:r>
      <w:r>
        <w:t xml:space="preserve"> </w:t>
      </w:r>
      <w:r>
        <w:t xml:space="preserve">: Layer Cjn2 is a Proto-Aurignacian —</w:t>
      </w:r>
      <w:r>
        <w:t xml:space="preserve"> </w:t>
      </w:r>
      <w:r>
        <w:t xml:space="preserve">“</w:t>
      </w:r>
      <w:r>
        <w:t xml:space="preserve">fits completely within the definition and characterization of the Proto-Aurignacian</w:t>
      </w:r>
      <w:r>
        <w:t xml:space="preserve">”</w:t>
      </w:r>
      <w:r>
        <w:t xml:space="preserve"> </w:t>
      </w:r>
      <w:r>
        <w:t xml:space="preserve">with exclusive blade/bladelet production and Dufour bladelets (sub-type Dufour). Layer Cjn1 may be mixed with Cjn2 and Cbf (Classic Aurignacian). The back of the cave is mixed, but the front zone (</w:t>
      </w:r>
      <w:r>
        <w:t xml:space="preserve">“</w:t>
      </w:r>
      <w:r>
        <w:t xml:space="preserve">sampled set</w:t>
      </w:r>
      <w:r>
        <w:t xml:space="preserve">”</w:t>
      </w:r>
      <w:r>
        <w:t xml:space="preserve">) is internally coherent; refitting confirms minimal vertical displacement.</w:t>
      </w:r>
    </w:p>
    <w:p>
      <w:pPr>
        <w:numPr>
          <w:ilvl w:val="0"/>
          <w:numId w:val="1009"/>
        </w:numPr>
        <w:pStyle w:val="Compact"/>
      </w:pPr>
      <w:r>
        <w:t xml:space="preserve">[20]</w:t>
      </w:r>
      <w:r>
        <w:t xml:space="preserve"> </w:t>
      </w:r>
      <w:r>
        <w:t xml:space="preserve">: Confirms complex stratigraphy and mixing concerns, but notes Cjn2 is internally coherent in the anterior zone.</w:t>
      </w:r>
    </w:p>
    <w:bookmarkEnd w:id="32"/>
    <w:bookmarkStart w:id="33" w:name="el-castillo-excluded"/>
    <w:p>
      <w:pPr>
        <w:pStyle w:val="Heading3"/>
      </w:pPr>
      <w:r>
        <w:t xml:space="preserve">El Castillo → Excluded</w:t>
      </w:r>
    </w:p>
    <w:p>
      <w:pPr>
        <w:numPr>
          <w:ilvl w:val="0"/>
          <w:numId w:val="1010"/>
        </w:numPr>
        <w:pStyle w:val="Compact"/>
      </w:pPr>
      <w:r>
        <w:t xml:space="preserve">[10]</w:t>
      </w:r>
      <w:r>
        <w:t xml:space="preserve"> </w:t>
      </w:r>
      <w:r>
        <w:t xml:space="preserve">: The SignBase objects come from layer 18b of the modern excavations. This unit is the basis of the proposed</w:t>
      </w:r>
      <w:r>
        <w:t xml:space="preserve"> </w:t>
      </w:r>
      <w:r>
        <w:t xml:space="preserve">“</w:t>
      </w:r>
      <w:r>
        <w:t xml:space="preserve">Transitional Aurignacian</w:t>
      </w:r>
      <w:r>
        <w:t xml:space="preserve">”</w:t>
      </w:r>
      <w:r>
        <w:t xml:space="preserve">, an interpretation that has been heavily debated, with criticism of the lithic and bone assemblages and of the chronology. Radiocarbon dates place unit 18 earlier than 42 ka cal BP, with no evidence of younger material in the new excavation area. Because the Aurignacian attribution of this unit is debated, we do not assign its objects to a phase.</w:t>
      </w:r>
    </w:p>
    <w:bookmarkEnd w:id="33"/>
    <w:bookmarkEnd w:id="34"/>
    <w:bookmarkStart w:id="50" w:name="sec-site-status"/>
    <w:p>
      <w:pPr>
        <w:pStyle w:val="Heading2"/>
      </w:pPr>
      <w:r>
        <w:t xml:space="preserve">S2.4 Site status table</w:t>
      </w:r>
    </w:p>
    <w:p>
      <w:pPr>
        <w:pStyle w:val="FirstParagraph"/>
      </w:pPr>
      <w:r>
        <w:rPr>
          <w:rStyle w:val="VerbatimChar"/>
        </w:rPr>
        <w:t xml:space="preserve">signBase_Version1.0.csv</w:t>
      </w:r>
      <w:r>
        <w:t xml:space="preserve"> </w:t>
      </w:r>
      <w:r>
        <w:t xml:space="preserve">contains</w:t>
      </w:r>
      <w:r>
        <w:t xml:space="preserve"> </w:t>
      </w:r>
      <w:r>
        <w:rPr>
          <w:bCs/>
          <w:b/>
        </w:rPr>
        <w:t xml:space="preserve">531 objects distributed across 65 sites</w:t>
      </w:r>
      <w:r>
        <w:t xml:space="preserve">. 16 objects from 13 sites carry no geometric signs and are excluded upstream (see</w:t>
      </w:r>
      <w:r>
        <w:t xml:space="preserve"> </w:t>
      </w:r>
      <w:hyperlink w:anchor="tbl-zero-sign">
        <w:r>
          <w:rPr>
            <w:rStyle w:val="Hyperlink"/>
          </w:rPr>
          <w:t xml:space="preserve">Table S 9</w:t>
        </w:r>
      </w:hyperlink>
      <w:r>
        <w:t xml:space="preserve">). A further eight sites are removed from the sample before phase assignment: Willendorf, because its single object carries only a sign coded as</w:t>
      </w:r>
      <w:r>
        <w:t xml:space="preserve"> </w:t>
      </w:r>
      <w:r>
        <w:t xml:space="preserve">“</w:t>
      </w:r>
      <w:r>
        <w:t xml:space="preserve">other</w:t>
      </w:r>
      <w:r>
        <w:t xml:space="preserve">”</w:t>
      </w:r>
      <w:r>
        <w:t xml:space="preserve">; Riparo di Fontana Nuova, Muralovka, Shanidar Cave and Hayonim Cave, because of geographic isolation; El Salitre, because it lacks a reliable chronological context; and Grotte De La Princesse Pauline and Šandalja II, because they date much later than the other assemblages. After phase reclassification and the exclusion of Spy (mixed assemblage) and El Castillo (debated attribution; see</w:t>
      </w:r>
      <w:r>
        <w:t xml:space="preserve"> </w:t>
      </w:r>
      <w:hyperlink w:anchor="tbl-excluded">
        <w:r>
          <w:rPr>
            <w:rStyle w:val="Hyperlink"/>
          </w:rPr>
          <w:t xml:space="preserve">Table S 5</w:t>
        </w:r>
      </w:hyperlink>
      <w:r>
        <w:t xml:space="preserve">), the analysed sample retains</w:t>
      </w:r>
      <w:r>
        <w:t xml:space="preserve"> </w:t>
      </w:r>
      <w:r>
        <w:rPr>
          <w:bCs/>
          <w:b/>
        </w:rPr>
        <w:t xml:space="preserve">28 sites carrying 409 objects across 7 countries</w:t>
      </w:r>
      <w:r>
        <w:t xml:space="preserve">: Aur-P1 (Proto/Early) has 20 sites and 346 objects, Aur-P2 (Evolved/Late) has 9 sites and 63 objects.</w:t>
      </w:r>
      <w:r>
        <w:t xml:space="preserve"> </w:t>
      </w:r>
      <w:hyperlink w:anchor="tbl-site-table">
        <w:r>
          <w:rPr>
            <w:rStyle w:val="Hyperlink"/>
          </w:rPr>
          <w:t xml:space="preserve">Table S 2</w:t>
        </w:r>
      </w:hyperlink>
      <w:r>
        <w:t xml:space="preserve"> </w:t>
      </w:r>
      <w:r>
        <w:t xml:space="preserve">lists every retained site and its object count. Technology-based assignments are detailed in</w:t>
      </w:r>
      <w:r>
        <w:t xml:space="preserve"> </w:t>
      </w:r>
      <w:hyperlink w:anchor="tbl-tech-aurp1">
        <w:r>
          <w:rPr>
            <w:rStyle w:val="Hyperlink"/>
          </w:rPr>
          <w:t xml:space="preserve">Table S 3</w:t>
        </w:r>
      </w:hyperlink>
      <w:r>
        <w:t xml:space="preserve"> </w:t>
      </w:r>
      <w:r>
        <w:t xml:space="preserve">(Aur-P1) and</w:t>
      </w:r>
      <w:r>
        <w:t xml:space="preserve"> </w:t>
      </w:r>
      <w:hyperlink w:anchor="tbl-tech-aurp2">
        <w:r>
          <w:rPr>
            <w:rStyle w:val="Hyperlink"/>
          </w:rPr>
          <w:t xml:space="preserve">Table S 4</w:t>
        </w:r>
      </w:hyperlink>
      <w:r>
        <w:t xml:space="preserve"> </w:t>
      </w:r>
      <w:r>
        <w:t xml:space="preserve">(Aur-P2); date-based assignments in</w:t>
      </w:r>
      <w:r>
        <w:t xml:space="preserve"> </w:t>
      </w:r>
      <w:hyperlink w:anchor="tbl-date-aurp1">
        <w:r>
          <w:rPr>
            <w:rStyle w:val="Hyperlink"/>
          </w:rPr>
          <w:t xml:space="preserve">Table S 7</w:t>
        </w:r>
      </w:hyperlink>
      <w:r>
        <w:t xml:space="preserve"> </w:t>
      </w:r>
      <w:r>
        <w:t xml:space="preserve">(Aur-P1) and</w:t>
      </w:r>
      <w:r>
        <w:t xml:space="preserve"> </w:t>
      </w:r>
      <w:hyperlink w:anchor="tbl-date-aurp2">
        <w:r>
          <w:rPr>
            <w:rStyle w:val="Hyperlink"/>
          </w:rPr>
          <w:t xml:space="preserve">Table S 8</w:t>
        </w:r>
      </w:hyperlink>
      <w:r>
        <w:t xml:space="preserve"> </w:t>
      </w:r>
      <w:r>
        <w:t xml:space="preserve">(Aur-P2). Sites lost during date parsing are listed in</w:t>
      </w:r>
      <w:r>
        <w:t xml:space="preserve"> </w:t>
      </w:r>
      <w:hyperlink w:anchor="tbl-date-excluded">
        <w:r>
          <w:rPr>
            <w:rStyle w:val="Hyperlink"/>
          </w:rPr>
          <w:t xml:space="preserve">Table S 6</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35" w:name="tbl-site-table"/>
          <w:tbl>
            <w:tblPr>
              <w:tblStyle w:val="Table"/>
              <w:tblW w:type="pct" w:w="5000"/>
              <w:tblLook w:firstRow="1" w:lastRow="0" w:firstColumn="0" w:lastColumn="0" w:noHBand="0" w:noVBand="0" w:val="0020"/>
              <w:jc w:val="start"/>
              <w:tblLayout w:type="fixed"/>
            </w:tblPr>
            <w:tblGrid>
              <w:gridCol w:w="4752"/>
              <w:gridCol w:w="1584"/>
              <w:gridCol w:w="1584"/>
            </w:tblGrid>
            <w:tr>
              <w:trPr>
                <w:tblHeader w:val="true"/>
              </w:trPr>
              <w:tc>
                <w:tcPr/>
                <w:p>
                  <w:pPr>
                    <w:pStyle w:val="Compact"/>
                    <w:jc w:val="left"/>
                    <w:jc w:val="left"/>
                  </w:pPr>
                  <w:r>
                    <w:t xml:space="preserve">Site</w:t>
                  </w:r>
                </w:p>
              </w:tc>
              <w:tc>
                <w:tcPr/>
                <w:p>
                  <w:pPr>
                    <w:pStyle w:val="Compact"/>
                    <w:jc w:val="left"/>
                    <w:jc w:val="left"/>
                  </w:pPr>
                  <w:r>
                    <w:t xml:space="preserve">Phase</w:t>
                  </w:r>
                </w:p>
              </w:tc>
              <w:tc>
                <w:tcPr/>
                <w:p>
                  <w:pPr>
                    <w:pStyle w:val="Compact"/>
                    <w:jc w:val="left"/>
                    <w:jc w:val="left"/>
                  </w:pPr>
                  <w:r>
                    <w:t xml:space="preserve">Objects</w:t>
                  </w:r>
                </w:p>
              </w:tc>
            </w:tr>
            <w:tr>
              <w:tc>
                <w:tcPr/>
                <w:p>
                  <w:pPr>
                    <w:pStyle w:val="Compact"/>
                    <w:jc w:val="left"/>
                    <w:jc w:val="left"/>
                  </w:pPr>
                  <w:r>
                    <w:t xml:space="preserve">Abri Pataud</w:t>
                  </w:r>
                </w:p>
              </w:tc>
              <w:tc>
                <w:tcPr/>
                <w:p>
                  <w:pPr>
                    <w:pStyle w:val="Compact"/>
                    <w:jc w:val="left"/>
                    <w:jc w:val="left"/>
                  </w:pPr>
                  <w:r>
                    <w:t xml:space="preserve">Aur-P1</w:t>
                  </w:r>
                </w:p>
              </w:tc>
              <w:tc>
                <w:tcPr/>
                <w:p>
                  <w:pPr>
                    <w:pStyle w:val="Compact"/>
                    <w:jc w:val="left"/>
                    <w:jc w:val="left"/>
                  </w:pPr>
                  <w:r>
                    <w:t xml:space="preserve">3</w:t>
                  </w:r>
                </w:p>
              </w:tc>
            </w:tr>
            <w:tr>
              <w:tc>
                <w:tcPr/>
                <w:p>
                  <w:pPr>
                    <w:pStyle w:val="Compact"/>
                    <w:jc w:val="left"/>
                    <w:jc w:val="left"/>
                  </w:pPr>
                  <w:r>
                    <w:t xml:space="preserve">Blanchard</w:t>
                  </w:r>
                </w:p>
              </w:tc>
              <w:tc>
                <w:tcPr/>
                <w:p>
                  <w:pPr>
                    <w:pStyle w:val="Compact"/>
                    <w:jc w:val="left"/>
                    <w:jc w:val="left"/>
                  </w:pPr>
                  <w:r>
                    <w:t xml:space="preserve">Aur-P1</w:t>
                  </w:r>
                </w:p>
              </w:tc>
              <w:tc>
                <w:tcPr/>
                <w:p>
                  <w:pPr>
                    <w:pStyle w:val="Compact"/>
                    <w:jc w:val="left"/>
                    <w:jc w:val="left"/>
                  </w:pPr>
                  <w:r>
                    <w:t xml:space="preserve">18</w:t>
                  </w:r>
                </w:p>
              </w:tc>
            </w:tr>
            <w:tr>
              <w:tc>
                <w:tcPr/>
                <w:p>
                  <w:pPr>
                    <w:pStyle w:val="Compact"/>
                    <w:jc w:val="left"/>
                    <w:jc w:val="left"/>
                  </w:pPr>
                  <w:r>
                    <w:t xml:space="preserve">Bockstein-Törle</w:t>
                  </w:r>
                </w:p>
              </w:tc>
              <w:tc>
                <w:tcPr/>
                <w:p>
                  <w:pPr>
                    <w:pStyle w:val="Compact"/>
                    <w:jc w:val="left"/>
                    <w:jc w:val="left"/>
                  </w:pPr>
                  <w:r>
                    <w:t xml:space="preserve">Aur-P2</w:t>
                  </w:r>
                </w:p>
              </w:tc>
              <w:tc>
                <w:tcPr/>
                <w:p>
                  <w:pPr>
                    <w:pStyle w:val="Compact"/>
                    <w:jc w:val="left"/>
                    <w:jc w:val="left"/>
                  </w:pPr>
                  <w:r>
                    <w:t xml:space="preserve">3</w:t>
                  </w:r>
                </w:p>
              </w:tc>
            </w:tr>
            <w:tr>
              <w:tc>
                <w:tcPr/>
                <w:p>
                  <w:pPr>
                    <w:pStyle w:val="Compact"/>
                    <w:jc w:val="left"/>
                    <w:jc w:val="left"/>
                  </w:pPr>
                  <w:r>
                    <w:t xml:space="preserve">Castanet</w:t>
                  </w:r>
                </w:p>
              </w:tc>
              <w:tc>
                <w:tcPr/>
                <w:p>
                  <w:pPr>
                    <w:pStyle w:val="Compact"/>
                    <w:jc w:val="left"/>
                    <w:jc w:val="left"/>
                  </w:pPr>
                  <w:r>
                    <w:t xml:space="preserve">Aur-P1</w:t>
                  </w:r>
                </w:p>
              </w:tc>
              <w:tc>
                <w:tcPr/>
                <w:p>
                  <w:pPr>
                    <w:pStyle w:val="Compact"/>
                    <w:jc w:val="left"/>
                    <w:jc w:val="left"/>
                  </w:pPr>
                  <w:r>
                    <w:t xml:space="preserve">21</w:t>
                  </w:r>
                </w:p>
              </w:tc>
            </w:tr>
            <w:tr>
              <w:tc>
                <w:tcPr/>
                <w:p>
                  <w:pPr>
                    <w:pStyle w:val="Compact"/>
                    <w:jc w:val="left"/>
                    <w:jc w:val="left"/>
                  </w:pPr>
                  <w:r>
                    <w:t xml:space="preserve">Cellier</w:t>
                  </w:r>
                </w:p>
              </w:tc>
              <w:tc>
                <w:tcPr/>
                <w:p>
                  <w:pPr>
                    <w:pStyle w:val="Compact"/>
                    <w:jc w:val="left"/>
                    <w:jc w:val="left"/>
                  </w:pPr>
                  <w:r>
                    <w:t xml:space="preserve">Aur-P1</w:t>
                  </w:r>
                </w:p>
              </w:tc>
              <w:tc>
                <w:tcPr/>
                <w:p>
                  <w:pPr>
                    <w:pStyle w:val="Compact"/>
                    <w:jc w:val="left"/>
                    <w:jc w:val="left"/>
                  </w:pPr>
                  <w:r>
                    <w:t xml:space="preserve">28</w:t>
                  </w:r>
                </w:p>
              </w:tc>
            </w:tr>
            <w:tr>
              <w:tc>
                <w:tcPr/>
                <w:p>
                  <w:pPr>
                    <w:pStyle w:val="Compact"/>
                    <w:jc w:val="left"/>
                    <w:jc w:val="left"/>
                  </w:pPr>
                  <w:r>
                    <w:t xml:space="preserve">Fumane</w:t>
                  </w:r>
                </w:p>
              </w:tc>
              <w:tc>
                <w:tcPr/>
                <w:p>
                  <w:pPr>
                    <w:pStyle w:val="Compact"/>
                    <w:jc w:val="left"/>
                    <w:jc w:val="left"/>
                  </w:pPr>
                  <w:r>
                    <w:t xml:space="preserve">Aur-P1</w:t>
                  </w:r>
                </w:p>
              </w:tc>
              <w:tc>
                <w:tcPr/>
                <w:p>
                  <w:pPr>
                    <w:pStyle w:val="Compact"/>
                    <w:jc w:val="left"/>
                    <w:jc w:val="left"/>
                  </w:pPr>
                  <w:r>
                    <w:t xml:space="preserve">1</w:t>
                  </w:r>
                </w:p>
              </w:tc>
            </w:tr>
            <w:tr>
              <w:tc>
                <w:tcPr/>
                <w:p>
                  <w:pPr>
                    <w:pStyle w:val="Compact"/>
                    <w:jc w:val="left"/>
                    <w:jc w:val="left"/>
                  </w:pPr>
                  <w:r>
                    <w:t xml:space="preserve">Gargas</w:t>
                  </w:r>
                </w:p>
              </w:tc>
              <w:tc>
                <w:tcPr/>
                <w:p>
                  <w:pPr>
                    <w:pStyle w:val="Compact"/>
                    <w:jc w:val="left"/>
                    <w:jc w:val="left"/>
                  </w:pPr>
                  <w:r>
                    <w:t xml:space="preserve">Aur-P2</w:t>
                  </w:r>
                </w:p>
              </w:tc>
              <w:tc>
                <w:tcPr/>
                <w:p>
                  <w:pPr>
                    <w:pStyle w:val="Compact"/>
                    <w:jc w:val="left"/>
                    <w:jc w:val="left"/>
                  </w:pPr>
                  <w:r>
                    <w:t xml:space="preserve">11</w:t>
                  </w:r>
                </w:p>
              </w:tc>
            </w:tr>
            <w:tr>
              <w:tc>
                <w:tcPr/>
                <w:p>
                  <w:pPr>
                    <w:pStyle w:val="Compact"/>
                    <w:jc w:val="left"/>
                    <w:jc w:val="left"/>
                  </w:pPr>
                  <w:r>
                    <w:t xml:space="preserve">Gatzarria</w:t>
                  </w:r>
                </w:p>
              </w:tc>
              <w:tc>
                <w:tcPr/>
                <w:p>
                  <w:pPr>
                    <w:pStyle w:val="Compact"/>
                    <w:jc w:val="left"/>
                    <w:jc w:val="left"/>
                  </w:pPr>
                  <w:r>
                    <w:t xml:space="preserve">Aur-P1</w:t>
                  </w:r>
                </w:p>
              </w:tc>
              <w:tc>
                <w:tcPr/>
                <w:p>
                  <w:pPr>
                    <w:pStyle w:val="Compact"/>
                    <w:jc w:val="left"/>
                    <w:jc w:val="left"/>
                  </w:pPr>
                  <w:r>
                    <w:t xml:space="preserve">3</w:t>
                  </w:r>
                </w:p>
              </w:tc>
            </w:tr>
            <w:tr>
              <w:tc>
                <w:tcPr/>
                <w:p>
                  <w:pPr>
                    <w:pStyle w:val="Compact"/>
                    <w:jc w:val="left"/>
                    <w:jc w:val="left"/>
                  </w:pPr>
                  <w:r>
                    <w:t xml:space="preserve">Geissenklösterle</w:t>
                  </w:r>
                </w:p>
              </w:tc>
              <w:tc>
                <w:tcPr/>
                <w:p>
                  <w:pPr>
                    <w:pStyle w:val="Compact"/>
                    <w:jc w:val="left"/>
                    <w:jc w:val="left"/>
                  </w:pPr>
                  <w:r>
                    <w:t xml:space="preserve">Aur-P1</w:t>
                  </w:r>
                </w:p>
              </w:tc>
              <w:tc>
                <w:tcPr/>
                <w:p>
                  <w:pPr>
                    <w:pStyle w:val="Compact"/>
                    <w:jc w:val="left"/>
                    <w:jc w:val="left"/>
                  </w:pPr>
                  <w:r>
                    <w:t xml:space="preserve">30</w:t>
                  </w:r>
                </w:p>
              </w:tc>
            </w:tr>
            <w:tr>
              <w:tc>
                <w:tcPr/>
                <w:p>
                  <w:pPr>
                    <w:pStyle w:val="Compact"/>
                    <w:jc w:val="left"/>
                    <w:jc w:val="left"/>
                  </w:pPr>
                  <w:r>
                    <w:t xml:space="preserve">Grotte de la Verpillière I</w:t>
                  </w:r>
                </w:p>
              </w:tc>
              <w:tc>
                <w:tcPr/>
                <w:p>
                  <w:pPr>
                    <w:pStyle w:val="Compact"/>
                    <w:jc w:val="left"/>
                    <w:jc w:val="left"/>
                  </w:pPr>
                  <w:r>
                    <w:t xml:space="preserve">Aur-P1</w:t>
                  </w:r>
                </w:p>
              </w:tc>
              <w:tc>
                <w:tcPr/>
                <w:p>
                  <w:pPr>
                    <w:pStyle w:val="Compact"/>
                    <w:jc w:val="left"/>
                    <w:jc w:val="left"/>
                  </w:pPr>
                  <w:r>
                    <w:t xml:space="preserve">4</w:t>
                  </w:r>
                </w:p>
              </w:tc>
            </w:tr>
            <w:tr>
              <w:tc>
                <w:tcPr/>
                <w:p>
                  <w:pPr>
                    <w:pStyle w:val="Compact"/>
                    <w:jc w:val="left"/>
                    <w:jc w:val="left"/>
                  </w:pPr>
                  <w:r>
                    <w:t xml:space="preserve">Grotte du Renne</w:t>
                  </w:r>
                </w:p>
              </w:tc>
              <w:tc>
                <w:tcPr/>
                <w:p>
                  <w:pPr>
                    <w:pStyle w:val="Compact"/>
                    <w:jc w:val="left"/>
                    <w:jc w:val="left"/>
                  </w:pPr>
                  <w:r>
                    <w:t xml:space="preserve">Aur-P1</w:t>
                  </w:r>
                </w:p>
              </w:tc>
              <w:tc>
                <w:tcPr/>
                <w:p>
                  <w:pPr>
                    <w:pStyle w:val="Compact"/>
                    <w:jc w:val="left"/>
                    <w:jc w:val="left"/>
                  </w:pPr>
                  <w:r>
                    <w:t xml:space="preserve">7</w:t>
                  </w:r>
                </w:p>
              </w:tc>
            </w:tr>
            <w:tr>
              <w:tc>
                <w:tcPr/>
                <w:p>
                  <w:pPr>
                    <w:pStyle w:val="Compact"/>
                    <w:jc w:val="left"/>
                    <w:jc w:val="left"/>
                  </w:pPr>
                  <w:r>
                    <w:t xml:space="preserve">Grottes de Fonds-de-Forêt</w:t>
                  </w:r>
                </w:p>
              </w:tc>
              <w:tc>
                <w:tcPr/>
                <w:p>
                  <w:pPr>
                    <w:pStyle w:val="Compact"/>
                    <w:jc w:val="left"/>
                    <w:jc w:val="left"/>
                  </w:pPr>
                  <w:r>
                    <w:t xml:space="preserve">Aur-P1</w:t>
                  </w:r>
                </w:p>
              </w:tc>
              <w:tc>
                <w:tcPr/>
                <w:p>
                  <w:pPr>
                    <w:pStyle w:val="Compact"/>
                    <w:jc w:val="left"/>
                    <w:jc w:val="left"/>
                  </w:pPr>
                  <w:r>
                    <w:t xml:space="preserve">1</w:t>
                  </w:r>
                </w:p>
              </w:tc>
            </w:tr>
            <w:tr>
              <w:tc>
                <w:tcPr/>
                <w:p>
                  <w:pPr>
                    <w:pStyle w:val="Compact"/>
                    <w:jc w:val="left"/>
                    <w:jc w:val="left"/>
                  </w:pPr>
                  <w:r>
                    <w:t xml:space="preserve">Hohle Fels</w:t>
                  </w:r>
                </w:p>
              </w:tc>
              <w:tc>
                <w:tcPr/>
                <w:p>
                  <w:pPr>
                    <w:pStyle w:val="Compact"/>
                    <w:jc w:val="left"/>
                    <w:jc w:val="left"/>
                  </w:pPr>
                  <w:r>
                    <w:t xml:space="preserve">Aur-P1</w:t>
                  </w:r>
                </w:p>
              </w:tc>
              <w:tc>
                <w:tcPr/>
                <w:p>
                  <w:pPr>
                    <w:pStyle w:val="Compact"/>
                    <w:jc w:val="left"/>
                    <w:jc w:val="left"/>
                  </w:pPr>
                  <w:r>
                    <w:t xml:space="preserve">20</w:t>
                  </w:r>
                </w:p>
              </w:tc>
            </w:tr>
            <w:tr>
              <w:tc>
                <w:tcPr/>
                <w:p>
                  <w:pPr>
                    <w:pStyle w:val="Compact"/>
                    <w:jc w:val="left"/>
                    <w:jc w:val="left"/>
                  </w:pPr>
                  <w:r>
                    <w:t xml:space="preserve">Hohle Fels</w:t>
                  </w:r>
                </w:p>
              </w:tc>
              <w:tc>
                <w:tcPr/>
                <w:p>
                  <w:pPr>
                    <w:pStyle w:val="Compact"/>
                    <w:jc w:val="left"/>
                    <w:jc w:val="left"/>
                  </w:pPr>
                  <w:r>
                    <w:t xml:space="preserve">Aur-P2</w:t>
                  </w:r>
                </w:p>
              </w:tc>
              <w:tc>
                <w:tcPr/>
                <w:p>
                  <w:pPr>
                    <w:pStyle w:val="Compact"/>
                    <w:jc w:val="left"/>
                    <w:jc w:val="left"/>
                  </w:pPr>
                  <w:r>
                    <w:t xml:space="preserve">29</w:t>
                  </w:r>
                </w:p>
              </w:tc>
            </w:tr>
            <w:tr>
              <w:tc>
                <w:tcPr/>
                <w:p>
                  <w:pPr>
                    <w:pStyle w:val="Compact"/>
                    <w:jc w:val="left"/>
                    <w:jc w:val="left"/>
                  </w:pPr>
                  <w:r>
                    <w:t xml:space="preserve">Hohlenstein-Stadel</w:t>
                  </w:r>
                </w:p>
              </w:tc>
              <w:tc>
                <w:tcPr/>
                <w:p>
                  <w:pPr>
                    <w:pStyle w:val="Compact"/>
                    <w:jc w:val="left"/>
                    <w:jc w:val="left"/>
                  </w:pPr>
                  <w:r>
                    <w:t xml:space="preserve">Aur-P1</w:t>
                  </w:r>
                </w:p>
              </w:tc>
              <w:tc>
                <w:tcPr/>
                <w:p>
                  <w:pPr>
                    <w:pStyle w:val="Compact"/>
                    <w:jc w:val="left"/>
                    <w:jc w:val="left"/>
                  </w:pPr>
                  <w:r>
                    <w:t xml:space="preserve">2</w:t>
                  </w:r>
                </w:p>
              </w:tc>
            </w:tr>
            <w:tr>
              <w:tc>
                <w:tcPr/>
                <w:p>
                  <w:pPr>
                    <w:pStyle w:val="Compact"/>
                    <w:jc w:val="left"/>
                    <w:jc w:val="left"/>
                  </w:pPr>
                  <w:r>
                    <w:t xml:space="preserve">La Ferrassie</w:t>
                  </w:r>
                </w:p>
              </w:tc>
              <w:tc>
                <w:tcPr/>
                <w:p>
                  <w:pPr>
                    <w:pStyle w:val="Compact"/>
                    <w:jc w:val="left"/>
                    <w:jc w:val="left"/>
                  </w:pPr>
                  <w:r>
                    <w:t xml:space="preserve">Aur-P1</w:t>
                  </w:r>
                </w:p>
              </w:tc>
              <w:tc>
                <w:tcPr/>
                <w:p>
                  <w:pPr>
                    <w:pStyle w:val="Compact"/>
                    <w:jc w:val="left"/>
                    <w:jc w:val="left"/>
                  </w:pPr>
                  <w:r>
                    <w:t xml:space="preserve">22</w:t>
                  </w:r>
                </w:p>
              </w:tc>
            </w:tr>
            <w:tr>
              <w:tc>
                <w:tcPr/>
                <w:p>
                  <w:pPr>
                    <w:pStyle w:val="Compact"/>
                    <w:jc w:val="left"/>
                    <w:jc w:val="left"/>
                  </w:pPr>
                  <w:r>
                    <w:t xml:space="preserve">La Viña</w:t>
                  </w:r>
                </w:p>
              </w:tc>
              <w:tc>
                <w:tcPr/>
                <w:p>
                  <w:pPr>
                    <w:pStyle w:val="Compact"/>
                    <w:jc w:val="left"/>
                    <w:jc w:val="left"/>
                  </w:pPr>
                  <w:r>
                    <w:t xml:space="preserve">Aur-P2</w:t>
                  </w:r>
                </w:p>
              </w:tc>
              <w:tc>
                <w:tcPr/>
                <w:p>
                  <w:pPr>
                    <w:pStyle w:val="Compact"/>
                    <w:jc w:val="left"/>
                    <w:jc w:val="left"/>
                  </w:pPr>
                  <w:r>
                    <w:t xml:space="preserve">1</w:t>
                  </w:r>
                </w:p>
              </w:tc>
            </w:tr>
            <w:tr>
              <w:tc>
                <w:tcPr/>
                <w:p>
                  <w:pPr>
                    <w:pStyle w:val="Compact"/>
                    <w:jc w:val="left"/>
                    <w:jc w:val="left"/>
                  </w:pPr>
                  <w:r>
                    <w:t xml:space="preserve">Labeko Koba</w:t>
                  </w:r>
                </w:p>
              </w:tc>
              <w:tc>
                <w:tcPr/>
                <w:p>
                  <w:pPr>
                    <w:pStyle w:val="Compact"/>
                    <w:jc w:val="left"/>
                    <w:jc w:val="left"/>
                  </w:pPr>
                  <w:r>
                    <w:t xml:space="preserve">Aur-P1</w:t>
                  </w:r>
                </w:p>
              </w:tc>
              <w:tc>
                <w:tcPr/>
                <w:p>
                  <w:pPr>
                    <w:pStyle w:val="Compact"/>
                    <w:jc w:val="left"/>
                    <w:jc w:val="left"/>
                  </w:pPr>
                  <w:r>
                    <w:t xml:space="preserve">2</w:t>
                  </w:r>
                </w:p>
              </w:tc>
            </w:tr>
            <w:tr>
              <w:tc>
                <w:tcPr/>
                <w:p>
                  <w:pPr>
                    <w:pStyle w:val="Compact"/>
                    <w:jc w:val="left"/>
                    <w:jc w:val="left"/>
                  </w:pPr>
                  <w:r>
                    <w:t xml:space="preserve">Les Cottés</w:t>
                  </w:r>
                </w:p>
              </w:tc>
              <w:tc>
                <w:tcPr/>
                <w:p>
                  <w:pPr>
                    <w:pStyle w:val="Compact"/>
                    <w:jc w:val="left"/>
                    <w:jc w:val="left"/>
                  </w:pPr>
                  <w:r>
                    <w:t xml:space="preserve">Aur-P1</w:t>
                  </w:r>
                </w:p>
              </w:tc>
              <w:tc>
                <w:tcPr/>
                <w:p>
                  <w:pPr>
                    <w:pStyle w:val="Compact"/>
                    <w:jc w:val="left"/>
                    <w:jc w:val="left"/>
                  </w:pPr>
                  <w:r>
                    <w:t xml:space="preserve">2</w:t>
                  </w:r>
                </w:p>
              </w:tc>
            </w:tr>
            <w:tr>
              <w:tc>
                <w:tcPr/>
                <w:p>
                  <w:pPr>
                    <w:pStyle w:val="Compact"/>
                    <w:jc w:val="left"/>
                    <w:jc w:val="left"/>
                  </w:pPr>
                  <w:r>
                    <w:t xml:space="preserve">Les Rois</w:t>
                  </w:r>
                </w:p>
              </w:tc>
              <w:tc>
                <w:tcPr/>
                <w:p>
                  <w:pPr>
                    <w:pStyle w:val="Compact"/>
                    <w:jc w:val="left"/>
                    <w:jc w:val="left"/>
                  </w:pPr>
                  <w:r>
                    <w:t xml:space="preserve">Aur-P2</w:t>
                  </w:r>
                </w:p>
              </w:tc>
              <w:tc>
                <w:tcPr/>
                <w:p>
                  <w:pPr>
                    <w:pStyle w:val="Compact"/>
                    <w:jc w:val="left"/>
                    <w:jc w:val="left"/>
                  </w:pPr>
                  <w:r>
                    <w:t xml:space="preserve">1</w:t>
                  </w:r>
                </w:p>
              </w:tc>
            </w:tr>
            <w:tr>
              <w:tc>
                <w:tcPr/>
                <w:p>
                  <w:pPr>
                    <w:pStyle w:val="Compact"/>
                    <w:jc w:val="left"/>
                    <w:jc w:val="left"/>
                  </w:pPr>
                  <w:r>
                    <w:t xml:space="preserve">Mladeč</w:t>
                  </w:r>
                </w:p>
              </w:tc>
              <w:tc>
                <w:tcPr/>
                <w:p>
                  <w:pPr>
                    <w:pStyle w:val="Compact"/>
                    <w:jc w:val="left"/>
                    <w:jc w:val="left"/>
                  </w:pPr>
                  <w:r>
                    <w:t xml:space="preserve">Aur-P2</w:t>
                  </w:r>
                </w:p>
              </w:tc>
              <w:tc>
                <w:tcPr/>
                <w:p>
                  <w:pPr>
                    <w:pStyle w:val="Compact"/>
                    <w:jc w:val="left"/>
                    <w:jc w:val="left"/>
                  </w:pPr>
                  <w:r>
                    <w:t xml:space="preserve">4</w:t>
                  </w:r>
                </w:p>
              </w:tc>
            </w:tr>
            <w:tr>
              <w:tc>
                <w:tcPr/>
                <w:p>
                  <w:pPr>
                    <w:pStyle w:val="Compact"/>
                    <w:jc w:val="left"/>
                    <w:jc w:val="left"/>
                  </w:pPr>
                  <w:r>
                    <w:t xml:space="preserve">Pod Hradem</w:t>
                  </w:r>
                </w:p>
              </w:tc>
              <w:tc>
                <w:tcPr/>
                <w:p>
                  <w:pPr>
                    <w:pStyle w:val="Compact"/>
                    <w:jc w:val="left"/>
                    <w:jc w:val="left"/>
                  </w:pPr>
                  <w:r>
                    <w:t xml:space="preserve">Aur-P1</w:t>
                  </w:r>
                </w:p>
              </w:tc>
              <w:tc>
                <w:tcPr/>
                <w:p>
                  <w:pPr>
                    <w:pStyle w:val="Compact"/>
                    <w:jc w:val="left"/>
                    <w:jc w:val="left"/>
                  </w:pPr>
                  <w:r>
                    <w:t xml:space="preserve">1</w:t>
                  </w:r>
                </w:p>
              </w:tc>
            </w:tr>
            <w:tr>
              <w:tc>
                <w:tcPr/>
                <w:p>
                  <w:pPr>
                    <w:pStyle w:val="Compact"/>
                    <w:jc w:val="left"/>
                    <w:jc w:val="left"/>
                  </w:pPr>
                  <w:r>
                    <w:t xml:space="preserve">Riparo Bombrini</w:t>
                  </w:r>
                </w:p>
              </w:tc>
              <w:tc>
                <w:tcPr/>
                <w:p>
                  <w:pPr>
                    <w:pStyle w:val="Compact"/>
                    <w:jc w:val="left"/>
                    <w:jc w:val="left"/>
                  </w:pPr>
                  <w:r>
                    <w:t xml:space="preserve">Aur-P1</w:t>
                  </w:r>
                </w:p>
              </w:tc>
              <w:tc>
                <w:tcPr/>
                <w:p>
                  <w:pPr>
                    <w:pStyle w:val="Compact"/>
                    <w:jc w:val="left"/>
                    <w:jc w:val="left"/>
                  </w:pPr>
                  <w:r>
                    <w:t xml:space="preserve">3</w:t>
                  </w:r>
                </w:p>
              </w:tc>
            </w:tr>
            <w:tr>
              <w:tc>
                <w:tcPr/>
                <w:p>
                  <w:pPr>
                    <w:pStyle w:val="Compact"/>
                    <w:jc w:val="left"/>
                    <w:jc w:val="left"/>
                  </w:pPr>
                  <w:r>
                    <w:t xml:space="preserve">Sirgenstein Cave</w:t>
                  </w:r>
                </w:p>
              </w:tc>
              <w:tc>
                <w:tcPr/>
                <w:p>
                  <w:pPr>
                    <w:pStyle w:val="Compact"/>
                    <w:jc w:val="left"/>
                    <w:jc w:val="left"/>
                  </w:pPr>
                  <w:r>
                    <w:t xml:space="preserve">Aur-P2</w:t>
                  </w:r>
                </w:p>
              </w:tc>
              <w:tc>
                <w:tcPr/>
                <w:p>
                  <w:pPr>
                    <w:pStyle w:val="Compact"/>
                    <w:jc w:val="left"/>
                    <w:jc w:val="left"/>
                  </w:pPr>
                  <w:r>
                    <w:t xml:space="preserve">1</w:t>
                  </w:r>
                </w:p>
              </w:tc>
            </w:tr>
            <w:tr>
              <w:tc>
                <w:tcPr/>
                <w:p>
                  <w:pPr>
                    <w:pStyle w:val="Compact"/>
                    <w:jc w:val="left"/>
                    <w:jc w:val="left"/>
                  </w:pPr>
                  <w:r>
                    <w:t xml:space="preserve">Solutré</w:t>
                  </w:r>
                </w:p>
              </w:tc>
              <w:tc>
                <w:tcPr/>
                <w:p>
                  <w:pPr>
                    <w:pStyle w:val="Compact"/>
                    <w:jc w:val="left"/>
                    <w:jc w:val="left"/>
                  </w:pPr>
                  <w:r>
                    <w:t xml:space="preserve">Aur-P1</w:t>
                  </w:r>
                </w:p>
              </w:tc>
              <w:tc>
                <w:tcPr/>
                <w:p>
                  <w:pPr>
                    <w:pStyle w:val="Compact"/>
                    <w:jc w:val="left"/>
                    <w:jc w:val="left"/>
                  </w:pPr>
                  <w:r>
                    <w:t xml:space="preserve">4</w:t>
                  </w:r>
                </w:p>
              </w:tc>
            </w:tr>
            <w:tr>
              <w:tc>
                <w:tcPr/>
                <w:p>
                  <w:pPr>
                    <w:pStyle w:val="Compact"/>
                    <w:jc w:val="left"/>
                    <w:jc w:val="left"/>
                  </w:pPr>
                  <w:r>
                    <w:t xml:space="preserve">Trou Magrite</w:t>
                  </w:r>
                </w:p>
              </w:tc>
              <w:tc>
                <w:tcPr/>
                <w:p>
                  <w:pPr>
                    <w:pStyle w:val="Compact"/>
                    <w:jc w:val="left"/>
                    <w:jc w:val="left"/>
                  </w:pPr>
                  <w:r>
                    <w:t xml:space="preserve">Aur-P2</w:t>
                  </w:r>
                </w:p>
              </w:tc>
              <w:tc>
                <w:tcPr/>
                <w:p>
                  <w:pPr>
                    <w:pStyle w:val="Compact"/>
                    <w:jc w:val="left"/>
                    <w:jc w:val="left"/>
                  </w:pPr>
                  <w:r>
                    <w:t xml:space="preserve">12</w:t>
                  </w:r>
                </w:p>
              </w:tc>
            </w:tr>
            <w:tr>
              <w:tc>
                <w:tcPr/>
                <w:p>
                  <w:pPr>
                    <w:pStyle w:val="Compact"/>
                    <w:jc w:val="left"/>
                    <w:jc w:val="left"/>
                  </w:pPr>
                  <w:r>
                    <w:t xml:space="preserve">Trou al’Wesse</w:t>
                  </w:r>
                </w:p>
              </w:tc>
              <w:tc>
                <w:tcPr/>
                <w:p>
                  <w:pPr>
                    <w:pStyle w:val="Compact"/>
                    <w:jc w:val="left"/>
                    <w:jc w:val="left"/>
                  </w:pPr>
                  <w:r>
                    <w:t xml:space="preserve">Aur-P1</w:t>
                  </w:r>
                </w:p>
              </w:tc>
              <w:tc>
                <w:tcPr/>
                <w:p>
                  <w:pPr>
                    <w:pStyle w:val="Compact"/>
                    <w:jc w:val="left"/>
                    <w:jc w:val="left"/>
                  </w:pPr>
                  <w:r>
                    <w:t xml:space="preserve">1</w:t>
                  </w:r>
                </w:p>
              </w:tc>
            </w:tr>
            <w:tr>
              <w:tc>
                <w:tcPr/>
                <w:p>
                  <w:pPr>
                    <w:pStyle w:val="Compact"/>
                    <w:jc w:val="left"/>
                    <w:jc w:val="left"/>
                  </w:pPr>
                  <w:r>
                    <w:t xml:space="preserve">Vindija Cave</w:t>
                  </w:r>
                </w:p>
              </w:tc>
              <w:tc>
                <w:tcPr/>
                <w:p>
                  <w:pPr>
                    <w:pStyle w:val="Compact"/>
                    <w:jc w:val="left"/>
                    <w:jc w:val="left"/>
                  </w:pPr>
                  <w:r>
                    <w:t xml:space="preserve">Aur-P2</w:t>
                  </w:r>
                </w:p>
              </w:tc>
              <w:tc>
                <w:tcPr/>
                <w:p>
                  <w:pPr>
                    <w:pStyle w:val="Compact"/>
                    <w:jc w:val="left"/>
                    <w:jc w:val="left"/>
                  </w:pPr>
                  <w:r>
                    <w:t xml:space="preserve">1</w:t>
                  </w:r>
                </w:p>
              </w:tc>
            </w:tr>
            <w:tr>
              <w:tc>
                <w:tcPr/>
                <w:p>
                  <w:pPr>
                    <w:pStyle w:val="Compact"/>
                    <w:jc w:val="left"/>
                    <w:jc w:val="left"/>
                  </w:pPr>
                  <w:r>
                    <w:t xml:space="preserve">Vogelherd</w:t>
                  </w:r>
                </w:p>
              </w:tc>
              <w:tc>
                <w:tcPr/>
                <w:p>
                  <w:pPr>
                    <w:pStyle w:val="Compact"/>
                    <w:jc w:val="left"/>
                    <w:jc w:val="left"/>
                  </w:pPr>
                  <w:r>
                    <w:t xml:space="preserve">Aur-P1</w:t>
                  </w:r>
                </w:p>
              </w:tc>
              <w:tc>
                <w:tcPr/>
                <w:p>
                  <w:pPr>
                    <w:pStyle w:val="Compact"/>
                    <w:jc w:val="left"/>
                    <w:jc w:val="left"/>
                  </w:pPr>
                  <w:r>
                    <w:t xml:space="preserve">173</w:t>
                  </w:r>
                </w:p>
              </w:tc>
            </w:tr>
          </w:tbl>
          <w:p>
            <w:pPr>
              <w:jc w:val="left"/>
            </w:pPr>
            <w:pPr>
              <w:jc w:val="start"/>
              <w:spacing w:before="200"/>
              <w:pStyle w:val="ImageCaption"/>
            </w:pPr>
            <w:r>
              <w:t xml:space="preserve">Table S 2: Sites and object counts after phase reclassification (Aur-P1 = Proto/Early, Aur-P2 = Evolved/Late).</w:t>
            </w:r>
          </w:p>
          <w:bookmarkEnd w:id="35"/>
        </w:tc>
      </w:tr>
    </w:tbl>
    <w:bookmarkStart w:id="37" w:name="X2806760d9dbc8bdb45d251bcf5a3a592ba28839"/>
    <w:p>
      <w:pPr>
        <w:pStyle w:val="Heading3"/>
      </w:pPr>
      <w:r>
        <w:t xml:space="preserve">Aur-P1 (Proto/Early) — technology-based assignment</w:t>
      </w:r>
    </w:p>
    <w:p>
      <w:pPr>
        <w:pStyle w:val="FirstParagraph"/>
      </w:pPr>
      <w:r>
        <w:t xml:space="preserve">Sites placed in Aur-P1 on the basis of specialist technological attributions rather than radiocarbon dates alone (see</w:t>
      </w:r>
      <w:r>
        <w:t xml:space="preserve"> </w:t>
      </w:r>
      <w:hyperlink w:anchor="tbl-tech-aurp1">
        <w:r>
          <w:rPr>
            <w:rStyle w:val="Hyperlink"/>
          </w:rPr>
          <w:t xml:space="preserve">Table S 3</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36" w:name="tbl-tech-aurp1"/>
          <w:tbl>
            <w:tblPr>
              <w:tblStyle w:val="Table"/>
              <w:tblW w:type="pct" w:w="5000"/>
              <w:tblLook w:firstRow="1" w:lastRow="0" w:firstColumn="0" w:lastColumn="0" w:noHBand="0" w:noVBand="0" w:val="0020"/>
              <w:jc w:val="start"/>
              <w:tblLayout w:type="fixed"/>
            </w:tblPr>
            <w:tblGrid>
              <w:gridCol w:w="2059"/>
              <w:gridCol w:w="950"/>
              <w:gridCol w:w="4910"/>
            </w:tblGrid>
            <w:tr>
              <w:trPr>
                <w:tblHeader w:val="true"/>
              </w:trPr>
              <w:tc>
                <w:tcPr/>
                <w:p>
                  <w:pPr>
                    <w:pStyle w:val="Compact"/>
                    <w:jc w:val="left"/>
                    <w:jc w:val="left"/>
                  </w:pPr>
                  <w:r>
                    <w:t xml:space="preserve">Site</w:t>
                  </w:r>
                </w:p>
              </w:tc>
              <w:tc>
                <w:tcPr/>
                <w:p>
                  <w:pPr>
                    <w:pStyle w:val="Compact"/>
                    <w:jc w:val="left"/>
                    <w:jc w:val="left"/>
                  </w:pPr>
                  <w:r>
                    <w:t xml:space="preserve">Objects</w:t>
                  </w:r>
                </w:p>
              </w:tc>
              <w:tc>
                <w:tcPr/>
                <w:p>
                  <w:pPr>
                    <w:pStyle w:val="Compact"/>
                    <w:jc w:val="left"/>
                    <w:jc w:val="left"/>
                  </w:pPr>
                  <w:r>
                    <w:t xml:space="preserve">Basis</w:t>
                  </w:r>
                </w:p>
              </w:tc>
            </w:tr>
            <w:tr>
              <w:tc>
                <w:tcPr/>
                <w:p>
                  <w:pPr>
                    <w:pStyle w:val="Compact"/>
                    <w:jc w:val="left"/>
                    <w:jc w:val="left"/>
                  </w:pPr>
                  <w:r>
                    <w:t xml:space="preserve">Vogelherd</w:t>
                  </w:r>
                </w:p>
              </w:tc>
              <w:tc>
                <w:tcPr/>
                <w:p>
                  <w:pPr>
                    <w:pStyle w:val="Compact"/>
                    <w:jc w:val="left"/>
                    <w:jc w:val="left"/>
                  </w:pPr>
                  <w:r>
                    <w:t xml:space="preserve">173</w:t>
                  </w:r>
                </w:p>
              </w:tc>
              <w:tc>
                <w:tcPr/>
                <w:p>
                  <w:pPr>
                    <w:pStyle w:val="Compact"/>
                    <w:jc w:val="left"/>
                    <w:jc w:val="left"/>
                  </w:pPr>
                  <w:r>
                    <w:t xml:space="preserve">Early Aurignacian</w:t>
                  </w:r>
                  <w:r>
                    <w:t xml:space="preserve"> </w:t>
                  </w:r>
                  <w:r>
                    <w:t xml:space="preserve">[5,11]</w:t>
                  </w:r>
                </w:p>
              </w:tc>
            </w:tr>
            <w:tr>
              <w:tc>
                <w:tcPr/>
                <w:p>
                  <w:pPr>
                    <w:pStyle w:val="Compact"/>
                    <w:jc w:val="left"/>
                    <w:jc w:val="left"/>
                  </w:pPr>
                  <w:r>
                    <w:t xml:space="preserve">Geissenklösterle</w:t>
                  </w:r>
                </w:p>
              </w:tc>
              <w:tc>
                <w:tcPr/>
                <w:p>
                  <w:pPr>
                    <w:pStyle w:val="Compact"/>
                    <w:jc w:val="left"/>
                    <w:jc w:val="left"/>
                  </w:pPr>
                  <w:r>
                    <w:t xml:space="preserve">30</w:t>
                  </w:r>
                </w:p>
              </w:tc>
              <w:tc>
                <w:tcPr/>
                <w:p>
                  <w:pPr>
                    <w:pStyle w:val="Compact"/>
                    <w:jc w:val="left"/>
                    <w:jc w:val="left"/>
                  </w:pPr>
                  <w:r>
                    <w:t xml:space="preserve">Early Aurignacian</w:t>
                  </w:r>
                  <w:r>
                    <w:t xml:space="preserve"> </w:t>
                  </w:r>
                  <w:r>
                    <w:t xml:space="preserve">[5]</w:t>
                  </w:r>
                </w:p>
              </w:tc>
            </w:tr>
            <w:tr>
              <w:tc>
                <w:tcPr/>
                <w:p>
                  <w:pPr>
                    <w:pStyle w:val="Compact"/>
                    <w:jc w:val="left"/>
                    <w:jc w:val="left"/>
                  </w:pPr>
                  <w:r>
                    <w:t xml:space="preserve">La Ferrassie</w:t>
                  </w:r>
                </w:p>
              </w:tc>
              <w:tc>
                <w:tcPr/>
                <w:p>
                  <w:pPr>
                    <w:pStyle w:val="Compact"/>
                    <w:jc w:val="left"/>
                    <w:jc w:val="left"/>
                  </w:pPr>
                  <w:r>
                    <w:t xml:space="preserve">22</w:t>
                  </w:r>
                </w:p>
              </w:tc>
              <w:tc>
                <w:tcPr/>
                <w:p>
                  <w:pPr>
                    <w:pStyle w:val="Compact"/>
                    <w:jc w:val="left"/>
                    <w:jc w:val="left"/>
                  </w:pPr>
                  <w:r>
                    <w:t xml:space="preserve">Early Aurignacian</w:t>
                  </w:r>
                  <w:r>
                    <w:t xml:space="preserve"> </w:t>
                  </w:r>
                  <w:r>
                    <w:t xml:space="preserve">[3]</w:t>
                  </w:r>
                </w:p>
              </w:tc>
            </w:tr>
            <w:tr>
              <w:tc>
                <w:tcPr/>
                <w:p>
                  <w:pPr>
                    <w:pStyle w:val="Compact"/>
                    <w:jc w:val="left"/>
                    <w:jc w:val="left"/>
                  </w:pPr>
                  <w:r>
                    <w:t xml:space="preserve">Hohle Fels</w:t>
                  </w:r>
                </w:p>
              </w:tc>
              <w:tc>
                <w:tcPr/>
                <w:p>
                  <w:pPr>
                    <w:pStyle w:val="Compact"/>
                    <w:jc w:val="left"/>
                    <w:jc w:val="left"/>
                  </w:pPr>
                  <w:r>
                    <w:t xml:space="preserve">20</w:t>
                  </w:r>
                </w:p>
              </w:tc>
              <w:tc>
                <w:tcPr/>
                <w:p>
                  <w:pPr>
                    <w:pStyle w:val="Compact"/>
                    <w:jc w:val="left"/>
                    <w:jc w:val="left"/>
                  </w:pPr>
                  <w:r>
                    <w:t xml:space="preserve">Layer-level split: AH V Early Aurignacian (Aur-P1); AH IV, III and II-series Evolved/Late Aurignacian (Aur-P2)</w:t>
                  </w:r>
                  <w:r>
                    <w:t xml:space="preserve"> </w:t>
                  </w:r>
                  <w:r>
                    <w:t xml:space="preserve">[5–7]</w:t>
                  </w:r>
                </w:p>
              </w:tc>
            </w:tr>
            <w:tr>
              <w:tc>
                <w:tcPr/>
                <w:p>
                  <w:pPr>
                    <w:pStyle w:val="Compact"/>
                    <w:jc w:val="left"/>
                    <w:jc w:val="left"/>
                  </w:pPr>
                  <w:r>
                    <w:t xml:space="preserve">Abri Pataud</w:t>
                  </w:r>
                </w:p>
              </w:tc>
              <w:tc>
                <w:tcPr/>
                <w:p>
                  <w:pPr>
                    <w:pStyle w:val="Compact"/>
                    <w:jc w:val="left"/>
                    <w:jc w:val="left"/>
                  </w:pPr>
                  <w:r>
                    <w:t xml:space="preserve">3</w:t>
                  </w:r>
                </w:p>
              </w:tc>
              <w:tc>
                <w:tcPr/>
                <w:p>
                  <w:pPr>
                    <w:pStyle w:val="Compact"/>
                    <w:jc w:val="left"/>
                    <w:jc w:val="left"/>
                  </w:pPr>
                  <w:r>
                    <w:t xml:space="preserve">Early Aurignacian</w:t>
                  </w:r>
                  <w:r>
                    <w:t xml:space="preserve"> </w:t>
                  </w:r>
                  <w:r>
                    <w:t xml:space="preserve">[1,2]</w:t>
                  </w:r>
                </w:p>
              </w:tc>
            </w:tr>
            <w:tr>
              <w:tc>
                <w:tcPr/>
                <w:p>
                  <w:pPr>
                    <w:pStyle w:val="Compact"/>
                    <w:jc w:val="left"/>
                    <w:jc w:val="left"/>
                  </w:pPr>
                  <w:r>
                    <w:t xml:space="preserve">Gatzarria</w:t>
                  </w:r>
                </w:p>
              </w:tc>
              <w:tc>
                <w:tcPr/>
                <w:p>
                  <w:pPr>
                    <w:pStyle w:val="Compact"/>
                    <w:jc w:val="left"/>
                    <w:jc w:val="left"/>
                  </w:pPr>
                  <w:r>
                    <w:t xml:space="preserve">3</w:t>
                  </w:r>
                </w:p>
              </w:tc>
              <w:tc>
                <w:tcPr/>
                <w:p>
                  <w:pPr>
                    <w:pStyle w:val="Compact"/>
                    <w:jc w:val="left"/>
                    <w:jc w:val="left"/>
                  </w:pPr>
                  <w:r>
                    <w:t xml:space="preserve">Proto-Aurignacian, layer Cjn2</w:t>
                  </w:r>
                  <w:r>
                    <w:t xml:space="preserve"> </w:t>
                  </w:r>
                  <w:r>
                    <w:t xml:space="preserve">[14]</w:t>
                  </w:r>
                </w:p>
              </w:tc>
            </w:tr>
          </w:tbl>
          <w:p>
            <w:pPr>
              <w:jc w:val="left"/>
            </w:pPr>
            <w:pPr>
              <w:jc w:val="start"/>
              <w:spacing w:before="200"/>
              <w:pStyle w:val="ImageCaption"/>
            </w:pPr>
            <w:r>
              <w:t xml:space="preserve">Table S 3: Aur-P1 sites assigned by technology rather than radiocarbon date.</w:t>
            </w:r>
          </w:p>
          <w:bookmarkEnd w:id="36"/>
        </w:tc>
      </w:tr>
    </w:tbl>
    <w:bookmarkEnd w:id="37"/>
    <w:bookmarkStart w:id="39" w:name="X076eb53732cccd673d661c39585e38c9b7c9759"/>
    <w:p>
      <w:pPr>
        <w:pStyle w:val="Heading3"/>
      </w:pPr>
      <w:r>
        <w:t xml:space="preserve">Aur-P2 (Evolved/Late) — technology-based assignment</w:t>
      </w:r>
    </w:p>
    <w:p>
      <w:pPr>
        <w:pStyle w:val="FirstParagraph"/>
      </w:pPr>
      <w:r>
        <w:t xml:space="preserve">Mladeč and the upper horizons of Hohle Fels (AH IV, III and the II-series) are placed in Aur-P2 on technological grounds (see</w:t>
      </w:r>
      <w:r>
        <w:t xml:space="preserve"> </w:t>
      </w:r>
      <w:hyperlink w:anchor="tbl-tech-aurp2">
        <w:r>
          <w:rPr>
            <w:rStyle w:val="Hyperlink"/>
          </w:rPr>
          <w:t xml:space="preserve">Table S 4</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38" w:name="tbl-tech-aurp2"/>
          <w:tbl>
            <w:tblPr>
              <w:tblStyle w:val="Table"/>
              <w:tblW w:type="pct" w:w="5000"/>
              <w:tblLook w:firstRow="1" w:lastRow="0" w:firstColumn="0" w:lastColumn="0" w:noHBand="0" w:noVBand="0" w:val="0020"/>
              <w:jc w:val="start"/>
              <w:tblLayout w:type="fixed"/>
            </w:tblPr>
            <w:tblGrid>
              <w:gridCol w:w="2059"/>
              <w:gridCol w:w="950"/>
              <w:gridCol w:w="4910"/>
            </w:tblGrid>
            <w:tr>
              <w:trPr>
                <w:tblHeader w:val="true"/>
              </w:trPr>
              <w:tc>
                <w:tcPr/>
                <w:p>
                  <w:pPr>
                    <w:pStyle w:val="Compact"/>
                    <w:jc w:val="left"/>
                    <w:jc w:val="left"/>
                  </w:pPr>
                  <w:r>
                    <w:t xml:space="preserve">Site</w:t>
                  </w:r>
                </w:p>
              </w:tc>
              <w:tc>
                <w:tcPr/>
                <w:p>
                  <w:pPr>
                    <w:pStyle w:val="Compact"/>
                    <w:jc w:val="left"/>
                    <w:jc w:val="left"/>
                  </w:pPr>
                  <w:r>
                    <w:t xml:space="preserve">Objects</w:t>
                  </w:r>
                </w:p>
              </w:tc>
              <w:tc>
                <w:tcPr/>
                <w:p>
                  <w:pPr>
                    <w:pStyle w:val="Compact"/>
                    <w:jc w:val="left"/>
                    <w:jc w:val="left"/>
                  </w:pPr>
                  <w:r>
                    <w:t xml:space="preserve">Basis</w:t>
                  </w:r>
                </w:p>
              </w:tc>
            </w:tr>
            <w:tr>
              <w:tc>
                <w:tcPr/>
                <w:p>
                  <w:pPr>
                    <w:pStyle w:val="Compact"/>
                    <w:jc w:val="left"/>
                    <w:jc w:val="left"/>
                  </w:pPr>
                  <w:r>
                    <w:t xml:space="preserve">Hohle Fels</w:t>
                  </w:r>
                </w:p>
              </w:tc>
              <w:tc>
                <w:tcPr/>
                <w:p>
                  <w:pPr>
                    <w:pStyle w:val="Compact"/>
                    <w:jc w:val="left"/>
                    <w:jc w:val="left"/>
                  </w:pPr>
                  <w:r>
                    <w:t xml:space="preserve">29</w:t>
                  </w:r>
                </w:p>
              </w:tc>
              <w:tc>
                <w:tcPr/>
                <w:p>
                  <w:pPr>
                    <w:pStyle w:val="Compact"/>
                    <w:jc w:val="left"/>
                    <w:jc w:val="left"/>
                  </w:pPr>
                  <w:r>
                    <w:t xml:space="preserve">Layer-level split: AH V Early Aurignacian (Aur-P1); AH IV, III and II-series Evolved/Late Aurignacian (Aur-P2)</w:t>
                  </w:r>
                  <w:r>
                    <w:t xml:space="preserve"> </w:t>
                  </w:r>
                  <w:r>
                    <w:t xml:space="preserve">[5–7]</w:t>
                  </w:r>
                </w:p>
              </w:tc>
            </w:tr>
            <w:tr>
              <w:tc>
                <w:tcPr/>
                <w:p>
                  <w:pPr>
                    <w:pStyle w:val="Compact"/>
                    <w:jc w:val="left"/>
                    <w:jc w:val="left"/>
                  </w:pPr>
                  <w:r>
                    <w:t xml:space="preserve">Mladeč</w:t>
                  </w:r>
                </w:p>
              </w:tc>
              <w:tc>
                <w:tcPr/>
                <w:p>
                  <w:pPr>
                    <w:pStyle w:val="Compact"/>
                    <w:jc w:val="left"/>
                    <w:jc w:val="left"/>
                  </w:pPr>
                  <w:r>
                    <w:t xml:space="preserve">4</w:t>
                  </w:r>
                </w:p>
              </w:tc>
              <w:tc>
                <w:tcPr/>
                <w:p>
                  <w:pPr>
                    <w:pStyle w:val="Compact"/>
                    <w:jc w:val="left"/>
                    <w:jc w:val="left"/>
                  </w:pPr>
                  <w:r>
                    <w:t xml:space="preserve">Evolved Aurignacian</w:t>
                  </w:r>
                  <w:r>
                    <w:t xml:space="preserve"> </w:t>
                  </w:r>
                  <w:r>
                    <w:t xml:space="preserve">[15]</w:t>
                  </w:r>
                </w:p>
              </w:tc>
            </w:tr>
          </w:tbl>
          <w:p>
            <w:pPr>
              <w:jc w:val="left"/>
            </w:pPr>
            <w:pPr>
              <w:jc w:val="start"/>
              <w:spacing w:before="200"/>
              <w:pStyle w:val="ImageCaption"/>
            </w:pPr>
            <w:r>
              <w:t xml:space="preserve">Table S 4: Aur-P2 sites assigned by technology rather than radiocarbon date.</w:t>
            </w:r>
          </w:p>
          <w:bookmarkEnd w:id="38"/>
        </w:tc>
      </w:tr>
    </w:tbl>
    <w:bookmarkEnd w:id="39"/>
    <w:bookmarkStart w:id="41" w:name="Xbea03578033e329200c24c3fba54cf194a21f2d"/>
    <w:p>
      <w:pPr>
        <w:pStyle w:val="Heading3"/>
      </w:pPr>
      <w:r>
        <w:t xml:space="preserve">Excluded because of mixing or debated attribution</w:t>
      </w:r>
    </w:p>
    <w:p>
      <w:pPr>
        <w:pStyle w:val="FirstParagraph"/>
      </w:pPr>
      <w:r>
        <w:t xml:space="preserve">Two sites are excluded: Spy, because its assemblage is mixed, and El Castillo, because the Aurignacian attribution of its unit 18 is debated (see</w:t>
      </w:r>
      <w:r>
        <w:t xml:space="preserve"> </w:t>
      </w:r>
      <w:hyperlink w:anchor="tbl-excluded">
        <w:r>
          <w:rPr>
            <w:rStyle w:val="Hyperlink"/>
          </w:rPr>
          <w:t xml:space="preserve">Table S 5</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40" w:name="tbl-excluded"/>
          <w:tbl>
            <w:tblPr>
              <w:tblStyle w:val="Table"/>
              <w:tblW w:type="pct" w:w="5000"/>
              <w:tblLook w:firstRow="1" w:lastRow="0" w:firstColumn="0" w:lastColumn="0" w:noHBand="0" w:noVBand="0" w:val="0020"/>
              <w:jc w:val="start"/>
              <w:tblLayout w:type="fixed"/>
            </w:tblPr>
            <w:tblGrid>
              <w:gridCol w:w="2059"/>
              <w:gridCol w:w="950"/>
              <w:gridCol w:w="4910"/>
            </w:tblGrid>
            <w:tr>
              <w:trPr>
                <w:tblHeader w:val="true"/>
              </w:trPr>
              <w:tc>
                <w:tcPr/>
                <w:p>
                  <w:pPr>
                    <w:pStyle w:val="Compact"/>
                    <w:jc w:val="left"/>
                    <w:jc w:val="left"/>
                  </w:pPr>
                  <w:r>
                    <w:t xml:space="preserve">Site</w:t>
                  </w:r>
                </w:p>
              </w:tc>
              <w:tc>
                <w:tcPr/>
                <w:p>
                  <w:pPr>
                    <w:pStyle w:val="Compact"/>
                    <w:jc w:val="left"/>
                    <w:jc w:val="left"/>
                  </w:pPr>
                  <w:r>
                    <w:t xml:space="preserve">Objects</w:t>
                  </w:r>
                </w:p>
              </w:tc>
              <w:tc>
                <w:tcPr/>
                <w:p>
                  <w:pPr>
                    <w:pStyle w:val="Compact"/>
                    <w:jc w:val="left"/>
                    <w:jc w:val="left"/>
                  </w:pPr>
                  <w:r>
                    <w:t xml:space="preserve">Basis</w:t>
                  </w:r>
                </w:p>
              </w:tc>
            </w:tr>
            <w:tr>
              <w:tc>
                <w:tcPr/>
                <w:p>
                  <w:pPr>
                    <w:pStyle w:val="Compact"/>
                    <w:jc w:val="left"/>
                    <w:jc w:val="left"/>
                  </w:pPr>
                  <w:r>
                    <w:t xml:space="preserve">El Castillo</w:t>
                  </w:r>
                </w:p>
              </w:tc>
              <w:tc>
                <w:tcPr/>
                <w:p>
                  <w:pPr>
                    <w:pStyle w:val="Compact"/>
                    <w:jc w:val="left"/>
                    <w:jc w:val="left"/>
                  </w:pPr>
                  <w:r>
                    <w:t xml:space="preserve">3</w:t>
                  </w:r>
                </w:p>
              </w:tc>
              <w:tc>
                <w:tcPr/>
                <w:p>
                  <w:pPr>
                    <w:pStyle w:val="Compact"/>
                    <w:jc w:val="left"/>
                    <w:jc w:val="left"/>
                  </w:pPr>
                  <w:r>
                    <w:t xml:space="preserve">Aurignacian attribution of unit 18 (the Transitional Aurignacian) is debated</w:t>
                  </w:r>
                  <w:r>
                    <w:t xml:space="preserve"> </w:t>
                  </w:r>
                  <w:r>
                    <w:t xml:space="preserve">[10]</w:t>
                  </w:r>
                </w:p>
              </w:tc>
            </w:tr>
            <w:tr>
              <w:tc>
                <w:tcPr/>
                <w:p>
                  <w:pPr>
                    <w:pStyle w:val="Compact"/>
                    <w:jc w:val="left"/>
                    <w:jc w:val="left"/>
                  </w:pPr>
                  <w:r>
                    <w:t xml:space="preserve">Spy</w:t>
                  </w:r>
                </w:p>
              </w:tc>
              <w:tc>
                <w:tcPr/>
                <w:p>
                  <w:pPr>
                    <w:pStyle w:val="Compact"/>
                    <w:jc w:val="left"/>
                    <w:jc w:val="left"/>
                  </w:pPr>
                  <w:r>
                    <w:t xml:space="preserve">25</w:t>
                  </w:r>
                </w:p>
              </w:tc>
              <w:tc>
                <w:tcPr/>
                <w:p>
                  <w:pPr>
                    <w:pStyle w:val="Compact"/>
                    <w:jc w:val="left"/>
                    <w:jc w:val="left"/>
                  </w:pPr>
                  <w:r>
                    <w:t xml:space="preserve">Mixed assemblage, no single Proto-Aurignacian attribution</w:t>
                  </w:r>
                  <w:r>
                    <w:t xml:space="preserve"> </w:t>
                  </w:r>
                  <w:r>
                    <w:t xml:space="preserve">[8,9,19]</w:t>
                  </w:r>
                </w:p>
              </w:tc>
            </w:tr>
          </w:tbl>
          <w:p>
            <w:pPr>
              <w:jc w:val="left"/>
            </w:pPr>
            <w:pPr>
              <w:jc w:val="start"/>
              <w:spacing w:before="200"/>
              <w:pStyle w:val="ImageCaption"/>
            </w:pPr>
            <w:r>
              <w:t xml:space="preserve">Table S 5: Sites excluded from the analysis because of a mixed assemblage (Spy) or a debated cultural attribution (El Castillo).</w:t>
            </w:r>
          </w:p>
          <w:bookmarkEnd w:id="40"/>
        </w:tc>
      </w:tr>
    </w:tbl>
    <w:bookmarkEnd w:id="41"/>
    <w:bookmarkStart w:id="43" w:name="X66c9cc182233bd002ab6e072ce477517bb113a6"/>
    <w:p>
      <w:pPr>
        <w:pStyle w:val="Heading3"/>
      </w:pPr>
      <w:r>
        <w:t xml:space="preserve">Sites excluded for date parsing (Category B + C)</w:t>
      </w:r>
    </w:p>
    <w:p>
      <w:pPr>
        <w:pStyle w:val="FirstParagraph"/>
      </w:pPr>
      <w:r>
        <w:t xml:space="preserve">We exclude 27 sites because their SignBase records lack a parsable</w:t>
      </w:r>
      <w:r>
        <w:t xml:space="preserve"> </w:t>
      </w:r>
      <w:r>
        <w:rPr>
          <w:rStyle w:val="VerbatimChar"/>
        </w:rPr>
        <w:t xml:space="preserve">date_bp_max_min</w:t>
      </w:r>
      <w:r>
        <w:t xml:space="preserve"> </w:t>
      </w:r>
      <w:r>
        <w:t xml:space="preserve">string or because the calibrated median (</w:t>
      </w:r>
      <w:r>
        <w:rPr>
          <w:rStyle w:val="VerbatimChar"/>
        </w:rPr>
        <w:t xml:space="preserve">MedianBP</w:t>
      </w:r>
      <w:r>
        <w:t xml:space="preserve">) cannot be computed from the available radiocarbon data. These exclusions occur during the date-parsing/calibration step, prior to phase assignment. The full list is given in</w:t>
      </w:r>
      <w:r>
        <w:t xml:space="preserve"> </w:t>
      </w:r>
      <w:hyperlink w:anchor="tbl-date-excluded">
        <w:r>
          <w:rPr>
            <w:rStyle w:val="Hyperlink"/>
          </w:rPr>
          <w:t xml:space="preserve">Table S 6</w:t>
        </w:r>
      </w:hyperlink>
      <w:r>
        <w:t xml:space="preserve">.</w:t>
      </w:r>
    </w:p>
    <w:p>
      <w:pPr>
        <w:pStyle w:val="BodyText"/>
      </w:pPr>
      <w:r>
        <w:rPr>
          <w:bCs/>
          <w:b/>
        </w:rPr>
        <w:t xml:space="preserve">Category B (no</w:t>
      </w:r>
      <w:r>
        <w:rPr>
          <w:bCs/>
          <w:b/>
        </w:rPr>
        <w:t xml:space="preserve"> </w:t>
      </w:r>
      <w:r>
        <w:rPr>
          <w:rStyle w:val="VerbatimChar"/>
          <w:bCs/>
          <w:b/>
        </w:rPr>
        <w:t xml:space="preserve">date_bp_max_min</w:t>
      </w:r>
      <w:r>
        <w:rPr>
          <w:bCs/>
          <w:b/>
        </w:rPr>
        <w:t xml:space="preserve"> </w:t>
      </w:r>
      <w:r>
        <w:rPr>
          <w:bCs/>
          <w:b/>
        </w:rPr>
        <w:t xml:space="preserve">field in SignBase): 16 sites with 30 total objects (26 signed).</w:t>
      </w:r>
      <w:r>
        <w:t xml:space="preserve"> </w:t>
      </w:r>
      <w:r>
        <w:t xml:space="preserve">These sites appear in SignBase as type sites or old excavations that did not record standardized date strings. No radiocarbon dating information is available for any object from these sites.</w:t>
      </w:r>
    </w:p>
    <w:p>
      <w:pPr>
        <w:pStyle w:val="BodyText"/>
      </w:pPr>
      <w:r>
        <w:rPr>
          <w:bCs/>
          <w:b/>
        </w:rPr>
        <w:t xml:space="preserve">Category C (date string present but calibration fails): 11 sites with 35 total objects (32 signed).</w:t>
      </w:r>
      <w:r>
        <w:t xml:space="preserve"> </w:t>
      </w:r>
      <w:r>
        <w:t xml:space="preserve">These sites have</w:t>
      </w:r>
      <w:r>
        <w:t xml:space="preserve"> </w:t>
      </w:r>
      <w:r>
        <w:rPr>
          <w:rStyle w:val="VerbatimChar"/>
        </w:rPr>
        <w:t xml:space="preserve">date_bp_max_min</w:t>
      </w:r>
      <w:r>
        <w:t xml:space="preserve"> </w:t>
      </w:r>
      <w:r>
        <w:t xml:space="preserve">entries in the format</w:t>
      </w:r>
      <w:r>
        <w:t xml:space="preserve"> </w:t>
      </w:r>
      <w:r>
        <w:t xml:space="preserve">“</w:t>
      </w:r>
      <w:r>
        <w:t xml:space="preserve">34000 - 30000</w:t>
      </w:r>
      <w:r>
        <w:t xml:space="preserve">”</w:t>
      </w:r>
      <w:r>
        <w:t xml:space="preserve"> </w:t>
      </w:r>
      <w:r>
        <w:t xml:space="preserve">or</w:t>
      </w:r>
      <w:r>
        <w:t xml:space="preserve"> </w:t>
      </w:r>
      <w:r>
        <w:t xml:space="preserve">“</w:t>
      </w:r>
      <w:r>
        <w:t xml:space="preserve">35000 - 32000</w:t>
      </w:r>
      <w:r>
        <w:t xml:space="preserve">”</w:t>
      </w:r>
      <w:r>
        <w:t xml:space="preserve"> </w:t>
      </w:r>
      <w:r>
        <w:t xml:space="preserve">that lack the ± error notation required by the parser. We cannot be confident of the correct approach to calibrate these ages, so we exclude them.</w:t>
      </w:r>
    </w:p>
    <w:tbl>
      <w:tblPr>
        <w:tblStyle w:val="Table"/>
        <w:tblW w:type="pct" w:w="5000"/>
        <w:tblLook w:firstRow="0" w:lastRow="0" w:firstColumn="0" w:lastColumn="0" w:noHBand="0" w:noVBand="0" w:val="0000"/>
        <w:jc w:val="start"/>
        <w:tblLayout w:type="fixed"/>
      </w:tblPr>
      <w:tblGrid>
        <w:gridCol w:w="7920"/>
      </w:tblGrid>
      <w:tr>
        <w:tc>
          <w:tcPr/>
          <w:bookmarkStart w:id="42" w:name="tbl-date-excluded"/>
          <w:tbl>
            <w:tblPr>
              <w:tblStyle w:val="Table"/>
              <w:tblW w:type="pct" w:w="5000"/>
              <w:tblLook w:firstRow="1" w:lastRow="0" w:firstColumn="0" w:lastColumn="0" w:noHBand="0" w:noVBand="0" w:val="0020"/>
              <w:jc w:val="start"/>
              <w:tblLayout w:type="fixed"/>
            </w:tblPr>
            <w:tblGrid>
              <w:gridCol w:w="1742"/>
              <w:gridCol w:w="871"/>
              <w:gridCol w:w="871"/>
              <w:gridCol w:w="1029"/>
              <w:gridCol w:w="3405"/>
            </w:tblGrid>
            <w:tr>
              <w:trPr>
                <w:tblHeader w:val="true"/>
              </w:trPr>
              <w:tc>
                <w:tcPr/>
                <w:p>
                  <w:pPr>
                    <w:pStyle w:val="Compact"/>
                    <w:jc w:val="left"/>
                    <w:jc w:val="left"/>
                  </w:pPr>
                  <w:r>
                    <w:t xml:space="preserve">Site</w:t>
                  </w:r>
                </w:p>
              </w:tc>
              <w:tc>
                <w:tcPr/>
                <w:p>
                  <w:pPr>
                    <w:pStyle w:val="Compact"/>
                    <w:jc w:val="left"/>
                    <w:jc w:val="left"/>
                  </w:pPr>
                  <w:r>
                    <w:t xml:space="preserve">Category</w:t>
                  </w:r>
                </w:p>
              </w:tc>
              <w:tc>
                <w:tcPr/>
                <w:p>
                  <w:pPr>
                    <w:pStyle w:val="Compact"/>
                    <w:jc w:val="left"/>
                    <w:jc w:val="left"/>
                  </w:pPr>
                  <w:r>
                    <w:t xml:space="preserve">Objects</w:t>
                  </w:r>
                </w:p>
              </w:tc>
              <w:tc>
                <w:tcPr/>
                <w:p>
                  <w:pPr>
                    <w:pStyle w:val="Compact"/>
                    <w:jc w:val="left"/>
                    <w:jc w:val="left"/>
                  </w:pPr>
                  <w:r>
                    <w:t xml:space="preserve">Signed objects</w:t>
                  </w:r>
                </w:p>
              </w:tc>
              <w:tc>
                <w:tcPr/>
                <w:p>
                  <w:pPr>
                    <w:pStyle w:val="Compact"/>
                    <w:jc w:val="left"/>
                    <w:jc w:val="left"/>
                  </w:pPr>
                  <w:r>
                    <w:t xml:space="preserve">Exclusion reason</w:t>
                  </w:r>
                </w:p>
              </w:tc>
            </w:tr>
            <w:tr>
              <w:tc>
                <w:tcPr/>
                <w:p>
                  <w:pPr>
                    <w:pStyle w:val="Compact"/>
                    <w:jc w:val="left"/>
                    <w:jc w:val="left"/>
                  </w:pPr>
                  <w:r>
                    <w:t xml:space="preserve">Abri Lartet/Gorge d’Enfer</w:t>
                  </w:r>
                </w:p>
              </w:tc>
              <w:tc>
                <w:tcPr/>
                <w:p>
                  <w:pPr>
                    <w:pStyle w:val="Compact"/>
                    <w:jc w:val="left"/>
                    <w:jc w:val="left"/>
                  </w:pPr>
                  <w:r>
                    <w:t xml:space="preserve">B</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No date_bp_max_min</w:t>
                  </w:r>
                </w:p>
              </w:tc>
            </w:tr>
            <w:tr>
              <w:tc>
                <w:tcPr/>
                <w:p>
                  <w:pPr>
                    <w:pStyle w:val="Compact"/>
                    <w:jc w:val="left"/>
                    <w:jc w:val="left"/>
                  </w:pPr>
                  <w:r>
                    <w:t xml:space="preserve">Abri de Laussel</w:t>
                  </w:r>
                </w:p>
              </w:tc>
              <w:tc>
                <w:tcPr/>
                <w:p>
                  <w:pPr>
                    <w:pStyle w:val="Compact"/>
                    <w:jc w:val="left"/>
                    <w:jc w:val="left"/>
                  </w:pPr>
                  <w:r>
                    <w:t xml:space="preserve">B</w:t>
                  </w:r>
                </w:p>
              </w:tc>
              <w:tc>
                <w:tcPr/>
                <w:p>
                  <w:pPr>
                    <w:pStyle w:val="Compact"/>
                    <w:jc w:val="left"/>
                    <w:jc w:val="left"/>
                  </w:pPr>
                  <w:r>
                    <w:t xml:space="preserve">6</w:t>
                  </w:r>
                </w:p>
              </w:tc>
              <w:tc>
                <w:tcPr/>
                <w:p>
                  <w:pPr>
                    <w:pStyle w:val="Compact"/>
                    <w:jc w:val="left"/>
                    <w:jc w:val="left"/>
                  </w:pPr>
                  <w:r>
                    <w:t xml:space="preserve">4</w:t>
                  </w:r>
                </w:p>
              </w:tc>
              <w:tc>
                <w:tcPr/>
                <w:p>
                  <w:pPr>
                    <w:pStyle w:val="Compact"/>
                    <w:jc w:val="left"/>
                    <w:jc w:val="left"/>
                  </w:pPr>
                  <w:r>
                    <w:t xml:space="preserve">No date_bp_max_min</w:t>
                  </w:r>
                </w:p>
              </w:tc>
            </w:tr>
            <w:tr>
              <w:tc>
                <w:tcPr/>
                <w:p>
                  <w:pPr>
                    <w:pStyle w:val="Compact"/>
                    <w:jc w:val="left"/>
                    <w:jc w:val="left"/>
                  </w:pPr>
                  <w:r>
                    <w:t xml:space="preserve">Abri du Poisson</w:t>
                  </w:r>
                </w:p>
              </w:tc>
              <w:tc>
                <w:tcPr/>
                <w:p>
                  <w:pPr>
                    <w:pStyle w:val="Compact"/>
                    <w:jc w:val="left"/>
                    <w:jc w:val="left"/>
                  </w:pPr>
                  <w:r>
                    <w:t xml:space="preserve">B</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No date_bp_max_min</w:t>
                  </w:r>
                </w:p>
              </w:tc>
            </w:tr>
            <w:tr>
              <w:tc>
                <w:tcPr/>
                <w:p>
                  <w:pPr>
                    <w:pStyle w:val="Compact"/>
                    <w:jc w:val="left"/>
                    <w:jc w:val="left"/>
                  </w:pPr>
                  <w:r>
                    <w:t xml:space="preserve">Aurignac</w:t>
                  </w:r>
                </w:p>
              </w:tc>
              <w:tc>
                <w:tcPr/>
                <w:p>
                  <w:pPr>
                    <w:pStyle w:val="Compact"/>
                    <w:jc w:val="left"/>
                    <w:jc w:val="left"/>
                  </w:pPr>
                  <w:r>
                    <w:t xml:space="preserve">B</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No date_bp_max_min</w:t>
                  </w:r>
                </w:p>
              </w:tc>
            </w:tr>
            <w:tr>
              <w:tc>
                <w:tcPr/>
                <w:p>
                  <w:pPr>
                    <w:pStyle w:val="Compact"/>
                    <w:jc w:val="left"/>
                    <w:jc w:val="left"/>
                  </w:pPr>
                  <w:r>
                    <w:t xml:space="preserve">El Rascaño</w:t>
                  </w:r>
                </w:p>
              </w:tc>
              <w:tc>
                <w:tcPr/>
                <w:p>
                  <w:pPr>
                    <w:pStyle w:val="Compact"/>
                    <w:jc w:val="left"/>
                    <w:jc w:val="left"/>
                  </w:pPr>
                  <w:r>
                    <w:t xml:space="preserve">B</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No date_bp_max_min</w:t>
                  </w:r>
                </w:p>
              </w:tc>
            </w:tr>
            <w:tr>
              <w:tc>
                <w:tcPr/>
                <w:p>
                  <w:pPr>
                    <w:pStyle w:val="Compact"/>
                    <w:jc w:val="left"/>
                    <w:jc w:val="left"/>
                  </w:pPr>
                  <w:r>
                    <w:t xml:space="preserve">Göpfelsteinhöhle</w:t>
                  </w:r>
                </w:p>
              </w:tc>
              <w:tc>
                <w:tcPr/>
                <w:p>
                  <w:pPr>
                    <w:pStyle w:val="Compact"/>
                    <w:jc w:val="left"/>
                    <w:jc w:val="left"/>
                  </w:pPr>
                  <w:r>
                    <w:t xml:space="preserve">B</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No date_bp_max_min</w:t>
                  </w:r>
                </w:p>
              </w:tc>
            </w:tr>
            <w:tr>
              <w:tc>
                <w:tcPr/>
                <w:p>
                  <w:pPr>
                    <w:pStyle w:val="Compact"/>
                    <w:jc w:val="left"/>
                    <w:jc w:val="left"/>
                  </w:pPr>
                  <w:r>
                    <w:t xml:space="preserve">Kvasice</w:t>
                  </w:r>
                </w:p>
              </w:tc>
              <w:tc>
                <w:tcPr/>
                <w:p>
                  <w:pPr>
                    <w:pStyle w:val="Compact"/>
                    <w:jc w:val="left"/>
                    <w:jc w:val="left"/>
                  </w:pPr>
                  <w:r>
                    <w:t xml:space="preserve">B</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No date_bp_max_min</w:t>
                  </w:r>
                </w:p>
              </w:tc>
            </w:tr>
            <w:tr>
              <w:tc>
                <w:tcPr/>
                <w:p>
                  <w:pPr>
                    <w:pStyle w:val="Compact"/>
                    <w:jc w:val="left"/>
                    <w:jc w:val="left"/>
                  </w:pPr>
                  <w:r>
                    <w:t xml:space="preserve">La Souquette</w:t>
                  </w:r>
                </w:p>
              </w:tc>
              <w:tc>
                <w:tcPr/>
                <w:p>
                  <w:pPr>
                    <w:pStyle w:val="Compact"/>
                    <w:jc w:val="left"/>
                    <w:jc w:val="left"/>
                  </w:pPr>
                  <w:r>
                    <w:t xml:space="preserve">B</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No date_bp_max_min</w:t>
                  </w:r>
                </w:p>
              </w:tc>
            </w:tr>
            <w:tr>
              <w:tc>
                <w:tcPr/>
                <w:p>
                  <w:pPr>
                    <w:pStyle w:val="Compact"/>
                    <w:jc w:val="left"/>
                    <w:jc w:val="left"/>
                  </w:pPr>
                  <w:r>
                    <w:t xml:space="preserve">Le Terme Pialat</w:t>
                  </w:r>
                </w:p>
              </w:tc>
              <w:tc>
                <w:tcPr/>
                <w:p>
                  <w:pPr>
                    <w:pStyle w:val="Compact"/>
                    <w:jc w:val="left"/>
                    <w:jc w:val="left"/>
                  </w:pPr>
                  <w:r>
                    <w:t xml:space="preserve">B</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No date_bp_max_min</w:t>
                  </w:r>
                </w:p>
              </w:tc>
            </w:tr>
            <w:tr>
              <w:tc>
                <w:tcPr/>
                <w:p>
                  <w:pPr>
                    <w:pStyle w:val="Compact"/>
                    <w:jc w:val="left"/>
                    <w:jc w:val="left"/>
                  </w:pPr>
                  <w:r>
                    <w:t xml:space="preserve">Lhotka</w:t>
                  </w:r>
                </w:p>
              </w:tc>
              <w:tc>
                <w:tcPr/>
                <w:p>
                  <w:pPr>
                    <w:pStyle w:val="Compact"/>
                    <w:jc w:val="left"/>
                    <w:jc w:val="left"/>
                  </w:pPr>
                  <w:r>
                    <w:t xml:space="preserve">B</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No date_bp_max_min</w:t>
                  </w:r>
                </w:p>
              </w:tc>
            </w:tr>
            <w:tr>
              <w:tc>
                <w:tcPr/>
                <w:p>
                  <w:pPr>
                    <w:pStyle w:val="Compact"/>
                    <w:jc w:val="left"/>
                    <w:jc w:val="left"/>
                  </w:pPr>
                  <w:r>
                    <w:t xml:space="preserve">Menton/Grottes du Grimaldi</w:t>
                  </w:r>
                </w:p>
              </w:tc>
              <w:tc>
                <w:tcPr/>
                <w:p>
                  <w:pPr>
                    <w:pStyle w:val="Compact"/>
                    <w:jc w:val="left"/>
                    <w:jc w:val="left"/>
                  </w:pPr>
                  <w:r>
                    <w:t xml:space="preserve">B</w:t>
                  </w:r>
                </w:p>
              </w:tc>
              <w:tc>
                <w:tcPr/>
                <w:p>
                  <w:pPr>
                    <w:pStyle w:val="Compact"/>
                    <w:jc w:val="left"/>
                    <w:jc w:val="left"/>
                  </w:pPr>
                  <w:r>
                    <w:t xml:space="preserve">3</w:t>
                  </w:r>
                </w:p>
              </w:tc>
              <w:tc>
                <w:tcPr/>
                <w:p>
                  <w:pPr>
                    <w:pStyle w:val="Compact"/>
                    <w:jc w:val="left"/>
                    <w:jc w:val="left"/>
                  </w:pPr>
                  <w:r>
                    <w:t xml:space="preserve">2</w:t>
                  </w:r>
                </w:p>
              </w:tc>
              <w:tc>
                <w:tcPr/>
                <w:p>
                  <w:pPr>
                    <w:pStyle w:val="Compact"/>
                    <w:jc w:val="left"/>
                    <w:jc w:val="left"/>
                  </w:pPr>
                  <w:r>
                    <w:t xml:space="preserve">No date_bp_max_min</w:t>
                  </w:r>
                </w:p>
              </w:tc>
            </w:tr>
            <w:tr>
              <w:tc>
                <w:tcPr/>
                <w:p>
                  <w:pPr>
                    <w:pStyle w:val="Compact"/>
                    <w:jc w:val="left"/>
                    <w:jc w:val="left"/>
                  </w:pPr>
                  <w:r>
                    <w:t xml:space="preserve">Nová Dědina</w:t>
                  </w:r>
                </w:p>
              </w:tc>
              <w:tc>
                <w:tcPr/>
                <w:p>
                  <w:pPr>
                    <w:pStyle w:val="Compact"/>
                    <w:jc w:val="left"/>
                    <w:jc w:val="left"/>
                  </w:pPr>
                  <w:r>
                    <w:t xml:space="preserve">B</w:t>
                  </w:r>
                </w:p>
              </w:tc>
              <w:tc>
                <w:tcPr/>
                <w:p>
                  <w:pPr>
                    <w:pStyle w:val="Compact"/>
                    <w:jc w:val="left"/>
                    <w:jc w:val="left"/>
                  </w:pPr>
                  <w:r>
                    <w:t xml:space="preserve">4</w:t>
                  </w:r>
                </w:p>
              </w:tc>
              <w:tc>
                <w:tcPr/>
                <w:p>
                  <w:pPr>
                    <w:pStyle w:val="Compact"/>
                    <w:jc w:val="left"/>
                    <w:jc w:val="left"/>
                  </w:pPr>
                  <w:r>
                    <w:t xml:space="preserve">3</w:t>
                  </w:r>
                </w:p>
              </w:tc>
              <w:tc>
                <w:tcPr/>
                <w:p>
                  <w:pPr>
                    <w:pStyle w:val="Compact"/>
                    <w:jc w:val="left"/>
                    <w:jc w:val="left"/>
                  </w:pPr>
                  <w:r>
                    <w:t xml:space="preserve">No date_bp_max_min</w:t>
                  </w:r>
                </w:p>
              </w:tc>
            </w:tr>
            <w:tr>
              <w:tc>
                <w:tcPr/>
                <w:p>
                  <w:pPr>
                    <w:pStyle w:val="Compact"/>
                    <w:jc w:val="left"/>
                    <w:jc w:val="left"/>
                  </w:pPr>
                  <w:r>
                    <w:t xml:space="preserve">Otaslavice</w:t>
                  </w:r>
                </w:p>
              </w:tc>
              <w:tc>
                <w:tcPr/>
                <w:p>
                  <w:pPr>
                    <w:pStyle w:val="Compact"/>
                    <w:jc w:val="left"/>
                    <w:jc w:val="left"/>
                  </w:pPr>
                  <w:r>
                    <w:t xml:space="preserve">B</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No date_bp_max_min</w:t>
                  </w:r>
                </w:p>
              </w:tc>
            </w:tr>
            <w:tr>
              <w:tc>
                <w:tcPr/>
                <w:p>
                  <w:pPr>
                    <w:pStyle w:val="Compact"/>
                    <w:jc w:val="left"/>
                    <w:jc w:val="left"/>
                  </w:pPr>
                  <w:r>
                    <w:t xml:space="preserve">Slatinice</w:t>
                  </w:r>
                </w:p>
              </w:tc>
              <w:tc>
                <w:tcPr/>
                <w:p>
                  <w:pPr>
                    <w:pStyle w:val="Compact"/>
                    <w:jc w:val="left"/>
                    <w:jc w:val="left"/>
                  </w:pPr>
                  <w:r>
                    <w:t xml:space="preserve">B</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No date_bp_max_min</w:t>
                  </w:r>
                </w:p>
              </w:tc>
            </w:tr>
            <w:tr>
              <w:tc>
                <w:tcPr/>
                <w:p>
                  <w:pPr>
                    <w:pStyle w:val="Compact"/>
                    <w:jc w:val="left"/>
                    <w:jc w:val="left"/>
                  </w:pPr>
                  <w:r>
                    <w:t xml:space="preserve">d’Engihoul</w:t>
                  </w:r>
                </w:p>
              </w:tc>
              <w:tc>
                <w:tcPr/>
                <w:p>
                  <w:pPr>
                    <w:pStyle w:val="Compact"/>
                    <w:jc w:val="left"/>
                    <w:jc w:val="left"/>
                  </w:pPr>
                  <w:r>
                    <w:t xml:space="preserve">B</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No date_bp_max_min</w:t>
                  </w:r>
                </w:p>
              </w:tc>
            </w:tr>
            <w:tr>
              <w:tc>
                <w:tcPr/>
                <w:p>
                  <w:pPr>
                    <w:pStyle w:val="Compact"/>
                    <w:jc w:val="left"/>
                    <w:jc w:val="left"/>
                  </w:pPr>
                  <w:r>
                    <w:t xml:space="preserve">Žlutava</w:t>
                  </w:r>
                </w:p>
              </w:tc>
              <w:tc>
                <w:tcPr/>
                <w:p>
                  <w:pPr>
                    <w:pStyle w:val="Compact"/>
                    <w:jc w:val="left"/>
                    <w:jc w:val="left"/>
                  </w:pPr>
                  <w:r>
                    <w:t xml:space="preserve">B</w:t>
                  </w:r>
                </w:p>
              </w:tc>
              <w:tc>
                <w:tcPr/>
                <w:p>
                  <w:pPr>
                    <w:pStyle w:val="Compact"/>
                    <w:jc w:val="left"/>
                    <w:jc w:val="left"/>
                  </w:pPr>
                  <w:r>
                    <w:t xml:space="preserve">3</w:t>
                  </w:r>
                </w:p>
              </w:tc>
              <w:tc>
                <w:tcPr/>
                <w:p>
                  <w:pPr>
                    <w:pStyle w:val="Compact"/>
                    <w:jc w:val="left"/>
                    <w:jc w:val="left"/>
                  </w:pPr>
                  <w:r>
                    <w:t xml:space="preserve">3</w:t>
                  </w:r>
                </w:p>
              </w:tc>
              <w:tc>
                <w:tcPr/>
                <w:p>
                  <w:pPr>
                    <w:pStyle w:val="Compact"/>
                    <w:jc w:val="left"/>
                    <w:jc w:val="left"/>
                  </w:pPr>
                  <w:r>
                    <w:t xml:space="preserve">No date_bp_max_min</w:t>
                  </w:r>
                </w:p>
              </w:tc>
            </w:tr>
            <w:tr>
              <w:tc>
                <w:tcPr/>
                <w:p>
                  <w:pPr>
                    <w:pStyle w:val="Compact"/>
                    <w:jc w:val="left"/>
                    <w:jc w:val="left"/>
                  </w:pPr>
                  <w:r>
                    <w:t xml:space="preserve">Brassempouy</w:t>
                  </w:r>
                </w:p>
              </w:tc>
              <w:tc>
                <w:tcPr/>
                <w:p>
                  <w:pPr>
                    <w:pStyle w:val="Compact"/>
                    <w:jc w:val="left"/>
                    <w:jc w:val="left"/>
                  </w:pPr>
                  <w:r>
                    <w:t xml:space="preserve">C</w:t>
                  </w:r>
                </w:p>
              </w:tc>
              <w:tc>
                <w:tcPr/>
                <w:p>
                  <w:pPr>
                    <w:pStyle w:val="Compact"/>
                    <w:jc w:val="left"/>
                    <w:jc w:val="left"/>
                  </w:pPr>
                  <w:r>
                    <w:t xml:space="preserve">3</w:t>
                  </w:r>
                </w:p>
              </w:tc>
              <w:tc>
                <w:tcPr/>
                <w:p>
                  <w:pPr>
                    <w:pStyle w:val="Compact"/>
                    <w:jc w:val="left"/>
                    <w:jc w:val="left"/>
                  </w:pPr>
                  <w:r>
                    <w:t xml:space="preserve">3</w:t>
                  </w:r>
                </w:p>
              </w:tc>
              <w:tc>
                <w:tcPr/>
                <w:p>
                  <w:pPr>
                    <w:pStyle w:val="Compact"/>
                    <w:jc w:val="left"/>
                    <w:jc w:val="left"/>
                  </w:pPr>
                  <w:r>
                    <w:t xml:space="preserve">Date string</w:t>
                  </w:r>
                  <w:r>
                    <w:t xml:space="preserve"> </w:t>
                  </w:r>
                  <w:r>
                    <w:t xml:space="preserve">‘</w:t>
                  </w:r>
                  <w:r>
                    <w:t xml:space="preserve">34000 - 30000</w:t>
                  </w:r>
                  <w:r>
                    <w:t xml:space="preserve">’</w:t>
                  </w:r>
                  <w:r>
                    <w:t xml:space="preserve"> </w:t>
                  </w:r>
                  <w:r>
                    <w:t xml:space="preserve">(C14) has no ± error</w:t>
                  </w:r>
                </w:p>
              </w:tc>
            </w:tr>
            <w:tr>
              <w:tc>
                <w:tcPr/>
                <w:p>
                  <w:pPr>
                    <w:pStyle w:val="Compact"/>
                    <w:jc w:val="left"/>
                    <w:jc w:val="left"/>
                  </w:pPr>
                  <w:r>
                    <w:t xml:space="preserve">Breitenbach</w:t>
                  </w:r>
                </w:p>
              </w:tc>
              <w:tc>
                <w:tcPr/>
                <w:p>
                  <w:pPr>
                    <w:pStyle w:val="Compact"/>
                    <w:jc w:val="left"/>
                    <w:jc w:val="left"/>
                  </w:pPr>
                  <w:r>
                    <w:t xml:space="preserve">C</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Date string</w:t>
                  </w:r>
                  <w:r>
                    <w:t xml:space="preserve"> </w:t>
                  </w:r>
                  <w:r>
                    <w:t xml:space="preserve">‘</w:t>
                  </w:r>
                  <w:r>
                    <w:t xml:space="preserve">30000 - 27000; 26000 - 28 000 BP</w:t>
                  </w:r>
                  <w:r>
                    <w:t xml:space="preserve">’</w:t>
                  </w:r>
                  <w:r>
                    <w:t xml:space="preserve"> </w:t>
                  </w:r>
                  <w:r>
                    <w:t xml:space="preserve">(C14) has no ± error</w:t>
                  </w:r>
                </w:p>
              </w:tc>
            </w:tr>
            <w:tr>
              <w:tc>
                <w:tcPr/>
                <w:p>
                  <w:pPr>
                    <w:pStyle w:val="Compact"/>
                    <w:jc w:val="left"/>
                    <w:jc w:val="left"/>
                  </w:pPr>
                  <w:r>
                    <w:t xml:space="preserve">Grotte de Goyet</w:t>
                  </w:r>
                </w:p>
              </w:tc>
              <w:tc>
                <w:tcPr/>
                <w:p>
                  <w:pPr>
                    <w:pStyle w:val="Compact"/>
                    <w:jc w:val="left"/>
                    <w:jc w:val="left"/>
                  </w:pPr>
                  <w:r>
                    <w:t xml:space="preserve">C</w:t>
                  </w:r>
                </w:p>
              </w:tc>
              <w:tc>
                <w:tcPr/>
                <w:p>
                  <w:pPr>
                    <w:pStyle w:val="Compact"/>
                    <w:jc w:val="left"/>
                    <w:jc w:val="left"/>
                  </w:pPr>
                  <w:r>
                    <w:t xml:space="preserve">13</w:t>
                  </w:r>
                </w:p>
              </w:tc>
              <w:tc>
                <w:tcPr/>
                <w:p>
                  <w:pPr>
                    <w:pStyle w:val="Compact"/>
                    <w:jc w:val="left"/>
                    <w:jc w:val="left"/>
                  </w:pPr>
                  <w:r>
                    <w:t xml:space="preserve">12</w:t>
                  </w:r>
                </w:p>
              </w:tc>
              <w:tc>
                <w:tcPr/>
                <w:p>
                  <w:pPr>
                    <w:pStyle w:val="Compact"/>
                    <w:jc w:val="left"/>
                    <w:jc w:val="left"/>
                  </w:pPr>
                  <w:r>
                    <w:t xml:space="preserve">Date string</w:t>
                  </w:r>
                  <w:r>
                    <w:t xml:space="preserve"> </w:t>
                  </w:r>
                  <w:r>
                    <w:t xml:space="preserve">‘</w:t>
                  </w:r>
                  <w:r>
                    <w:t xml:space="preserve">35160 - 33140</w:t>
                  </w:r>
                  <w:r>
                    <w:t xml:space="preserve">’</w:t>
                  </w:r>
                  <w:r>
                    <w:t xml:space="preserve"> </w:t>
                  </w:r>
                  <w:r>
                    <w:t xml:space="preserve">(C14) has no ± error</w:t>
                  </w:r>
                </w:p>
              </w:tc>
            </w:tr>
            <w:tr>
              <w:tc>
                <w:tcPr/>
                <w:p>
                  <w:pPr>
                    <w:pStyle w:val="Compact"/>
                    <w:jc w:val="left"/>
                    <w:jc w:val="left"/>
                  </w:pPr>
                  <w:r>
                    <w:t xml:space="preserve">Hornos de la Pena</w:t>
                  </w:r>
                </w:p>
              </w:tc>
              <w:tc>
                <w:tcPr/>
                <w:p>
                  <w:pPr>
                    <w:pStyle w:val="Compact"/>
                    <w:jc w:val="left"/>
                    <w:jc w:val="left"/>
                  </w:pPr>
                  <w:r>
                    <w:t xml:space="preserve">C</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Date string</w:t>
                  </w:r>
                  <w:r>
                    <w:t xml:space="preserve"> </w:t>
                  </w:r>
                  <w:r>
                    <w:t xml:space="preserve">‘</w:t>
                  </w:r>
                  <w:r>
                    <w:t xml:space="preserve">34000 - 30000</w:t>
                  </w:r>
                  <w:r>
                    <w:t xml:space="preserve">’</w:t>
                  </w:r>
                  <w:r>
                    <w:t xml:space="preserve"> </w:t>
                  </w:r>
                  <w:r>
                    <w:t xml:space="preserve">(C14) has no ± error</w:t>
                  </w:r>
                </w:p>
              </w:tc>
            </w:tr>
            <w:tr>
              <w:tc>
                <w:tcPr/>
                <w:p>
                  <w:pPr>
                    <w:pStyle w:val="Compact"/>
                    <w:jc w:val="left"/>
                    <w:jc w:val="left"/>
                  </w:pPr>
                  <w:r>
                    <w:t xml:space="preserve">Istállóskő Cave</w:t>
                  </w:r>
                </w:p>
              </w:tc>
              <w:tc>
                <w:tcPr/>
                <w:p>
                  <w:pPr>
                    <w:pStyle w:val="Compact"/>
                    <w:jc w:val="left"/>
                    <w:jc w:val="left"/>
                  </w:pPr>
                  <w:r>
                    <w:t xml:space="preserve">C</w:t>
                  </w:r>
                </w:p>
              </w:tc>
              <w:tc>
                <w:tcPr/>
                <w:p>
                  <w:pPr>
                    <w:pStyle w:val="Compact"/>
                    <w:jc w:val="left"/>
                    <w:jc w:val="left"/>
                  </w:pPr>
                  <w:r>
                    <w:t xml:space="preserve">3</w:t>
                  </w:r>
                </w:p>
              </w:tc>
              <w:tc>
                <w:tcPr/>
                <w:p>
                  <w:pPr>
                    <w:pStyle w:val="Compact"/>
                    <w:jc w:val="left"/>
                    <w:jc w:val="left"/>
                  </w:pPr>
                  <w:r>
                    <w:t xml:space="preserve">3</w:t>
                  </w:r>
                </w:p>
              </w:tc>
              <w:tc>
                <w:tcPr/>
                <w:p>
                  <w:pPr>
                    <w:pStyle w:val="Compact"/>
                    <w:jc w:val="left"/>
                    <w:jc w:val="left"/>
                  </w:pPr>
                  <w:r>
                    <w:t xml:space="preserve">Date string</w:t>
                  </w:r>
                  <w:r>
                    <w:t xml:space="preserve"> </w:t>
                  </w:r>
                  <w:r>
                    <w:t xml:space="preserve">‘</w:t>
                  </w:r>
                  <w:r>
                    <w:t xml:space="preserve">35000 - 32000</w:t>
                  </w:r>
                  <w:r>
                    <w:t xml:space="preserve">’</w:t>
                  </w:r>
                  <w:r>
                    <w:t xml:space="preserve"> </w:t>
                  </w:r>
                  <w:r>
                    <w:t xml:space="preserve">(AMS) has no ± error</w:t>
                  </w:r>
                </w:p>
              </w:tc>
            </w:tr>
            <w:tr>
              <w:tc>
                <w:tcPr/>
                <w:p>
                  <w:pPr>
                    <w:pStyle w:val="Compact"/>
                    <w:jc w:val="left"/>
                    <w:jc w:val="left"/>
                  </w:pPr>
                  <w:r>
                    <w:t xml:space="preserve">Le Trou Du Renard</w:t>
                  </w:r>
                </w:p>
              </w:tc>
              <w:tc>
                <w:tcPr/>
                <w:p>
                  <w:pPr>
                    <w:pStyle w:val="Compact"/>
                    <w:jc w:val="left"/>
                    <w:jc w:val="left"/>
                  </w:pPr>
                  <w:r>
                    <w:t xml:space="preserve">C</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Date string</w:t>
                  </w:r>
                  <w:r>
                    <w:t xml:space="preserve"> </w:t>
                  </w:r>
                  <w:r>
                    <w:t xml:space="preserve">‘</w:t>
                  </w:r>
                  <w:r>
                    <w:t xml:space="preserve">33000 - 32000</w:t>
                  </w:r>
                  <w:r>
                    <w:t xml:space="preserve">’</w:t>
                  </w:r>
                  <w:r>
                    <w:t xml:space="preserve"> </w:t>
                  </w:r>
                  <w:r>
                    <w:t xml:space="preserve">(C14) has no ± error</w:t>
                  </w:r>
                </w:p>
              </w:tc>
            </w:tr>
            <w:tr>
              <w:tc>
                <w:tcPr/>
                <w:p>
                  <w:pPr>
                    <w:pStyle w:val="Compact"/>
                    <w:jc w:val="left"/>
                    <w:jc w:val="left"/>
                  </w:pPr>
                  <w:r>
                    <w:t xml:space="preserve">Maisières-Canal</w:t>
                  </w:r>
                </w:p>
              </w:tc>
              <w:tc>
                <w:tcPr/>
                <w:p>
                  <w:pPr>
                    <w:pStyle w:val="Compact"/>
                    <w:jc w:val="left"/>
                    <w:jc w:val="left"/>
                  </w:pPr>
                  <w:r>
                    <w:t xml:space="preserve">C</w:t>
                  </w:r>
                </w:p>
              </w:tc>
              <w:tc>
                <w:tcPr/>
                <w:p>
                  <w:pPr>
                    <w:pStyle w:val="Compact"/>
                    <w:jc w:val="left"/>
                    <w:jc w:val="left"/>
                  </w:pPr>
                  <w:r>
                    <w:t xml:space="preserve">7</w:t>
                  </w:r>
                </w:p>
              </w:tc>
              <w:tc>
                <w:tcPr/>
                <w:p>
                  <w:pPr>
                    <w:pStyle w:val="Compact"/>
                    <w:jc w:val="left"/>
                    <w:jc w:val="left"/>
                  </w:pPr>
                  <w:r>
                    <w:t xml:space="preserve">5</w:t>
                  </w:r>
                </w:p>
              </w:tc>
              <w:tc>
                <w:tcPr/>
                <w:p>
                  <w:pPr>
                    <w:pStyle w:val="Compact"/>
                    <w:jc w:val="left"/>
                    <w:jc w:val="left"/>
                  </w:pPr>
                  <w:r>
                    <w:t xml:space="preserve">Date string</w:t>
                  </w:r>
                  <w:r>
                    <w:t xml:space="preserve"> </w:t>
                  </w:r>
                  <w:r>
                    <w:t xml:space="preserve">‘</w:t>
                  </w:r>
                  <w:r>
                    <w:t xml:space="preserve">33000 - 32000</w:t>
                  </w:r>
                  <w:r>
                    <w:t xml:space="preserve">’</w:t>
                  </w:r>
                  <w:r>
                    <w:t xml:space="preserve"> </w:t>
                  </w:r>
                  <w:r>
                    <w:t xml:space="preserve">(C14) has no ± error</w:t>
                  </w:r>
                </w:p>
              </w:tc>
            </w:tr>
            <w:tr>
              <w:tc>
                <w:tcPr/>
                <w:p>
                  <w:pPr>
                    <w:pStyle w:val="Compact"/>
                    <w:jc w:val="left"/>
                    <w:jc w:val="left"/>
                  </w:pPr>
                  <w:r>
                    <w:t xml:space="preserve">Peskő Cave</w:t>
                  </w:r>
                </w:p>
              </w:tc>
              <w:tc>
                <w:tcPr/>
                <w:p>
                  <w:pPr>
                    <w:pStyle w:val="Compact"/>
                    <w:jc w:val="left"/>
                    <w:jc w:val="left"/>
                  </w:pPr>
                  <w:r>
                    <w:t xml:space="preserve">C</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Date string</w:t>
                  </w:r>
                  <w:r>
                    <w:t xml:space="preserve"> </w:t>
                  </w:r>
                  <w:r>
                    <w:t xml:space="preserve">‘</w:t>
                  </w:r>
                  <w:r>
                    <w:t xml:space="preserve">38300 - 33500</w:t>
                  </w:r>
                  <w:r>
                    <w:t xml:space="preserve">’</w:t>
                  </w:r>
                  <w:r>
                    <w:t xml:space="preserve"> </w:t>
                  </w:r>
                  <w:r>
                    <w:t xml:space="preserve">(AMS) has no ± error</w:t>
                  </w:r>
                </w:p>
              </w:tc>
            </w:tr>
            <w:tr>
              <w:tc>
                <w:tcPr/>
                <w:p>
                  <w:pPr>
                    <w:pStyle w:val="Compact"/>
                    <w:jc w:val="left"/>
                    <w:jc w:val="left"/>
                  </w:pPr>
                  <w:r>
                    <w:t xml:space="preserve">Shelter Birów IV</w:t>
                  </w:r>
                </w:p>
              </w:tc>
              <w:tc>
                <w:tcPr/>
                <w:p>
                  <w:pPr>
                    <w:pStyle w:val="Compact"/>
                    <w:jc w:val="left"/>
                    <w:jc w:val="left"/>
                  </w:pPr>
                  <w:r>
                    <w:t xml:space="preserve">C</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Date string</w:t>
                  </w:r>
                  <w:r>
                    <w:t xml:space="preserve"> </w:t>
                  </w:r>
                  <w:r>
                    <w:t xml:space="preserve">‘</w:t>
                  </w:r>
                  <w:r>
                    <w:t xml:space="preserve">34000 - 30000</w:t>
                  </w:r>
                  <w:r>
                    <w:t xml:space="preserve">’</w:t>
                  </w:r>
                  <w:r>
                    <w:t xml:space="preserve"> </w:t>
                  </w:r>
                  <w:r>
                    <w:t xml:space="preserve">(C14) has no ± error</w:t>
                  </w:r>
                </w:p>
              </w:tc>
            </w:tr>
            <w:tr>
              <w:tc>
                <w:tcPr/>
                <w:p>
                  <w:pPr>
                    <w:pStyle w:val="Compact"/>
                    <w:jc w:val="left"/>
                    <w:jc w:val="left"/>
                  </w:pPr>
                  <w:r>
                    <w:t xml:space="preserve">Tuto de Camalhot</w:t>
                  </w:r>
                </w:p>
              </w:tc>
              <w:tc>
                <w:tcPr/>
                <w:p>
                  <w:pPr>
                    <w:pStyle w:val="Compact"/>
                    <w:jc w:val="left"/>
                    <w:jc w:val="left"/>
                  </w:pPr>
                  <w:r>
                    <w:t xml:space="preserve">C</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Date string</w:t>
                  </w:r>
                  <w:r>
                    <w:t xml:space="preserve"> </w:t>
                  </w:r>
                  <w:r>
                    <w:t xml:space="preserve">‘</w:t>
                  </w:r>
                  <w:r>
                    <w:t xml:space="preserve">34750</w:t>
                  </w:r>
                  <w:r>
                    <w:t xml:space="preserve">’</w:t>
                  </w:r>
                  <w:r>
                    <w:t xml:space="preserve"> </w:t>
                  </w:r>
                  <w:r>
                    <w:t xml:space="preserve">(C14) has no ± error</w:t>
                  </w:r>
                </w:p>
              </w:tc>
            </w:tr>
            <w:tr>
              <w:tc>
                <w:tcPr/>
                <w:p>
                  <w:pPr>
                    <w:pStyle w:val="Compact"/>
                    <w:jc w:val="left"/>
                    <w:jc w:val="left"/>
                  </w:pPr>
                  <w:r>
                    <w:t xml:space="preserve">Wildscheuer</w:t>
                  </w:r>
                </w:p>
              </w:tc>
              <w:tc>
                <w:tcPr/>
                <w:p>
                  <w:pPr>
                    <w:pStyle w:val="Compact"/>
                    <w:jc w:val="left"/>
                    <w:jc w:val="left"/>
                  </w:pPr>
                  <w:r>
                    <w:t xml:space="preserve">C</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Date string</w:t>
                  </w:r>
                  <w:r>
                    <w:t xml:space="preserve"> </w:t>
                  </w:r>
                  <w:r>
                    <w:t xml:space="preserve">‘</w:t>
                  </w:r>
                  <w:r>
                    <w:t xml:space="preserve">34300 - 30000</w:t>
                  </w:r>
                  <w:r>
                    <w:t xml:space="preserve">’</w:t>
                  </w:r>
                  <w:r>
                    <w:t xml:space="preserve"> </w:t>
                  </w:r>
                  <w:r>
                    <w:t xml:space="preserve">(C14) has no ± error</w:t>
                  </w:r>
                </w:p>
              </w:tc>
            </w:tr>
          </w:tbl>
          <w:p>
            <w:pPr>
              <w:jc w:val="left"/>
            </w:pPr>
            <w:pPr>
              <w:jc w:val="start"/>
              <w:spacing w:before="200"/>
              <w:pStyle w:val="ImageCaption"/>
            </w:pPr>
            <w:r>
              <w:t xml:space="preserve">Table S 6: Sites excluded during the date-parsing/calibration step. Category B = no date string; Category C = date string without an error term.</w:t>
            </w:r>
          </w:p>
          <w:bookmarkEnd w:id="42"/>
        </w:tc>
      </w:tr>
    </w:tbl>
    <w:p>
      <w:pPr>
        <w:pStyle w:val="SourceCode"/>
      </w:pPr>
      <w:r>
        <w:rPr>
          <w:rStyle w:val="VerbatimChar"/>
        </w:rPr>
        <w:t xml:space="preserve">**Summary:** 27 sites with 65 total objects (58 signed) failed date parsing. </w:t>
      </w:r>
    </w:p>
    <w:bookmarkEnd w:id="43"/>
    <w:bookmarkStart w:id="45" w:name="aur-p1-protoearly-date-based-assignment"/>
    <w:p>
      <w:pPr>
        <w:pStyle w:val="Heading3"/>
      </w:pPr>
      <w:r>
        <w:t xml:space="preserve">Aur-P1 (Proto/Early) — date-based assignment</w:t>
      </w:r>
    </w:p>
    <w:p>
      <w:pPr>
        <w:pStyle w:val="FirstParagraph"/>
      </w:pPr>
      <w:r>
        <w:t xml:space="preserve">Sites assigned by the calibrated date thresholds in the</w:t>
      </w:r>
      <w:r>
        <w:t xml:space="preserve"> </w:t>
      </w:r>
      <w:r>
        <w:rPr>
          <w:rStyle w:val="VerbatimChar"/>
        </w:rPr>
        <w:t xml:space="preserve">assign-phases</w:t>
      </w:r>
      <w:r>
        <w:t xml:space="preserve"> </w:t>
      </w:r>
      <w:r>
        <w:t xml:space="preserve">chunk (default case), which fall in Aur-P1 once the Proto/Early distinction is collapsed. Sites listed here are unchanged from a date-only assignment (see</w:t>
      </w:r>
      <w:r>
        <w:t xml:space="preserve"> </w:t>
      </w:r>
      <w:hyperlink w:anchor="tbl-date-aurp1">
        <w:r>
          <w:rPr>
            <w:rStyle w:val="Hyperlink"/>
          </w:rPr>
          <w:t xml:space="preserve">Table S 7</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44" w:name="tbl-date-aurp1"/>
          <w:tbl>
            <w:tblPr>
              <w:tblStyle w:val="Table"/>
              <w:tblW w:type="pct" w:w="5000"/>
              <w:tblLook w:firstRow="1" w:lastRow="0" w:firstColumn="0" w:lastColumn="0" w:noHBand="0" w:noVBand="0" w:val="0020"/>
              <w:jc w:val="start"/>
              <w:tblLayout w:type="fixed"/>
            </w:tblPr>
            <w:tblGrid>
              <w:gridCol w:w="2059"/>
              <w:gridCol w:w="950"/>
              <w:gridCol w:w="4910"/>
            </w:tblGrid>
            <w:tr>
              <w:trPr>
                <w:tblHeader w:val="true"/>
              </w:trPr>
              <w:tc>
                <w:tcPr/>
                <w:p>
                  <w:pPr>
                    <w:pStyle w:val="Compact"/>
                    <w:jc w:val="left"/>
                    <w:jc w:val="left"/>
                  </w:pPr>
                  <w:r>
                    <w:t xml:space="preserve">Site</w:t>
                  </w:r>
                </w:p>
              </w:tc>
              <w:tc>
                <w:tcPr/>
                <w:p>
                  <w:pPr>
                    <w:pStyle w:val="Compact"/>
                    <w:jc w:val="left"/>
                    <w:jc w:val="left"/>
                  </w:pPr>
                  <w:r>
                    <w:t xml:space="preserve">Objects</w:t>
                  </w:r>
                </w:p>
              </w:tc>
              <w:tc>
                <w:tcPr/>
                <w:p>
                  <w:pPr>
                    <w:pStyle w:val="Compact"/>
                    <w:jc w:val="left"/>
                    <w:jc w:val="left"/>
                  </w:pPr>
                  <w:r>
                    <w:t xml:space="preserve">Basis</w:t>
                  </w:r>
                </w:p>
              </w:tc>
            </w:tr>
            <w:tr>
              <w:tc>
                <w:tcPr/>
                <w:p>
                  <w:pPr>
                    <w:pStyle w:val="Compact"/>
                    <w:jc w:val="left"/>
                    <w:jc w:val="left"/>
                  </w:pPr>
                  <w:r>
                    <w:t xml:space="preserve">Cellier</w:t>
                  </w:r>
                </w:p>
              </w:tc>
              <w:tc>
                <w:tcPr/>
                <w:p>
                  <w:pPr>
                    <w:pStyle w:val="Compact"/>
                    <w:jc w:val="left"/>
                    <w:jc w:val="left"/>
                  </w:pPr>
                  <w:r>
                    <w:t xml:space="preserve">28</w:t>
                  </w:r>
                </w:p>
              </w:tc>
              <w:tc>
                <w:tcPr/>
                <w:p>
                  <w:pPr>
                    <w:pStyle w:val="Compact"/>
                    <w:jc w:val="left"/>
                    <w:jc w:val="left"/>
                  </w:pPr>
                  <w:r>
                    <w:t xml:space="preserve">MedianBP 37,799–39,799</w:t>
                  </w:r>
                </w:p>
              </w:tc>
            </w:tr>
            <w:tr>
              <w:tc>
                <w:tcPr/>
                <w:p>
                  <w:pPr>
                    <w:pStyle w:val="Compact"/>
                    <w:jc w:val="left"/>
                    <w:jc w:val="left"/>
                  </w:pPr>
                  <w:r>
                    <w:t xml:space="preserve">Castanet</w:t>
                  </w:r>
                </w:p>
              </w:tc>
              <w:tc>
                <w:tcPr/>
                <w:p>
                  <w:pPr>
                    <w:pStyle w:val="Compact"/>
                    <w:jc w:val="left"/>
                    <w:jc w:val="left"/>
                  </w:pPr>
                  <w:r>
                    <w:t xml:space="preserve">21</w:t>
                  </w:r>
                </w:p>
              </w:tc>
              <w:tc>
                <w:tcPr/>
                <w:p>
                  <w:pPr>
                    <w:pStyle w:val="Compact"/>
                    <w:jc w:val="left"/>
                    <w:jc w:val="left"/>
                  </w:pPr>
                  <w:r>
                    <w:t xml:space="preserve">MedianBP 37,799–39,799</w:t>
                  </w:r>
                </w:p>
              </w:tc>
            </w:tr>
            <w:tr>
              <w:tc>
                <w:tcPr/>
                <w:p>
                  <w:pPr>
                    <w:pStyle w:val="Compact"/>
                    <w:jc w:val="left"/>
                    <w:jc w:val="left"/>
                  </w:pPr>
                  <w:r>
                    <w:t xml:space="preserve">Blanchard</w:t>
                  </w:r>
                </w:p>
              </w:tc>
              <w:tc>
                <w:tcPr/>
                <w:p>
                  <w:pPr>
                    <w:pStyle w:val="Compact"/>
                    <w:jc w:val="left"/>
                    <w:jc w:val="left"/>
                  </w:pPr>
                  <w:r>
                    <w:t xml:space="preserve">18</w:t>
                  </w:r>
                </w:p>
              </w:tc>
              <w:tc>
                <w:tcPr/>
                <w:p>
                  <w:pPr>
                    <w:pStyle w:val="Compact"/>
                    <w:jc w:val="left"/>
                    <w:jc w:val="left"/>
                  </w:pPr>
                  <w:r>
                    <w:t xml:space="preserve">MedianBP 37,799–39,799</w:t>
                  </w:r>
                </w:p>
              </w:tc>
            </w:tr>
            <w:tr>
              <w:tc>
                <w:tcPr/>
                <w:p>
                  <w:pPr>
                    <w:pStyle w:val="Compact"/>
                    <w:jc w:val="left"/>
                    <w:jc w:val="left"/>
                  </w:pPr>
                  <w:r>
                    <w:t xml:space="preserve">Grotte du Renne</w:t>
                  </w:r>
                </w:p>
              </w:tc>
              <w:tc>
                <w:tcPr/>
                <w:p>
                  <w:pPr>
                    <w:pStyle w:val="Compact"/>
                    <w:jc w:val="left"/>
                    <w:jc w:val="left"/>
                  </w:pPr>
                  <w:r>
                    <w:t xml:space="preserve">7</w:t>
                  </w:r>
                </w:p>
              </w:tc>
              <w:tc>
                <w:tcPr/>
                <w:p>
                  <w:pPr>
                    <w:pStyle w:val="Compact"/>
                    <w:jc w:val="left"/>
                    <w:jc w:val="left"/>
                  </w:pPr>
                  <w:r>
                    <w:t xml:space="preserve">MedianBP &gt; 39,799</w:t>
                  </w:r>
                </w:p>
              </w:tc>
            </w:tr>
            <w:tr>
              <w:tc>
                <w:tcPr/>
                <w:p>
                  <w:pPr>
                    <w:pStyle w:val="Compact"/>
                    <w:jc w:val="left"/>
                    <w:jc w:val="left"/>
                  </w:pPr>
                  <w:r>
                    <w:t xml:space="preserve">Grotte de la Verpillière I</w:t>
                  </w:r>
                </w:p>
              </w:tc>
              <w:tc>
                <w:tcPr/>
                <w:p>
                  <w:pPr>
                    <w:pStyle w:val="Compact"/>
                    <w:jc w:val="left"/>
                    <w:jc w:val="left"/>
                  </w:pPr>
                  <w:r>
                    <w:t xml:space="preserve">4</w:t>
                  </w:r>
                </w:p>
              </w:tc>
              <w:tc>
                <w:tcPr/>
                <w:p>
                  <w:pPr>
                    <w:pStyle w:val="Compact"/>
                    <w:jc w:val="left"/>
                    <w:jc w:val="left"/>
                  </w:pPr>
                  <w:r>
                    <w:t xml:space="preserve">MedianBP 37,799–39,799</w:t>
                  </w:r>
                </w:p>
              </w:tc>
            </w:tr>
            <w:tr>
              <w:tc>
                <w:tcPr/>
                <w:p>
                  <w:pPr>
                    <w:pStyle w:val="Compact"/>
                    <w:jc w:val="left"/>
                    <w:jc w:val="left"/>
                  </w:pPr>
                  <w:r>
                    <w:t xml:space="preserve">Solutré</w:t>
                  </w:r>
                </w:p>
              </w:tc>
              <w:tc>
                <w:tcPr/>
                <w:p>
                  <w:pPr>
                    <w:pStyle w:val="Compact"/>
                    <w:jc w:val="left"/>
                    <w:jc w:val="left"/>
                  </w:pPr>
                  <w:r>
                    <w:t xml:space="preserve">4</w:t>
                  </w:r>
                </w:p>
              </w:tc>
              <w:tc>
                <w:tcPr/>
                <w:p>
                  <w:pPr>
                    <w:pStyle w:val="Compact"/>
                    <w:jc w:val="left"/>
                    <w:jc w:val="left"/>
                  </w:pPr>
                  <w:r>
                    <w:t xml:space="preserve">MedianBP 37,799–39,799</w:t>
                  </w:r>
                </w:p>
              </w:tc>
            </w:tr>
            <w:tr>
              <w:tc>
                <w:tcPr/>
                <w:p>
                  <w:pPr>
                    <w:pStyle w:val="Compact"/>
                    <w:jc w:val="left"/>
                    <w:jc w:val="left"/>
                  </w:pPr>
                  <w:r>
                    <w:t xml:space="preserve">Riparo Bombrini</w:t>
                  </w:r>
                </w:p>
              </w:tc>
              <w:tc>
                <w:tcPr/>
                <w:p>
                  <w:pPr>
                    <w:pStyle w:val="Compact"/>
                    <w:jc w:val="left"/>
                    <w:jc w:val="left"/>
                  </w:pPr>
                  <w:r>
                    <w:t xml:space="preserve">3</w:t>
                  </w:r>
                </w:p>
              </w:tc>
              <w:tc>
                <w:tcPr/>
                <w:p>
                  <w:pPr>
                    <w:pStyle w:val="Compact"/>
                    <w:jc w:val="left"/>
                    <w:jc w:val="left"/>
                  </w:pPr>
                  <w:r>
                    <w:t xml:space="preserve">MedianBP 37,799–39,799</w:t>
                  </w:r>
                </w:p>
              </w:tc>
            </w:tr>
            <w:tr>
              <w:tc>
                <w:tcPr/>
                <w:p>
                  <w:pPr>
                    <w:pStyle w:val="Compact"/>
                    <w:jc w:val="left"/>
                    <w:jc w:val="left"/>
                  </w:pPr>
                  <w:r>
                    <w:t xml:space="preserve">Hohlenstein-Stadel</w:t>
                  </w:r>
                </w:p>
              </w:tc>
              <w:tc>
                <w:tcPr/>
                <w:p>
                  <w:pPr>
                    <w:pStyle w:val="Compact"/>
                    <w:jc w:val="left"/>
                    <w:jc w:val="left"/>
                  </w:pPr>
                  <w:r>
                    <w:t xml:space="preserve">2</w:t>
                  </w:r>
                </w:p>
              </w:tc>
              <w:tc>
                <w:tcPr/>
                <w:p>
                  <w:pPr>
                    <w:pStyle w:val="Compact"/>
                    <w:jc w:val="left"/>
                    <w:jc w:val="left"/>
                  </w:pPr>
                  <w:r>
                    <w:t xml:space="preserve">MedianBP &gt; 39,799</w:t>
                  </w:r>
                </w:p>
              </w:tc>
            </w:tr>
            <w:tr>
              <w:tc>
                <w:tcPr/>
                <w:p>
                  <w:pPr>
                    <w:pStyle w:val="Compact"/>
                    <w:jc w:val="left"/>
                    <w:jc w:val="left"/>
                  </w:pPr>
                  <w:r>
                    <w:t xml:space="preserve">Labeko Koba</w:t>
                  </w:r>
                </w:p>
              </w:tc>
              <w:tc>
                <w:tcPr/>
                <w:p>
                  <w:pPr>
                    <w:pStyle w:val="Compact"/>
                    <w:jc w:val="left"/>
                    <w:jc w:val="left"/>
                  </w:pPr>
                  <w:r>
                    <w:t xml:space="preserve">2</w:t>
                  </w:r>
                </w:p>
              </w:tc>
              <w:tc>
                <w:tcPr/>
                <w:p>
                  <w:pPr>
                    <w:pStyle w:val="Compact"/>
                    <w:jc w:val="left"/>
                    <w:jc w:val="left"/>
                  </w:pPr>
                  <w:r>
                    <w:t xml:space="preserve">MedianBP &gt; 39,799</w:t>
                  </w:r>
                </w:p>
              </w:tc>
            </w:tr>
            <w:tr>
              <w:tc>
                <w:tcPr/>
                <w:p>
                  <w:pPr>
                    <w:pStyle w:val="Compact"/>
                    <w:jc w:val="left"/>
                    <w:jc w:val="left"/>
                  </w:pPr>
                  <w:r>
                    <w:t xml:space="preserve">Les Cottés</w:t>
                  </w:r>
                </w:p>
              </w:tc>
              <w:tc>
                <w:tcPr/>
                <w:p>
                  <w:pPr>
                    <w:pStyle w:val="Compact"/>
                    <w:jc w:val="left"/>
                    <w:jc w:val="left"/>
                  </w:pPr>
                  <w:r>
                    <w:t xml:space="preserve">2</w:t>
                  </w:r>
                </w:p>
              </w:tc>
              <w:tc>
                <w:tcPr/>
                <w:p>
                  <w:pPr>
                    <w:pStyle w:val="Compact"/>
                    <w:jc w:val="left"/>
                    <w:jc w:val="left"/>
                  </w:pPr>
                  <w:r>
                    <w:t xml:space="preserve">MedianBP &gt; 39,799</w:t>
                  </w:r>
                </w:p>
              </w:tc>
            </w:tr>
            <w:tr>
              <w:tc>
                <w:tcPr/>
                <w:p>
                  <w:pPr>
                    <w:pStyle w:val="Compact"/>
                    <w:jc w:val="left"/>
                    <w:jc w:val="left"/>
                  </w:pPr>
                  <w:r>
                    <w:t xml:space="preserve">Fumane</w:t>
                  </w:r>
                </w:p>
              </w:tc>
              <w:tc>
                <w:tcPr/>
                <w:p>
                  <w:pPr>
                    <w:pStyle w:val="Compact"/>
                    <w:jc w:val="left"/>
                    <w:jc w:val="left"/>
                  </w:pPr>
                  <w:r>
                    <w:t xml:space="preserve">1</w:t>
                  </w:r>
                </w:p>
              </w:tc>
              <w:tc>
                <w:tcPr/>
                <w:p>
                  <w:pPr>
                    <w:pStyle w:val="Compact"/>
                    <w:jc w:val="left"/>
                    <w:jc w:val="left"/>
                  </w:pPr>
                  <w:r>
                    <w:t xml:space="preserve">MedianBP &gt; 39,799 (Protoaurignacian throughout sequence</w:t>
                  </w:r>
                  <w:r>
                    <w:t xml:space="preserve"> </w:t>
                  </w:r>
                  <w:r>
                    <w:t xml:space="preserve">[12,13]</w:t>
                  </w:r>
                  <w:r>
                    <w:t xml:space="preserve">)</w:t>
                  </w:r>
                </w:p>
              </w:tc>
            </w:tr>
            <w:tr>
              <w:tc>
                <w:tcPr/>
                <w:p>
                  <w:pPr>
                    <w:pStyle w:val="Compact"/>
                    <w:jc w:val="left"/>
                    <w:jc w:val="left"/>
                  </w:pPr>
                  <w:r>
                    <w:t xml:space="preserve">Grottes de Fonds-de-Forêt</w:t>
                  </w:r>
                </w:p>
              </w:tc>
              <w:tc>
                <w:tcPr/>
                <w:p>
                  <w:pPr>
                    <w:pStyle w:val="Compact"/>
                    <w:jc w:val="left"/>
                    <w:jc w:val="left"/>
                  </w:pPr>
                  <w:r>
                    <w:t xml:space="preserve">1</w:t>
                  </w:r>
                </w:p>
              </w:tc>
              <w:tc>
                <w:tcPr/>
                <w:p>
                  <w:pPr>
                    <w:pStyle w:val="Compact"/>
                    <w:jc w:val="left"/>
                    <w:jc w:val="left"/>
                  </w:pPr>
                  <w:r>
                    <w:t xml:space="preserve">MedianBP 37,799–39,799</w:t>
                  </w:r>
                </w:p>
              </w:tc>
            </w:tr>
            <w:tr>
              <w:tc>
                <w:tcPr/>
                <w:p>
                  <w:pPr>
                    <w:pStyle w:val="Compact"/>
                    <w:jc w:val="left"/>
                    <w:jc w:val="left"/>
                  </w:pPr>
                  <w:r>
                    <w:t xml:space="preserve">Pod Hradem</w:t>
                  </w:r>
                </w:p>
              </w:tc>
              <w:tc>
                <w:tcPr/>
                <w:p>
                  <w:pPr>
                    <w:pStyle w:val="Compact"/>
                    <w:jc w:val="left"/>
                    <w:jc w:val="left"/>
                  </w:pPr>
                  <w:r>
                    <w:t xml:space="preserve">1</w:t>
                  </w:r>
                </w:p>
              </w:tc>
              <w:tc>
                <w:tcPr/>
                <w:p>
                  <w:pPr>
                    <w:pStyle w:val="Compact"/>
                    <w:jc w:val="left"/>
                    <w:jc w:val="left"/>
                  </w:pPr>
                  <w:r>
                    <w:t xml:space="preserve">MedianBP &gt; 39,799</w:t>
                  </w:r>
                </w:p>
              </w:tc>
            </w:tr>
            <w:tr>
              <w:tc>
                <w:tcPr/>
                <w:p>
                  <w:pPr>
                    <w:pStyle w:val="Compact"/>
                    <w:jc w:val="left"/>
                    <w:jc w:val="left"/>
                  </w:pPr>
                  <w:r>
                    <w:t xml:space="preserve">Trou al’Wesse</w:t>
                  </w:r>
                </w:p>
              </w:tc>
              <w:tc>
                <w:tcPr/>
                <w:p>
                  <w:pPr>
                    <w:pStyle w:val="Compact"/>
                    <w:jc w:val="left"/>
                    <w:jc w:val="left"/>
                  </w:pPr>
                  <w:r>
                    <w:t xml:space="preserve">1</w:t>
                  </w:r>
                </w:p>
              </w:tc>
              <w:tc>
                <w:tcPr/>
                <w:p>
                  <w:pPr>
                    <w:pStyle w:val="Compact"/>
                    <w:jc w:val="left"/>
                    <w:jc w:val="left"/>
                  </w:pPr>
                  <w:r>
                    <w:t xml:space="preserve">MedianBP 37,799–39,799</w:t>
                  </w:r>
                </w:p>
              </w:tc>
            </w:tr>
          </w:tbl>
          <w:p>
            <w:pPr>
              <w:jc w:val="left"/>
            </w:pPr>
            <w:pPr>
              <w:jc w:val="start"/>
              <w:spacing w:before="200"/>
              <w:pStyle w:val="ImageCaption"/>
            </w:pPr>
            <w:r>
              <w:t xml:space="preserve">Table S 7: Aur-P1 sites assigned by their calibrated radiocarbon date.</w:t>
            </w:r>
          </w:p>
          <w:bookmarkEnd w:id="44"/>
        </w:tc>
      </w:tr>
    </w:tbl>
    <w:bookmarkEnd w:id="45"/>
    <w:bookmarkStart w:id="47" w:name="aur-p2-evolvedlate-date-based-assignment"/>
    <w:p>
      <w:pPr>
        <w:pStyle w:val="Heading3"/>
      </w:pPr>
      <w:r>
        <w:t xml:space="preserve">Aur-P2 (Evolved/Late) — date-based assignment</w:t>
      </w:r>
    </w:p>
    <w:p>
      <w:pPr>
        <w:pStyle w:val="FirstParagraph"/>
      </w:pPr>
      <w:r>
        <w:t xml:space="preserve">Sites assigned by the calibrated date thresholds in the</w:t>
      </w:r>
      <w:r>
        <w:t xml:space="preserve"> </w:t>
      </w:r>
      <w:r>
        <w:rPr>
          <w:rStyle w:val="VerbatimChar"/>
        </w:rPr>
        <w:t xml:space="preserve">assign-phases</w:t>
      </w:r>
      <w:r>
        <w:t xml:space="preserve"> </w:t>
      </w:r>
      <w:r>
        <w:t xml:space="preserve">chunk that fall in Aur-P2 (see</w:t>
      </w:r>
      <w:r>
        <w:t xml:space="preserve"> </w:t>
      </w:r>
      <w:hyperlink w:anchor="tbl-date-aurp2">
        <w:r>
          <w:rPr>
            <w:rStyle w:val="Hyperlink"/>
          </w:rPr>
          <w:t xml:space="preserve">Table S 8</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46" w:name="tbl-date-aurp2"/>
          <w:tbl>
            <w:tblPr>
              <w:tblStyle w:val="Table"/>
              <w:tblW w:type="pct" w:w="5000"/>
              <w:tblLook w:firstRow="1" w:lastRow="0" w:firstColumn="0" w:lastColumn="0" w:noHBand="0" w:noVBand="0" w:val="0020"/>
              <w:jc w:val="start"/>
              <w:tblLayout w:type="fixed"/>
            </w:tblPr>
            <w:tblGrid>
              <w:gridCol w:w="2059"/>
              <w:gridCol w:w="950"/>
              <w:gridCol w:w="4910"/>
            </w:tblGrid>
            <w:tr>
              <w:trPr>
                <w:tblHeader w:val="true"/>
              </w:trPr>
              <w:tc>
                <w:tcPr/>
                <w:p>
                  <w:pPr>
                    <w:pStyle w:val="Compact"/>
                    <w:jc w:val="left"/>
                    <w:jc w:val="left"/>
                  </w:pPr>
                  <w:r>
                    <w:t xml:space="preserve">Site</w:t>
                  </w:r>
                </w:p>
              </w:tc>
              <w:tc>
                <w:tcPr/>
                <w:p>
                  <w:pPr>
                    <w:pStyle w:val="Compact"/>
                    <w:jc w:val="left"/>
                    <w:jc w:val="left"/>
                  </w:pPr>
                  <w:r>
                    <w:t xml:space="preserve">Objects</w:t>
                  </w:r>
                </w:p>
              </w:tc>
              <w:tc>
                <w:tcPr/>
                <w:p>
                  <w:pPr>
                    <w:pStyle w:val="Compact"/>
                    <w:jc w:val="left"/>
                    <w:jc w:val="left"/>
                  </w:pPr>
                  <w:r>
                    <w:t xml:space="preserve">Basis</w:t>
                  </w:r>
                </w:p>
              </w:tc>
            </w:tr>
            <w:tr>
              <w:tc>
                <w:tcPr/>
                <w:p>
                  <w:pPr>
                    <w:pStyle w:val="Compact"/>
                    <w:jc w:val="left"/>
                    <w:jc w:val="left"/>
                  </w:pPr>
                  <w:r>
                    <w:t xml:space="preserve">Trou Magrite</w:t>
                  </w:r>
                </w:p>
              </w:tc>
              <w:tc>
                <w:tcPr/>
                <w:p>
                  <w:pPr>
                    <w:pStyle w:val="Compact"/>
                    <w:jc w:val="left"/>
                    <w:jc w:val="left"/>
                  </w:pPr>
                  <w:r>
                    <w:t xml:space="preserve">12</w:t>
                  </w:r>
                </w:p>
              </w:tc>
              <w:tc>
                <w:tcPr/>
                <w:p>
                  <w:pPr>
                    <w:pStyle w:val="Compact"/>
                    <w:jc w:val="left"/>
                    <w:jc w:val="left"/>
                  </w:pPr>
                  <w:r>
                    <w:t xml:space="preserve">MedianBP 31,999–37,799</w:t>
                  </w:r>
                </w:p>
              </w:tc>
            </w:tr>
            <w:tr>
              <w:tc>
                <w:tcPr/>
                <w:p>
                  <w:pPr>
                    <w:pStyle w:val="Compact"/>
                    <w:jc w:val="left"/>
                    <w:jc w:val="left"/>
                  </w:pPr>
                  <w:r>
                    <w:t xml:space="preserve">Gargas</w:t>
                  </w:r>
                </w:p>
              </w:tc>
              <w:tc>
                <w:tcPr/>
                <w:p>
                  <w:pPr>
                    <w:pStyle w:val="Compact"/>
                    <w:jc w:val="left"/>
                    <w:jc w:val="left"/>
                  </w:pPr>
                  <w:r>
                    <w:t xml:space="preserve">11</w:t>
                  </w:r>
                </w:p>
              </w:tc>
              <w:tc>
                <w:tcPr/>
                <w:p>
                  <w:pPr>
                    <w:pStyle w:val="Compact"/>
                    <w:jc w:val="left"/>
                    <w:jc w:val="left"/>
                  </w:pPr>
                  <w:r>
                    <w:t xml:space="preserve">MedianBP 31,999–37,799</w:t>
                  </w:r>
                </w:p>
              </w:tc>
            </w:tr>
            <w:tr>
              <w:tc>
                <w:tcPr/>
                <w:p>
                  <w:pPr>
                    <w:pStyle w:val="Compact"/>
                    <w:jc w:val="left"/>
                    <w:jc w:val="left"/>
                  </w:pPr>
                  <w:r>
                    <w:t xml:space="preserve">Bockstein-Törle</w:t>
                  </w:r>
                </w:p>
              </w:tc>
              <w:tc>
                <w:tcPr/>
                <w:p>
                  <w:pPr>
                    <w:pStyle w:val="Compact"/>
                    <w:jc w:val="left"/>
                    <w:jc w:val="left"/>
                  </w:pPr>
                  <w:r>
                    <w:t xml:space="preserve">3</w:t>
                  </w:r>
                </w:p>
              </w:tc>
              <w:tc>
                <w:tcPr/>
                <w:p>
                  <w:pPr>
                    <w:pStyle w:val="Compact"/>
                    <w:jc w:val="left"/>
                    <w:jc w:val="left"/>
                  </w:pPr>
                  <w:r>
                    <w:t xml:space="preserve">MedianBP 31,999–37,799</w:t>
                  </w:r>
                </w:p>
              </w:tc>
            </w:tr>
            <w:tr>
              <w:tc>
                <w:tcPr/>
                <w:p>
                  <w:pPr>
                    <w:pStyle w:val="Compact"/>
                    <w:jc w:val="left"/>
                    <w:jc w:val="left"/>
                  </w:pPr>
                  <w:r>
                    <w:t xml:space="preserve">La Viña</w:t>
                  </w:r>
                </w:p>
              </w:tc>
              <w:tc>
                <w:tcPr/>
                <w:p>
                  <w:pPr>
                    <w:pStyle w:val="Compact"/>
                    <w:jc w:val="left"/>
                    <w:jc w:val="left"/>
                  </w:pPr>
                  <w:r>
                    <w:t xml:space="preserve">1</w:t>
                  </w:r>
                </w:p>
              </w:tc>
              <w:tc>
                <w:tcPr/>
                <w:p>
                  <w:pPr>
                    <w:pStyle w:val="Compact"/>
                    <w:jc w:val="left"/>
                    <w:jc w:val="left"/>
                  </w:pPr>
                  <w:r>
                    <w:t xml:space="preserve">MedianBP 31,999–37,799</w:t>
                  </w:r>
                </w:p>
              </w:tc>
            </w:tr>
            <w:tr>
              <w:tc>
                <w:tcPr/>
                <w:p>
                  <w:pPr>
                    <w:pStyle w:val="Compact"/>
                    <w:jc w:val="left"/>
                    <w:jc w:val="left"/>
                  </w:pPr>
                  <w:r>
                    <w:t xml:space="preserve">Les Rois</w:t>
                  </w:r>
                </w:p>
              </w:tc>
              <w:tc>
                <w:tcPr/>
                <w:p>
                  <w:pPr>
                    <w:pStyle w:val="Compact"/>
                    <w:jc w:val="left"/>
                    <w:jc w:val="left"/>
                  </w:pPr>
                  <w:r>
                    <w:t xml:space="preserve">1</w:t>
                  </w:r>
                </w:p>
              </w:tc>
              <w:tc>
                <w:tcPr/>
                <w:p>
                  <w:pPr>
                    <w:pStyle w:val="Compact"/>
                    <w:jc w:val="left"/>
                    <w:jc w:val="left"/>
                  </w:pPr>
                  <w:r>
                    <w:t xml:space="preserve">MedianBP 31,999–37,799</w:t>
                  </w:r>
                </w:p>
              </w:tc>
            </w:tr>
            <w:tr>
              <w:tc>
                <w:tcPr/>
                <w:p>
                  <w:pPr>
                    <w:pStyle w:val="Compact"/>
                    <w:jc w:val="left"/>
                    <w:jc w:val="left"/>
                  </w:pPr>
                  <w:r>
                    <w:t xml:space="preserve">Sirgenstein Cave</w:t>
                  </w:r>
                </w:p>
              </w:tc>
              <w:tc>
                <w:tcPr/>
                <w:p>
                  <w:pPr>
                    <w:pStyle w:val="Compact"/>
                    <w:jc w:val="left"/>
                    <w:jc w:val="left"/>
                  </w:pPr>
                  <w:r>
                    <w:t xml:space="preserve">1</w:t>
                  </w:r>
                </w:p>
              </w:tc>
              <w:tc>
                <w:tcPr/>
                <w:p>
                  <w:pPr>
                    <w:pStyle w:val="Compact"/>
                    <w:jc w:val="left"/>
                    <w:jc w:val="left"/>
                  </w:pPr>
                  <w:r>
                    <w:t xml:space="preserve">MedianBP 31,999–37,799</w:t>
                  </w:r>
                </w:p>
              </w:tc>
            </w:tr>
            <w:tr>
              <w:tc>
                <w:tcPr/>
                <w:p>
                  <w:pPr>
                    <w:pStyle w:val="Compact"/>
                    <w:jc w:val="left"/>
                    <w:jc w:val="left"/>
                  </w:pPr>
                  <w:r>
                    <w:t xml:space="preserve">Vindija Cave</w:t>
                  </w:r>
                </w:p>
              </w:tc>
              <w:tc>
                <w:tcPr/>
                <w:p>
                  <w:pPr>
                    <w:pStyle w:val="Compact"/>
                    <w:jc w:val="left"/>
                    <w:jc w:val="left"/>
                  </w:pPr>
                  <w:r>
                    <w:t xml:space="preserve">1</w:t>
                  </w:r>
                </w:p>
              </w:tc>
              <w:tc>
                <w:tcPr/>
                <w:p>
                  <w:pPr>
                    <w:pStyle w:val="Compact"/>
                    <w:jc w:val="left"/>
                    <w:jc w:val="left"/>
                  </w:pPr>
                  <w:r>
                    <w:t xml:space="preserve">MedianBP 31,999–37,799</w:t>
                  </w:r>
                </w:p>
              </w:tc>
            </w:tr>
          </w:tbl>
          <w:p>
            <w:pPr>
              <w:jc w:val="left"/>
            </w:pPr>
            <w:pPr>
              <w:jc w:val="start"/>
              <w:spacing w:before="200"/>
              <w:pStyle w:val="ImageCaption"/>
            </w:pPr>
            <w:r>
              <w:t xml:space="preserve">Table S 8: Aur-P2 sites assigned by their calibrated radiocarbon date.</w:t>
            </w:r>
          </w:p>
          <w:bookmarkEnd w:id="46"/>
        </w:tc>
      </w:tr>
    </w:tbl>
    <w:bookmarkEnd w:id="47"/>
    <w:bookmarkStart w:id="49" w:name="objects-without-geometric-signs"/>
    <w:p>
      <w:pPr>
        <w:pStyle w:val="Heading3"/>
      </w:pPr>
      <w:r>
        <w:t xml:space="preserve">Objects without geometric signs</w:t>
      </w:r>
    </w:p>
    <w:p>
      <w:pPr>
        <w:pStyle w:val="FirstParagraph"/>
      </w:pPr>
      <w:r>
        <w:t xml:space="preserve">These are</w:t>
      </w:r>
      <w:r>
        <w:t xml:space="preserve"> </w:t>
      </w:r>
      <w:r>
        <w:rPr>
          <w:bCs/>
          <w:b/>
        </w:rPr>
        <w:t xml:space="preserve">individual objects</w:t>
      </w:r>
      <w:r>
        <w:t xml:space="preserve">, not sites: 16 objects from 13 sites carry no geometric signs and are removed upstream by the</w:t>
      </w:r>
      <w:r>
        <w:t xml:space="preserve"> </w:t>
      </w:r>
      <w:r>
        <w:rPr>
          <w:rStyle w:val="VerbatimChar"/>
        </w:rPr>
        <w:t xml:space="preserve">sign_total &gt; 0</w:t>
      </w:r>
      <w:r>
        <w:t xml:space="preserve"> </w:t>
      </w:r>
      <w:r>
        <w:t xml:space="preserve">filter (see</w:t>
      </w:r>
      <w:r>
        <w:t xml:space="preserve"> </w:t>
      </w:r>
      <w:hyperlink w:anchor="tbl-zero-sign">
        <w:r>
          <w:rPr>
            <w:rStyle w:val="Hyperlink"/>
          </w:rPr>
          <w:t xml:space="preserve">Table S 9</w:t>
        </w:r>
      </w:hyperlink>
      <w:r>
        <w:t xml:space="preserve">). A site’s signed objects remain in the analysis only if the site also passes the date-parsing/calibration step (27 sites drop out there, see</w:t>
      </w:r>
      <w:r>
        <w:t xml:space="preserve"> </w:t>
      </w:r>
      <w:hyperlink w:anchor="tbl-date-excluded">
        <w:r>
          <w:rPr>
            <w:rStyle w:val="Hyperlink"/>
          </w:rPr>
          <w:t xml:space="preserve">Table S 6</w:t>
        </w:r>
      </w:hyperlink>
      <w:r>
        <w:t xml:space="preserve">) and phase assignment.</w:t>
      </w:r>
    </w:p>
    <w:tbl>
      <w:tblPr>
        <w:tblStyle w:val="Table"/>
        <w:tblW w:type="pct" w:w="5000"/>
        <w:tblLook w:firstRow="0" w:lastRow="0" w:firstColumn="0" w:lastColumn="0" w:noHBand="0" w:noVBand="0" w:val="0000"/>
        <w:jc w:val="start"/>
        <w:tblLayout w:type="fixed"/>
      </w:tblPr>
      <w:tblGrid>
        <w:gridCol w:w="7920"/>
      </w:tblGrid>
      <w:tr>
        <w:tc>
          <w:tcPr/>
          <w:bookmarkStart w:id="48" w:name="tbl-zero-sign"/>
          <w:tbl>
            <w:tblPr>
              <w:tblStyle w:val="Table"/>
              <w:tblW w:type="pct" w:w="5000"/>
              <w:tblLook w:firstRow="1" w:lastRow="0" w:firstColumn="0" w:lastColumn="0" w:noHBand="0" w:noVBand="0" w:val="0020"/>
              <w:jc w:val="start"/>
              <w:tblLayout w:type="fixed"/>
            </w:tblPr>
            <w:tblGrid>
              <w:gridCol w:w="2059"/>
              <w:gridCol w:w="1742"/>
              <w:gridCol w:w="1425"/>
              <w:gridCol w:w="2692"/>
            </w:tblGrid>
            <w:tr>
              <w:trPr>
                <w:tblHeader w:val="true"/>
              </w:trPr>
              <w:tc>
                <w:tcPr/>
                <w:p>
                  <w:pPr>
                    <w:pStyle w:val="Compact"/>
                    <w:jc w:val="left"/>
                    <w:jc w:val="left"/>
                  </w:pPr>
                  <w:r>
                    <w:t xml:space="preserve">Site</w:t>
                  </w:r>
                </w:p>
              </w:tc>
              <w:tc>
                <w:tcPr/>
                <w:p>
                  <w:pPr>
                    <w:pStyle w:val="Compact"/>
                    <w:jc w:val="left"/>
                    <w:jc w:val="left"/>
                  </w:pPr>
                  <w:r>
                    <w:t xml:space="preserve">Objects without signs</w:t>
                  </w:r>
                </w:p>
              </w:tc>
              <w:tc>
                <w:tcPr/>
                <w:p>
                  <w:pPr>
                    <w:pStyle w:val="Compact"/>
                    <w:jc w:val="left"/>
                    <w:jc w:val="left"/>
                  </w:pPr>
                  <w:r>
                    <w:t xml:space="preserve">Signed objects</w:t>
                  </w:r>
                </w:p>
              </w:tc>
              <w:tc>
                <w:tcPr/>
                <w:p>
                  <w:pPr>
                    <w:pStyle w:val="Compact"/>
                    <w:jc w:val="left"/>
                    <w:jc w:val="left"/>
                  </w:pPr>
                  <w:r>
                    <w:t xml:space="preserve">In analysis?</w:t>
                  </w:r>
                </w:p>
              </w:tc>
            </w:tr>
            <w:tr>
              <w:tc>
                <w:tcPr/>
                <w:p>
                  <w:pPr>
                    <w:pStyle w:val="Compact"/>
                    <w:jc w:val="left"/>
                    <w:jc w:val="left"/>
                  </w:pPr>
                  <w:r>
                    <w:t xml:space="preserve">Abri de Laussel</w:t>
                  </w:r>
                </w:p>
              </w:tc>
              <w:tc>
                <w:tcPr/>
                <w:p>
                  <w:pPr>
                    <w:pStyle w:val="Compact"/>
                    <w:jc w:val="left"/>
                    <w:jc w:val="left"/>
                  </w:pPr>
                  <w:r>
                    <w:t xml:space="preserve">2</w:t>
                  </w:r>
                </w:p>
              </w:tc>
              <w:tc>
                <w:tcPr/>
                <w:p>
                  <w:pPr>
                    <w:pStyle w:val="Compact"/>
                    <w:jc w:val="left"/>
                    <w:jc w:val="left"/>
                  </w:pPr>
                  <w:r>
                    <w:t xml:space="preserve">4</w:t>
                  </w:r>
                </w:p>
              </w:tc>
              <w:tc>
                <w:tcPr/>
                <w:p>
                  <w:pPr>
                    <w:pStyle w:val="Compact"/>
                    <w:jc w:val="left"/>
                    <w:jc w:val="left"/>
                  </w:pPr>
                  <w:r>
                    <w:t xml:space="preserve">No (date parsing)</w:t>
                  </w:r>
                </w:p>
              </w:tc>
            </w:tr>
            <w:tr>
              <w:tc>
                <w:tcPr/>
                <w:p>
                  <w:pPr>
                    <w:pStyle w:val="Compact"/>
                    <w:jc w:val="left"/>
                    <w:jc w:val="left"/>
                  </w:pPr>
                  <w:r>
                    <w:t xml:space="preserve">Maisières-Canal</w:t>
                  </w:r>
                </w:p>
              </w:tc>
              <w:tc>
                <w:tcPr/>
                <w:p>
                  <w:pPr>
                    <w:pStyle w:val="Compact"/>
                    <w:jc w:val="left"/>
                    <w:jc w:val="left"/>
                  </w:pPr>
                  <w:r>
                    <w:t xml:space="preserve">2</w:t>
                  </w:r>
                </w:p>
              </w:tc>
              <w:tc>
                <w:tcPr/>
                <w:p>
                  <w:pPr>
                    <w:pStyle w:val="Compact"/>
                    <w:jc w:val="left"/>
                    <w:jc w:val="left"/>
                  </w:pPr>
                  <w:r>
                    <w:t xml:space="preserve">5</w:t>
                  </w:r>
                </w:p>
              </w:tc>
              <w:tc>
                <w:tcPr/>
                <w:p>
                  <w:pPr>
                    <w:pStyle w:val="Compact"/>
                    <w:jc w:val="left"/>
                    <w:jc w:val="left"/>
                  </w:pPr>
                  <w:r>
                    <w:t xml:space="preserve">No (date parsing)</w:t>
                  </w:r>
                </w:p>
              </w:tc>
            </w:tr>
            <w:tr>
              <w:tc>
                <w:tcPr/>
                <w:p>
                  <w:pPr>
                    <w:pStyle w:val="Compact"/>
                    <w:jc w:val="left"/>
                    <w:jc w:val="left"/>
                  </w:pPr>
                  <w:r>
                    <w:t xml:space="preserve">Vogelherd</w:t>
                  </w:r>
                </w:p>
              </w:tc>
              <w:tc>
                <w:tcPr/>
                <w:p>
                  <w:pPr>
                    <w:pStyle w:val="Compact"/>
                    <w:jc w:val="left"/>
                    <w:jc w:val="left"/>
                  </w:pPr>
                  <w:r>
                    <w:t xml:space="preserve">2</w:t>
                  </w:r>
                </w:p>
              </w:tc>
              <w:tc>
                <w:tcPr/>
                <w:p>
                  <w:pPr>
                    <w:pStyle w:val="Compact"/>
                    <w:jc w:val="left"/>
                    <w:jc w:val="left"/>
                  </w:pPr>
                  <w:r>
                    <w:t xml:space="preserve">173</w:t>
                  </w:r>
                </w:p>
              </w:tc>
              <w:tc>
                <w:tcPr/>
                <w:p>
                  <w:pPr>
                    <w:pStyle w:val="Compact"/>
                    <w:jc w:val="left"/>
                    <w:jc w:val="left"/>
                  </w:pPr>
                  <w:r>
                    <w:t xml:space="preserve">Yes</w:t>
                  </w:r>
                </w:p>
              </w:tc>
            </w:tr>
            <w:tr>
              <w:tc>
                <w:tcPr/>
                <w:p>
                  <w:pPr>
                    <w:pStyle w:val="Compact"/>
                    <w:jc w:val="left"/>
                    <w:jc w:val="left"/>
                  </w:pPr>
                  <w:r>
                    <w:t xml:space="preserve">Blanchard</w:t>
                  </w:r>
                </w:p>
              </w:tc>
              <w:tc>
                <w:tcPr/>
                <w:p>
                  <w:pPr>
                    <w:pStyle w:val="Compact"/>
                    <w:jc w:val="left"/>
                    <w:jc w:val="left"/>
                  </w:pPr>
                  <w:r>
                    <w:t xml:space="preserve">1</w:t>
                  </w:r>
                </w:p>
              </w:tc>
              <w:tc>
                <w:tcPr/>
                <w:p>
                  <w:pPr>
                    <w:pStyle w:val="Compact"/>
                    <w:jc w:val="left"/>
                    <w:jc w:val="left"/>
                  </w:pPr>
                  <w:r>
                    <w:t xml:space="preserve">18</w:t>
                  </w:r>
                </w:p>
              </w:tc>
              <w:tc>
                <w:tcPr/>
                <w:p>
                  <w:pPr>
                    <w:pStyle w:val="Compact"/>
                    <w:jc w:val="left"/>
                    <w:jc w:val="left"/>
                  </w:pPr>
                  <w:r>
                    <w:t xml:space="preserve">Yes</w:t>
                  </w:r>
                </w:p>
              </w:tc>
            </w:tr>
            <w:tr>
              <w:tc>
                <w:tcPr/>
                <w:p>
                  <w:pPr>
                    <w:pStyle w:val="Compact"/>
                    <w:jc w:val="left"/>
                    <w:jc w:val="left"/>
                  </w:pPr>
                  <w:r>
                    <w:t xml:space="preserve">Castanet</w:t>
                  </w:r>
                </w:p>
              </w:tc>
              <w:tc>
                <w:tcPr/>
                <w:p>
                  <w:pPr>
                    <w:pStyle w:val="Compact"/>
                    <w:jc w:val="left"/>
                    <w:jc w:val="left"/>
                  </w:pPr>
                  <w:r>
                    <w:t xml:space="preserve">1</w:t>
                  </w:r>
                </w:p>
              </w:tc>
              <w:tc>
                <w:tcPr/>
                <w:p>
                  <w:pPr>
                    <w:pStyle w:val="Compact"/>
                    <w:jc w:val="left"/>
                    <w:jc w:val="left"/>
                  </w:pPr>
                  <w:r>
                    <w:t xml:space="preserve">21</w:t>
                  </w:r>
                </w:p>
              </w:tc>
              <w:tc>
                <w:tcPr/>
                <w:p>
                  <w:pPr>
                    <w:pStyle w:val="Compact"/>
                    <w:jc w:val="left"/>
                    <w:jc w:val="left"/>
                  </w:pPr>
                  <w:r>
                    <w:t xml:space="preserve">Yes</w:t>
                  </w:r>
                </w:p>
              </w:tc>
            </w:tr>
            <w:tr>
              <w:tc>
                <w:tcPr/>
                <w:p>
                  <w:pPr>
                    <w:pStyle w:val="Compact"/>
                    <w:jc w:val="left"/>
                    <w:jc w:val="left"/>
                  </w:pPr>
                  <w:r>
                    <w:t xml:space="preserve">Cellier</w:t>
                  </w:r>
                </w:p>
              </w:tc>
              <w:tc>
                <w:tcPr/>
                <w:p>
                  <w:pPr>
                    <w:pStyle w:val="Compact"/>
                    <w:jc w:val="left"/>
                    <w:jc w:val="left"/>
                  </w:pPr>
                  <w:r>
                    <w:t xml:space="preserve">1</w:t>
                  </w:r>
                </w:p>
              </w:tc>
              <w:tc>
                <w:tcPr/>
                <w:p>
                  <w:pPr>
                    <w:pStyle w:val="Compact"/>
                    <w:jc w:val="left"/>
                    <w:jc w:val="left"/>
                  </w:pPr>
                  <w:r>
                    <w:t xml:space="preserve">28</w:t>
                  </w:r>
                </w:p>
              </w:tc>
              <w:tc>
                <w:tcPr/>
                <w:p>
                  <w:pPr>
                    <w:pStyle w:val="Compact"/>
                    <w:jc w:val="left"/>
                    <w:jc w:val="left"/>
                  </w:pPr>
                  <w:r>
                    <w:t xml:space="preserve">Yes</w:t>
                  </w:r>
                </w:p>
              </w:tc>
            </w:tr>
            <w:tr>
              <w:tc>
                <w:tcPr/>
                <w:p>
                  <w:pPr>
                    <w:pStyle w:val="Compact"/>
                    <w:jc w:val="left"/>
                    <w:jc w:val="left"/>
                  </w:pPr>
                  <w:r>
                    <w:t xml:space="preserve">Fumane</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Yes</w:t>
                  </w:r>
                </w:p>
              </w:tc>
            </w:tr>
            <w:tr>
              <w:tc>
                <w:tcPr/>
                <w:p>
                  <w:pPr>
                    <w:pStyle w:val="Compact"/>
                    <w:jc w:val="left"/>
                    <w:jc w:val="left"/>
                  </w:pPr>
                  <w:r>
                    <w:t xml:space="preserve">Grotte de Goyet</w:t>
                  </w:r>
                </w:p>
              </w:tc>
              <w:tc>
                <w:tcPr/>
                <w:p>
                  <w:pPr>
                    <w:pStyle w:val="Compact"/>
                    <w:jc w:val="left"/>
                    <w:jc w:val="left"/>
                  </w:pPr>
                  <w:r>
                    <w:t xml:space="preserve">1</w:t>
                  </w:r>
                </w:p>
              </w:tc>
              <w:tc>
                <w:tcPr/>
                <w:p>
                  <w:pPr>
                    <w:pStyle w:val="Compact"/>
                    <w:jc w:val="left"/>
                    <w:jc w:val="left"/>
                  </w:pPr>
                  <w:r>
                    <w:t xml:space="preserve">12</w:t>
                  </w:r>
                </w:p>
              </w:tc>
              <w:tc>
                <w:tcPr/>
                <w:p>
                  <w:pPr>
                    <w:pStyle w:val="Compact"/>
                    <w:jc w:val="left"/>
                    <w:jc w:val="left"/>
                  </w:pPr>
                  <w:r>
                    <w:t xml:space="preserve">No (date parsing)</w:t>
                  </w:r>
                </w:p>
              </w:tc>
            </w:tr>
            <w:tr>
              <w:tc>
                <w:tcPr/>
                <w:p>
                  <w:pPr>
                    <w:pStyle w:val="Compact"/>
                    <w:jc w:val="left"/>
                    <w:jc w:val="left"/>
                  </w:pPr>
                  <w:r>
                    <w:t xml:space="preserve">Labeko Koba</w:t>
                  </w:r>
                </w:p>
              </w:tc>
              <w:tc>
                <w:tcPr/>
                <w:p>
                  <w:pPr>
                    <w:pStyle w:val="Compact"/>
                    <w:jc w:val="left"/>
                    <w:jc w:val="left"/>
                  </w:pPr>
                  <w:r>
                    <w:t xml:space="preserve">1</w:t>
                  </w:r>
                </w:p>
              </w:tc>
              <w:tc>
                <w:tcPr/>
                <w:p>
                  <w:pPr>
                    <w:pStyle w:val="Compact"/>
                    <w:jc w:val="left"/>
                    <w:jc w:val="left"/>
                  </w:pPr>
                  <w:r>
                    <w:t xml:space="preserve">2</w:t>
                  </w:r>
                </w:p>
              </w:tc>
              <w:tc>
                <w:tcPr/>
                <w:p>
                  <w:pPr>
                    <w:pStyle w:val="Compact"/>
                    <w:jc w:val="left"/>
                    <w:jc w:val="left"/>
                  </w:pPr>
                  <w:r>
                    <w:t xml:space="preserve">Yes</w:t>
                  </w:r>
                </w:p>
              </w:tc>
            </w:tr>
            <w:tr>
              <w:tc>
                <w:tcPr/>
                <w:p>
                  <w:pPr>
                    <w:pStyle w:val="Compact"/>
                    <w:jc w:val="left"/>
                    <w:jc w:val="left"/>
                  </w:pPr>
                  <w:r>
                    <w:t xml:space="preserve">Menton/Grottes du Grimaldi</w:t>
                  </w:r>
                </w:p>
              </w:tc>
              <w:tc>
                <w:tcPr/>
                <w:p>
                  <w:pPr>
                    <w:pStyle w:val="Compact"/>
                    <w:jc w:val="left"/>
                    <w:jc w:val="left"/>
                  </w:pPr>
                  <w:r>
                    <w:t xml:space="preserve">1</w:t>
                  </w:r>
                </w:p>
              </w:tc>
              <w:tc>
                <w:tcPr/>
                <w:p>
                  <w:pPr>
                    <w:pStyle w:val="Compact"/>
                    <w:jc w:val="left"/>
                    <w:jc w:val="left"/>
                  </w:pPr>
                  <w:r>
                    <w:t xml:space="preserve">2</w:t>
                  </w:r>
                </w:p>
              </w:tc>
              <w:tc>
                <w:tcPr/>
                <w:p>
                  <w:pPr>
                    <w:pStyle w:val="Compact"/>
                    <w:jc w:val="left"/>
                    <w:jc w:val="left"/>
                  </w:pPr>
                  <w:r>
                    <w:t xml:space="preserve">No (date parsing)</w:t>
                  </w:r>
                </w:p>
              </w:tc>
            </w:tr>
            <w:tr>
              <w:tc>
                <w:tcPr/>
                <w:p>
                  <w:pPr>
                    <w:pStyle w:val="Compact"/>
                    <w:jc w:val="left"/>
                    <w:jc w:val="left"/>
                  </w:pPr>
                  <w:r>
                    <w:t xml:space="preserve">Nová Dědina</w:t>
                  </w:r>
                </w:p>
              </w:tc>
              <w:tc>
                <w:tcPr/>
                <w:p>
                  <w:pPr>
                    <w:pStyle w:val="Compact"/>
                    <w:jc w:val="left"/>
                    <w:jc w:val="left"/>
                  </w:pPr>
                  <w:r>
                    <w:t xml:space="preserve">1</w:t>
                  </w:r>
                </w:p>
              </w:tc>
              <w:tc>
                <w:tcPr/>
                <w:p>
                  <w:pPr>
                    <w:pStyle w:val="Compact"/>
                    <w:jc w:val="left"/>
                    <w:jc w:val="left"/>
                  </w:pPr>
                  <w:r>
                    <w:t xml:space="preserve">3</w:t>
                  </w:r>
                </w:p>
              </w:tc>
              <w:tc>
                <w:tcPr/>
                <w:p>
                  <w:pPr>
                    <w:pStyle w:val="Compact"/>
                    <w:jc w:val="left"/>
                    <w:jc w:val="left"/>
                  </w:pPr>
                  <w:r>
                    <w:t xml:space="preserve">No (date parsing)</w:t>
                  </w:r>
                </w:p>
              </w:tc>
            </w:tr>
            <w:tr>
              <w:tc>
                <w:tcPr/>
                <w:p>
                  <w:pPr>
                    <w:pStyle w:val="Compact"/>
                    <w:jc w:val="left"/>
                    <w:jc w:val="left"/>
                  </w:pPr>
                  <w:r>
                    <w:t xml:space="preserve">Spy</w:t>
                  </w:r>
                </w:p>
              </w:tc>
              <w:tc>
                <w:tcPr/>
                <w:p>
                  <w:pPr>
                    <w:pStyle w:val="Compact"/>
                    <w:jc w:val="left"/>
                    <w:jc w:val="left"/>
                  </w:pPr>
                  <w:r>
                    <w:t xml:space="preserve">1</w:t>
                  </w:r>
                </w:p>
              </w:tc>
              <w:tc>
                <w:tcPr/>
                <w:p>
                  <w:pPr>
                    <w:pStyle w:val="Compact"/>
                    <w:jc w:val="left"/>
                    <w:jc w:val="left"/>
                  </w:pPr>
                  <w:r>
                    <w:t xml:space="preserve">25</w:t>
                  </w:r>
                </w:p>
              </w:tc>
              <w:tc>
                <w:tcPr/>
                <w:p>
                  <w:pPr>
                    <w:pStyle w:val="Compact"/>
                    <w:jc w:val="left"/>
                    <w:jc w:val="left"/>
                  </w:pPr>
                  <w:r>
                    <w:t xml:space="preserve">No (excluded for mixing)</w:t>
                  </w:r>
                </w:p>
              </w:tc>
            </w:tr>
            <w:tr>
              <w:tc>
                <w:tcPr/>
                <w:p>
                  <w:pPr>
                    <w:pStyle w:val="Compact"/>
                    <w:jc w:val="left"/>
                    <w:jc w:val="left"/>
                  </w:pPr>
                  <w:r>
                    <w:t xml:space="preserve">Willendorf</w:t>
                  </w:r>
                </w:p>
              </w:tc>
              <w:tc>
                <w:tcPr/>
                <w:p>
                  <w:pPr>
                    <w:pStyle w:val="Compact"/>
                    <w:jc w:val="left"/>
                    <w:jc w:val="left"/>
                  </w:pPr>
                  <w:r>
                    <w:t xml:space="preserve">1</w:t>
                  </w:r>
                </w:p>
              </w:tc>
              <w:tc>
                <w:tcPr/>
                <w:p>
                  <w:pPr>
                    <w:pStyle w:val="Compact"/>
                    <w:jc w:val="left"/>
                    <w:jc w:val="left"/>
                  </w:pPr>
                  <w:r>
                    <w:t xml:space="preserve">0</w:t>
                  </w:r>
                </w:p>
              </w:tc>
              <w:tc>
                <w:tcPr/>
                <w:p>
                  <w:pPr>
                    <w:pStyle w:val="Compact"/>
                    <w:jc w:val="left"/>
                    <w:jc w:val="left"/>
                  </w:pPr>
                  <w:r>
                    <w:t xml:space="preserve">No (excluded before phase assignment)</w:t>
                  </w:r>
                </w:p>
              </w:tc>
            </w:tr>
          </w:tbl>
          <w:p>
            <w:pPr>
              <w:jc w:val="left"/>
            </w:pPr>
            <w:pPr>
              <w:jc w:val="start"/>
              <w:spacing w:before="200"/>
              <w:pStyle w:val="ImageCaption"/>
            </w:pPr>
            <w:r>
              <w:t xml:space="preserve">Table S 9: Sites contributing objects without geometric signs, and whether the site remains in the analysis.</w:t>
            </w:r>
          </w:p>
          <w:bookmarkEnd w:id="48"/>
        </w:tc>
      </w:tr>
    </w:tbl>
    <w:p>
      <w:pPr>
        <w:pStyle w:val="BodyText"/>
      </w:pPr>
      <w:r>
        <w:t xml:space="preserve">Of the sites in</w:t>
      </w:r>
      <w:r>
        <w:t xml:space="preserve"> </w:t>
      </w:r>
      <w:hyperlink w:anchor="tbl-zero-sign">
        <w:r>
          <w:rPr>
            <w:rStyle w:val="Hyperlink"/>
          </w:rPr>
          <w:t xml:space="preserve">Table S 9</w:t>
        </w:r>
      </w:hyperlink>
      <w:r>
        <w:t xml:space="preserve">, only Willendorf has no signed object, because its single object carries only a sign coded as</w:t>
      </w:r>
      <w:r>
        <w:t xml:space="preserve"> </w:t>
      </w:r>
      <w:r>
        <w:t xml:space="preserve">“</w:t>
      </w:r>
      <w:r>
        <w:t xml:space="preserve">other</w:t>
      </w:r>
      <w:r>
        <w:t xml:space="preserve">”</w:t>
      </w:r>
      <w:r>
        <w:t xml:space="preserve">. Spy is excluded because its assemblage is mixed (</w:t>
      </w:r>
      <w:hyperlink w:anchor="tbl-excluded">
        <w:r>
          <w:rPr>
            <w:rStyle w:val="Hyperlink"/>
          </w:rPr>
          <w:t xml:space="preserve">Table S 5</w:t>
        </w:r>
      </w:hyperlink>
      <w:r>
        <w:t xml:space="preserve">). The other</w:t>
      </w:r>
      <w:r>
        <w:t xml:space="preserve"> </w:t>
      </w:r>
      <w:r>
        <w:t xml:space="preserve">“</w:t>
      </w:r>
      <w:r>
        <w:t xml:space="preserve">No</w:t>
      </w:r>
      <w:r>
        <w:t xml:space="preserve">”</w:t>
      </w:r>
      <w:r>
        <w:t xml:space="preserve"> </w:t>
      </w:r>
      <w:r>
        <w:t xml:space="preserve">sites are lost at the date-parsing step, not because of the zero-sign filter.</w:t>
      </w:r>
    </w:p>
    <w:bookmarkEnd w:id="49"/>
    <w:bookmarkEnd w:id="50"/>
    <w:bookmarkStart w:id="91" w:name="references-cited"/>
    <w:p>
      <w:pPr>
        <w:pStyle w:val="Heading2"/>
      </w:pPr>
      <w:r>
        <w:t xml:space="preserve">References cited</w:t>
      </w:r>
    </w:p>
    <w:bookmarkStart w:id="90" w:name="refs"/>
    <w:bookmarkStart w:id="52" w:name="ref-Chiotti_2005"/>
    <w:p>
      <w:pPr>
        <w:pStyle w:val="Bibliography"/>
      </w:pPr>
      <w:r>
        <w:t xml:space="preserve">[1]</w:t>
      </w:r>
      <w:r>
        <w:t xml:space="preserve"> </w:t>
      </w:r>
      <w:r>
        <w:t xml:space="preserve">	</w:t>
      </w:r>
      <w:r>
        <w:t xml:space="preserve">Chiotti L. Les industries lithiques aurignaciennes de l’abri</w:t>
      </w:r>
      <w:r>
        <w:t xml:space="preserve"> </w:t>
      </w:r>
      <w:r>
        <w:t xml:space="preserve">Pataud</w:t>
      </w:r>
      <w:r>
        <w:t xml:space="preserve">,</w:t>
      </w:r>
      <w:r>
        <w:t xml:space="preserve"> </w:t>
      </w:r>
      <w:r>
        <w:t xml:space="preserve">Dordogne</w:t>
      </w:r>
      <w:r>
        <w:t xml:space="preserve">,</w:t>
      </w:r>
      <w:r>
        <w:t xml:space="preserve"> </w:t>
      </w:r>
      <w:r>
        <w:t xml:space="preserve">France</w:t>
      </w:r>
      <w:r>
        <w:t xml:space="preserve">. Oxford: Archaeopress; 2005.</w:t>
      </w:r>
      <w:r>
        <w:t xml:space="preserve"> </w:t>
      </w:r>
      <w:hyperlink r:id="rId51">
        <w:r>
          <w:rPr>
            <w:rStyle w:val="Hyperlink"/>
          </w:rPr>
          <w:t xml:space="preserve">https://doi.org/10.30861/9781841718309</w:t>
        </w:r>
      </w:hyperlink>
      <w:r>
        <w:t xml:space="preserve">.</w:t>
      </w:r>
    </w:p>
    <w:bookmarkEnd w:id="52"/>
    <w:bookmarkStart w:id="54" w:name="ref-Higham_Abri_Pataud_2011"/>
    <w:p>
      <w:pPr>
        <w:pStyle w:val="Bibliography"/>
      </w:pPr>
      <w:r>
        <w:t xml:space="preserve">[2]</w:t>
      </w:r>
      <w:r>
        <w:t xml:space="preserve"> </w:t>
      </w:r>
      <w:r>
        <w:t xml:space="preserve">	</w:t>
      </w:r>
      <w:r>
        <w:t xml:space="preserve">Higham TFG, Jacobi RM, Basell L, Ramsey CB, Chiotti L, Nespoulet R. Precision dating of the</w:t>
      </w:r>
      <w:r>
        <w:t xml:space="preserve"> </w:t>
      </w:r>
      <w:r>
        <w:t xml:space="preserve">Palaeolithic</w:t>
      </w:r>
      <w:r>
        <w:t xml:space="preserve">: A new radiocarbon chronology for the</w:t>
      </w:r>
      <w:r>
        <w:t xml:space="preserve"> </w:t>
      </w:r>
      <w:r>
        <w:t xml:space="preserve">Abri Pataud</w:t>
      </w:r>
      <w:r>
        <w:t xml:space="preserve"> </w:t>
      </w:r>
      <w:r>
        <w:t xml:space="preserve">(</w:t>
      </w:r>
      <w:r>
        <w:t xml:space="preserve">France</w:t>
      </w:r>
      <w:r>
        <w:t xml:space="preserve">), a key</w:t>
      </w:r>
      <w:r>
        <w:t xml:space="preserve"> </w:t>
      </w:r>
      <w:r>
        <w:t xml:space="preserve">Aurignacian</w:t>
      </w:r>
      <w:r>
        <w:t xml:space="preserve"> </w:t>
      </w:r>
      <w:r>
        <w:t xml:space="preserve">sequence. Journal of Human Evolution 2011;61:549–63.</w:t>
      </w:r>
      <w:r>
        <w:t xml:space="preserve"> </w:t>
      </w:r>
      <w:hyperlink r:id="rId53">
        <w:r>
          <w:rPr>
            <w:rStyle w:val="Hyperlink"/>
          </w:rPr>
          <w:t xml:space="preserve">https://doi.org/10.1016/j.jhevol.2011.06.005</w:t>
        </w:r>
      </w:hyperlink>
      <w:r>
        <w:t xml:space="preserve">.</w:t>
      </w:r>
    </w:p>
    <w:bookmarkEnd w:id="54"/>
    <w:bookmarkStart w:id="56" w:name="ref-Talamo_La_Ferrassie_2020"/>
    <w:p>
      <w:pPr>
        <w:pStyle w:val="Bibliography"/>
      </w:pPr>
      <w:r>
        <w:t xml:space="preserve">[3]</w:t>
      </w:r>
      <w:r>
        <w:t xml:space="preserve"> </w:t>
      </w:r>
      <w:r>
        <w:t xml:space="preserve">	</w:t>
      </w:r>
      <w:r>
        <w:t xml:space="preserve">Talamo S, Aldeias V, Goldberg P, Chiotti L, Dibble HL, Guérin G, et al. The new</w:t>
      </w:r>
      <w:r>
        <w:t xml:space="preserve"> </w:t>
      </w:r>
      <w:r>
        <w:t xml:space="preserve">14C</w:t>
      </w:r>
      <w:r>
        <w:t xml:space="preserve"> </w:t>
      </w:r>
      <w:r>
        <w:t xml:space="preserve">chronology for the</w:t>
      </w:r>
      <w:r>
        <w:t xml:space="preserve"> </w:t>
      </w:r>
      <w:r>
        <w:t xml:space="preserve">Palaeolithic</w:t>
      </w:r>
      <w:r>
        <w:t xml:space="preserve"> </w:t>
      </w:r>
      <w:r>
        <w:t xml:space="preserve">site of</w:t>
      </w:r>
      <w:r>
        <w:t xml:space="preserve"> </w:t>
      </w:r>
      <w:r>
        <w:t xml:space="preserve">La</w:t>
      </w:r>
      <w:r>
        <w:t xml:space="preserve"> </w:t>
      </w:r>
      <w:r>
        <w:t xml:space="preserve">Ferrassie</w:t>
      </w:r>
      <w:r>
        <w:t xml:space="preserve">,</w:t>
      </w:r>
      <w:r>
        <w:t xml:space="preserve"> </w:t>
      </w:r>
      <w:r>
        <w:t xml:space="preserve">France</w:t>
      </w:r>
      <w:r>
        <w:t xml:space="preserve">: The disappearance of</w:t>
      </w:r>
      <w:r>
        <w:t xml:space="preserve"> </w:t>
      </w:r>
      <w:r>
        <w:t xml:space="preserve">Neanderthals</w:t>
      </w:r>
      <w:r>
        <w:t xml:space="preserve"> </w:t>
      </w:r>
      <w:r>
        <w:t xml:space="preserve">and the arrival of</w:t>
      </w:r>
      <w:r>
        <w:t xml:space="preserve"> </w:t>
      </w:r>
      <w:r>
        <w:t xml:space="preserve">Homo</w:t>
      </w:r>
      <w:r>
        <w:t xml:space="preserve"> </w:t>
      </w:r>
      <w:r>
        <w:t xml:space="preserve">sapiens in</w:t>
      </w:r>
      <w:r>
        <w:t xml:space="preserve"> </w:t>
      </w:r>
      <w:r>
        <w:t xml:space="preserve">France</w:t>
      </w:r>
      <w:r>
        <w:t xml:space="preserve">. Journal of Quaternary Science 2020;35:961–73.</w:t>
      </w:r>
      <w:r>
        <w:t xml:space="preserve"> </w:t>
      </w:r>
      <w:hyperlink r:id="rId55">
        <w:r>
          <w:rPr>
            <w:rStyle w:val="Hyperlink"/>
          </w:rPr>
          <w:t xml:space="preserve">https://doi.org/10.1002/jqs.3236</w:t>
        </w:r>
      </w:hyperlink>
      <w:r>
        <w:t xml:space="preserve">.</w:t>
      </w:r>
    </w:p>
    <w:bookmarkEnd w:id="56"/>
    <w:bookmarkStart w:id="58" w:name="ref-Wild_et_al_2005"/>
    <w:p>
      <w:pPr>
        <w:pStyle w:val="Bibliography"/>
      </w:pPr>
      <w:r>
        <w:t xml:space="preserve">[4]</w:t>
      </w:r>
      <w:r>
        <w:t xml:space="preserve"> </w:t>
      </w:r>
      <w:r>
        <w:t xml:space="preserve">	</w:t>
      </w:r>
      <w:r>
        <w:t xml:space="preserve">Wild EM, Teschler-Nicola M, Kutschera W, Steier P, Trinkaus E, Wanek W. Direct dating of</w:t>
      </w:r>
      <w:r>
        <w:t xml:space="preserve"> </w:t>
      </w:r>
      <w:r>
        <w:t xml:space="preserve">Early</w:t>
      </w:r>
      <w:r>
        <w:t xml:space="preserve"> </w:t>
      </w:r>
      <w:r>
        <w:t xml:space="preserve">Upper</w:t>
      </w:r>
      <w:r>
        <w:t xml:space="preserve"> </w:t>
      </w:r>
      <w:r>
        <w:t xml:space="preserve">Palaeolithic</w:t>
      </w:r>
      <w:r>
        <w:t xml:space="preserve"> </w:t>
      </w:r>
      <w:r>
        <w:t xml:space="preserve">human remains from</w:t>
      </w:r>
      <w:r>
        <w:t xml:space="preserve"> </w:t>
      </w:r>
      <w:r>
        <w:t xml:space="preserve">Mlade</w:t>
      </w:r>
      <w:r>
        <w:t xml:space="preserve">č</w:t>
      </w:r>
      <w:r>
        <w:t xml:space="preserve">. Nature 2005;435:332–5.</w:t>
      </w:r>
      <w:r>
        <w:t xml:space="preserve"> </w:t>
      </w:r>
      <w:hyperlink r:id="rId57">
        <w:r>
          <w:rPr>
            <w:rStyle w:val="Hyperlink"/>
          </w:rPr>
          <w:t xml:space="preserve">https://doi.org/10.1038/nature03585</w:t>
        </w:r>
      </w:hyperlink>
      <w:r>
        <w:t xml:space="preserve">.</w:t>
      </w:r>
    </w:p>
    <w:bookmarkEnd w:id="58"/>
    <w:bookmarkStart w:id="60" w:name="ref-Bataille_Conard_2018"/>
    <w:p>
      <w:pPr>
        <w:pStyle w:val="Bibliography"/>
      </w:pPr>
      <w:r>
        <w:t xml:space="preserve">[5]</w:t>
      </w:r>
      <w:r>
        <w:t xml:space="preserve"> </w:t>
      </w:r>
      <w:r>
        <w:t xml:space="preserve">	</w:t>
      </w:r>
      <w:r>
        <w:t xml:space="preserve">Bataille G, Conard NJ. Blade and bladelet production at</w:t>
      </w:r>
      <w:r>
        <w:t xml:space="preserve"> </w:t>
      </w:r>
      <w:r>
        <w:t xml:space="preserve">Hohle Fels Cave</w:t>
      </w:r>
      <w:r>
        <w:t xml:space="preserve">,</w:t>
      </w:r>
      <w:r>
        <w:t xml:space="preserve"> </w:t>
      </w:r>
      <w:r>
        <w:t xml:space="preserve">AH IV</w:t>
      </w:r>
      <w:r>
        <w:t xml:space="preserve"> </w:t>
      </w:r>
      <w:r>
        <w:t xml:space="preserve">in the</w:t>
      </w:r>
      <w:r>
        <w:t xml:space="preserve"> </w:t>
      </w:r>
      <w:r>
        <w:t xml:space="preserve">Swabian Jura</w:t>
      </w:r>
      <w:r>
        <w:t xml:space="preserve"> </w:t>
      </w:r>
      <w:r>
        <w:t xml:space="preserve">and its importance for characterizing the technological variability of the</w:t>
      </w:r>
      <w:r>
        <w:t xml:space="preserve"> </w:t>
      </w:r>
      <w:r>
        <w:t xml:space="preserve">Aurignacian</w:t>
      </w:r>
      <w:r>
        <w:t xml:space="preserve"> </w:t>
      </w:r>
      <w:r>
        <w:t xml:space="preserve">in</w:t>
      </w:r>
      <w:r>
        <w:t xml:space="preserve"> </w:t>
      </w:r>
      <w:r>
        <w:t xml:space="preserve">Central Europe</w:t>
      </w:r>
      <w:r>
        <w:t xml:space="preserve">. PLOS ONE 2018;13:e0194097.</w:t>
      </w:r>
      <w:r>
        <w:t xml:space="preserve"> </w:t>
      </w:r>
      <w:hyperlink r:id="rId59">
        <w:r>
          <w:rPr>
            <w:rStyle w:val="Hyperlink"/>
          </w:rPr>
          <w:t xml:space="preserve">https://doi.org/10.1371/journal.pone.0194097</w:t>
        </w:r>
      </w:hyperlink>
      <w:r>
        <w:t xml:space="preserve">.</w:t>
      </w:r>
    </w:p>
    <w:bookmarkEnd w:id="60"/>
    <w:bookmarkStart w:id="62" w:name="ref-Bataille_Conard_2019"/>
    <w:p>
      <w:pPr>
        <w:pStyle w:val="Bibliography"/>
      </w:pPr>
      <w:r>
        <w:t xml:space="preserve">[6]</w:t>
      </w:r>
      <w:r>
        <w:t xml:space="preserve"> </w:t>
      </w:r>
      <w:r>
        <w:t xml:space="preserve">	</w:t>
      </w:r>
      <w:r>
        <w:t xml:space="preserve">Bataille G, Conard NJ. Burin-core technology in</w:t>
      </w:r>
      <w:r>
        <w:t xml:space="preserve"> </w:t>
      </w:r>
      <w:r>
        <w:t xml:space="preserve">Aurignacian</w:t>
      </w:r>
      <w:r>
        <w:t xml:space="preserve"> </w:t>
      </w:r>
      <w:r>
        <w:t xml:space="preserve">horizons</w:t>
      </w:r>
      <w:r>
        <w:t xml:space="preserve"> </w:t>
      </w:r>
      <w:r>
        <w:t xml:space="preserve">IIIa</w:t>
      </w:r>
      <w:r>
        <w:t xml:space="preserve"> </w:t>
      </w:r>
      <w:r>
        <w:t xml:space="preserve">and</w:t>
      </w:r>
      <w:r>
        <w:t xml:space="preserve"> </w:t>
      </w:r>
      <w:r>
        <w:t xml:space="preserve">IV</w:t>
      </w:r>
      <w:r>
        <w:t xml:space="preserve"> </w:t>
      </w:r>
      <w:r>
        <w:t xml:space="preserve">of</w:t>
      </w:r>
      <w:r>
        <w:t xml:space="preserve"> </w:t>
      </w:r>
      <w:r>
        <w:t xml:space="preserve">Hohle Fels</w:t>
      </w:r>
      <w:r>
        <w:t xml:space="preserve"> </w:t>
      </w:r>
      <w:r>
        <w:t xml:space="preserve">cave (</w:t>
      </w:r>
      <w:r>
        <w:t xml:space="preserve">Southwestern Germany</w:t>
      </w:r>
      <w:r>
        <w:t xml:space="preserve">). Quartär 2018;65:7–49.</w:t>
      </w:r>
      <w:r>
        <w:t xml:space="preserve"> </w:t>
      </w:r>
      <w:hyperlink r:id="rId61">
        <w:r>
          <w:rPr>
            <w:rStyle w:val="Hyperlink"/>
          </w:rPr>
          <w:t xml:space="preserve">https://doi.org/10.7485/QU65_1</w:t>
        </w:r>
      </w:hyperlink>
      <w:r>
        <w:t xml:space="preserve">.</w:t>
      </w:r>
    </w:p>
    <w:bookmarkEnd w:id="62"/>
    <w:bookmarkStart w:id="64" w:name="ref-Dinnis_et_al_2019"/>
    <w:p>
      <w:pPr>
        <w:pStyle w:val="Bibliography"/>
      </w:pPr>
      <w:r>
        <w:t xml:space="preserve">[7]</w:t>
      </w:r>
      <w:r>
        <w:t xml:space="preserve"> </w:t>
      </w:r>
      <w:r>
        <w:t xml:space="preserve">	</w:t>
      </w:r>
      <w:r>
        <w:t xml:space="preserve">Dinnis R, Bessudnov A, Chiotti L, Flas D, Michel A. Thoughts on the structure of the</w:t>
      </w:r>
      <w:r>
        <w:t xml:space="preserve"> </w:t>
      </w:r>
      <w:r>
        <w:t xml:space="preserve">European</w:t>
      </w:r>
      <w:r>
        <w:t xml:space="preserve"> </w:t>
      </w:r>
      <w:r>
        <w:t xml:space="preserve">Aurignacian</w:t>
      </w:r>
      <w:r>
        <w:t xml:space="preserve">, with particular focus on</w:t>
      </w:r>
      <w:r>
        <w:t xml:space="preserve"> </w:t>
      </w:r>
      <w:r>
        <w:t xml:space="preserve">Hohle Fels IV</w:t>
      </w:r>
      <w:r>
        <w:t xml:space="preserve">. Proceedings of the Prehistoric Society 2019;85:29–60.</w:t>
      </w:r>
      <w:r>
        <w:t xml:space="preserve"> </w:t>
      </w:r>
      <w:hyperlink r:id="rId63">
        <w:r>
          <w:rPr>
            <w:rStyle w:val="Hyperlink"/>
          </w:rPr>
          <w:t xml:space="preserve">https://doi.org/10.1017/ppr.2019.11</w:t>
        </w:r>
      </w:hyperlink>
      <w:r>
        <w:t xml:space="preserve">.</w:t>
      </w:r>
    </w:p>
    <w:bookmarkEnd w:id="64"/>
    <w:bookmarkStart w:id="65" w:name="ref-Flas_et_al_2013"/>
    <w:p>
      <w:pPr>
        <w:pStyle w:val="Bibliography"/>
      </w:pPr>
      <w:r>
        <w:t xml:space="preserve">[8]</w:t>
      </w:r>
      <w:r>
        <w:t xml:space="preserve"> </w:t>
      </w:r>
      <w:r>
        <w:t xml:space="preserve">	</w:t>
      </w:r>
      <w:r>
        <w:t xml:space="preserve">Flas D, Tartar É, Bordes J-G, Le Brun-Ricalens F, Zwyns N. New perspectives on the</w:t>
      </w:r>
      <w:r>
        <w:t xml:space="preserve"> </w:t>
      </w:r>
      <w:r>
        <w:t xml:space="preserve">Aurignacian</w:t>
      </w:r>
      <w:r>
        <w:t xml:space="preserve"> </w:t>
      </w:r>
      <w:r>
        <w:t xml:space="preserve">from</w:t>
      </w:r>
      <w:r>
        <w:t xml:space="preserve"> </w:t>
      </w:r>
      <w:r>
        <w:t xml:space="preserve">Spy</w:t>
      </w:r>
      <w:r>
        <w:t xml:space="preserve">: Lithic assemblage, osseous artefacts and chronocultural sequence. In: Rougier H, Semal P, editors.</w:t>
      </w:r>
      <w:r>
        <w:t xml:space="preserve"> </w:t>
      </w:r>
      <w:r>
        <w:t xml:space="preserve">Spy</w:t>
      </w:r>
      <w:r>
        <w:t xml:space="preserve"> </w:t>
      </w:r>
      <w:r>
        <w:t xml:space="preserve">cave. 125 years of multidisciplinary research at the</w:t>
      </w:r>
      <w:r>
        <w:t xml:space="preserve"> </w:t>
      </w:r>
      <w:r>
        <w:t xml:space="preserve">Betche</w:t>
      </w:r>
      <w:r>
        <w:t xml:space="preserve"> </w:t>
      </w:r>
      <w:r>
        <w:t xml:space="preserve">aux</w:t>
      </w:r>
      <w:r>
        <w:t xml:space="preserve"> </w:t>
      </w:r>
      <w:r>
        <w:t xml:space="preserve">Rotches</w:t>
      </w:r>
      <w:r>
        <w:t xml:space="preserve"> </w:t>
      </w:r>
      <w:r>
        <w:t xml:space="preserve">(</w:t>
      </w:r>
      <w:r>
        <w:t xml:space="preserve">Jemeppe</w:t>
      </w:r>
      <w:r>
        <w:t xml:space="preserve">-sur-</w:t>
      </w:r>
      <w:r>
        <w:t xml:space="preserve">Sambre</w:t>
      </w:r>
      <w:r>
        <w:t xml:space="preserve">, province of</w:t>
      </w:r>
      <w:r>
        <w:t xml:space="preserve"> </w:t>
      </w:r>
      <w:r>
        <w:t xml:space="preserve">Namur</w:t>
      </w:r>
      <w:r>
        <w:t xml:space="preserve">,</w:t>
      </w:r>
      <w:r>
        <w:t xml:space="preserve"> </w:t>
      </w:r>
      <w:r>
        <w:t xml:space="preserve">Belgium</w:t>
      </w:r>
      <w:r>
        <w:t xml:space="preserve">), volume 1, vol. 123/2012, Royal Belgian Institute of Natural Sciences, Royal Belgian Society of Anthropology; Prehistory,; NESPOS Society; 2013, p. 231–55.</w:t>
      </w:r>
    </w:p>
    <w:bookmarkEnd w:id="65"/>
    <w:bookmarkStart w:id="67" w:name="ref-Flas_2015"/>
    <w:p>
      <w:pPr>
        <w:pStyle w:val="Bibliography"/>
      </w:pPr>
      <w:r>
        <w:t xml:space="preserve">[9]</w:t>
      </w:r>
      <w:r>
        <w:t xml:space="preserve"> </w:t>
      </w:r>
      <w:r>
        <w:t xml:space="preserve">	</w:t>
      </w:r>
      <w:r>
        <w:t xml:space="preserve">Flas D. The chronocultural sequence of</w:t>
      </w:r>
      <w:r>
        <w:t xml:space="preserve"> </w:t>
      </w:r>
      <w:r>
        <w:t xml:space="preserve">Belgian</w:t>
      </w:r>
      <w:r>
        <w:t xml:space="preserve"> </w:t>
      </w:r>
      <w:r>
        <w:t xml:space="preserve">complexes in the</w:t>
      </w:r>
      <w:r>
        <w:t xml:space="preserve"> </w:t>
      </w:r>
      <w:r>
        <w:t xml:space="preserve">European</w:t>
      </w:r>
      <w:r>
        <w:t xml:space="preserve"> </w:t>
      </w:r>
      <w:r>
        <w:t xml:space="preserve">Aurignacian</w:t>
      </w:r>
      <w:r>
        <w:t xml:space="preserve"> </w:t>
      </w:r>
      <w:r>
        <w:t xml:space="preserve">context. In: White R, Bourrillon R, editors.</w:t>
      </w:r>
      <w:r>
        <w:t xml:space="preserve"> </w:t>
      </w:r>
      <w:r>
        <w:t xml:space="preserve">Aurignacian</w:t>
      </w:r>
      <w:r>
        <w:t xml:space="preserve"> </w:t>
      </w:r>
      <w:r>
        <w:t xml:space="preserve">genius: Art, technology and society of the first modern humans in</w:t>
      </w:r>
      <w:r>
        <w:t xml:space="preserve"> </w:t>
      </w:r>
      <w:r>
        <w:t xml:space="preserve">Europe</w:t>
      </w:r>
      <w:r>
        <w:t xml:space="preserve">, vol. 7, Palethnology, Toulouse; 2015, p. 57–75.</w:t>
      </w:r>
      <w:r>
        <w:t xml:space="preserve"> </w:t>
      </w:r>
      <w:hyperlink r:id="rId66">
        <w:r>
          <w:rPr>
            <w:rStyle w:val="Hyperlink"/>
          </w:rPr>
          <w:t xml:space="preserve">https://doi.org/10.4000/palethnologie.736</w:t>
        </w:r>
      </w:hyperlink>
      <w:r>
        <w:t xml:space="preserve">.</w:t>
      </w:r>
    </w:p>
    <w:bookmarkEnd w:id="67"/>
    <w:bookmarkStart w:id="69" w:name="ref-Wood_2018"/>
    <w:p>
      <w:pPr>
        <w:pStyle w:val="Bibliography"/>
      </w:pPr>
      <w:r>
        <w:t xml:space="preserve">[10]</w:t>
      </w:r>
      <w:r>
        <w:t xml:space="preserve"> </w:t>
      </w:r>
      <w:r>
        <w:t xml:space="preserve">	</w:t>
      </w:r>
      <w:r>
        <w:t xml:space="preserve">Wood R, Bernaldo de Quirós F, Maíllo-Fernández J-M, Tejero J-M, Neira A, Higham T.</w:t>
      </w:r>
      <w:r>
        <w:t xml:space="preserve"> </w:t>
      </w:r>
      <w:r>
        <w:t xml:space="preserve">El Castillo</w:t>
      </w:r>
      <w:r>
        <w:t xml:space="preserve"> </w:t>
      </w:r>
      <w:r>
        <w:t xml:space="preserve">(</w:t>
      </w:r>
      <w:r>
        <w:t xml:space="preserve">Cantabria</w:t>
      </w:r>
      <w:r>
        <w:t xml:space="preserve">, northern</w:t>
      </w:r>
      <w:r>
        <w:t xml:space="preserve"> </w:t>
      </w:r>
      <w:r>
        <w:t xml:space="preserve">Iberia</w:t>
      </w:r>
      <w:r>
        <w:t xml:space="preserve">) and the</w:t>
      </w:r>
      <w:r>
        <w:t xml:space="preserve"> </w:t>
      </w:r>
      <w:r>
        <w:t xml:space="preserve">Transitional Aurignacian</w:t>
      </w:r>
      <w:r>
        <w:t xml:space="preserve">: Using radiocarbon dating to assess site taphonomy. Quaternary International 2018;474:56–70.</w:t>
      </w:r>
      <w:r>
        <w:t xml:space="preserve"> </w:t>
      </w:r>
      <w:hyperlink r:id="rId68">
        <w:r>
          <w:rPr>
            <w:rStyle w:val="Hyperlink"/>
          </w:rPr>
          <w:t xml:space="preserve">https://doi.org/10.1016/j.quaint.2016.03.005</w:t>
        </w:r>
      </w:hyperlink>
      <w:r>
        <w:t xml:space="preserve">.</w:t>
      </w:r>
    </w:p>
    <w:bookmarkEnd w:id="69"/>
    <w:bookmarkStart w:id="71" w:name="ref-Schurch_Conard_2026_reassess"/>
    <w:p>
      <w:pPr>
        <w:pStyle w:val="Bibliography"/>
      </w:pPr>
      <w:r>
        <w:t xml:space="preserve">[11]</w:t>
      </w:r>
      <w:r>
        <w:t xml:space="preserve"> </w:t>
      </w:r>
      <w:r>
        <w:t xml:space="preserve">	</w:t>
      </w:r>
      <w:r>
        <w:t xml:space="preserve">Schürch B, Conard NJ. Reassessing the cultural stratigraphy of</w:t>
      </w:r>
      <w:r>
        <w:t xml:space="preserve"> </w:t>
      </w:r>
      <w:r>
        <w:t xml:space="preserve">Vogelherd</w:t>
      </w:r>
      <w:r>
        <w:t xml:space="preserve"> </w:t>
      </w:r>
      <w:r>
        <w:t xml:space="preserve">Cave</w:t>
      </w:r>
      <w:r>
        <w:t xml:space="preserve">. Journal of Paleolithic Archaeology 2026;9.</w:t>
      </w:r>
      <w:r>
        <w:t xml:space="preserve"> </w:t>
      </w:r>
      <w:hyperlink r:id="rId70">
        <w:r>
          <w:rPr>
            <w:rStyle w:val="Hyperlink"/>
          </w:rPr>
          <w:t xml:space="preserve">https://doi.org/10.1007/s41982-025-00246-x</w:t>
        </w:r>
      </w:hyperlink>
      <w:r>
        <w:t xml:space="preserve">.</w:t>
      </w:r>
    </w:p>
    <w:bookmarkEnd w:id="71"/>
    <w:bookmarkStart w:id="73" w:name="ref-Falcucci_Peresani_2017"/>
    <w:p>
      <w:pPr>
        <w:pStyle w:val="Bibliography"/>
      </w:pPr>
      <w:r>
        <w:t xml:space="preserve">[12]</w:t>
      </w:r>
      <w:r>
        <w:t xml:space="preserve"> </w:t>
      </w:r>
      <w:r>
        <w:t xml:space="preserve">	</w:t>
      </w:r>
      <w:r>
        <w:t xml:space="preserve">Falcucci A, Conard NJ, Peresani M. A critical assessment of the</w:t>
      </w:r>
      <w:r>
        <w:t xml:space="preserve"> </w:t>
      </w:r>
      <w:r>
        <w:t xml:space="preserve">Protoaurignacian</w:t>
      </w:r>
      <w:r>
        <w:t xml:space="preserve"> </w:t>
      </w:r>
      <w:r>
        <w:t xml:space="preserve">lithic technology at</w:t>
      </w:r>
      <w:r>
        <w:t xml:space="preserve"> </w:t>
      </w:r>
      <w:r>
        <w:t xml:space="preserve">Fumane Cave</w:t>
      </w:r>
      <w:r>
        <w:t xml:space="preserve"> </w:t>
      </w:r>
      <w:r>
        <w:t xml:space="preserve">and its implications for the definition of the earliest</w:t>
      </w:r>
      <w:r>
        <w:t xml:space="preserve"> </w:t>
      </w:r>
      <w:r>
        <w:t xml:space="preserve">Aurignacian</w:t>
      </w:r>
      <w:r>
        <w:t xml:space="preserve">. PLOS ONE 2017;12:e0189241.</w:t>
      </w:r>
      <w:r>
        <w:t xml:space="preserve"> </w:t>
      </w:r>
      <w:hyperlink r:id="rId72">
        <w:r>
          <w:rPr>
            <w:rStyle w:val="Hyperlink"/>
          </w:rPr>
          <w:t xml:space="preserve">https://doi.org/10.1371/journal.pone.0189241</w:t>
        </w:r>
      </w:hyperlink>
      <w:r>
        <w:t xml:space="preserve">.</w:t>
      </w:r>
    </w:p>
    <w:bookmarkEnd w:id="73"/>
    <w:bookmarkStart w:id="75" w:name="ref-falcucci2020breaking"/>
    <w:p>
      <w:pPr>
        <w:pStyle w:val="Bibliography"/>
      </w:pPr>
      <w:r>
        <w:t xml:space="preserve">[13]</w:t>
      </w:r>
      <w:r>
        <w:t xml:space="preserve"> </w:t>
      </w:r>
      <w:r>
        <w:t xml:space="preserve">	</w:t>
      </w:r>
      <w:r>
        <w:t xml:space="preserve">Falcucci A, Conard NJ, Peresani M. Breaking through the</w:t>
      </w:r>
      <w:r>
        <w:t xml:space="preserve"> </w:t>
      </w:r>
      <w:r>
        <w:t xml:space="preserve">Aquitaine</w:t>
      </w:r>
      <w:r>
        <w:t xml:space="preserve"> </w:t>
      </w:r>
      <w:r>
        <w:t xml:space="preserve">frame: A re-evaluation on the significance of regional variants during the</w:t>
      </w:r>
      <w:r>
        <w:t xml:space="preserve"> </w:t>
      </w:r>
      <w:r>
        <w:t xml:space="preserve">Aurignacian</w:t>
      </w:r>
      <w:r>
        <w:t xml:space="preserve"> </w:t>
      </w:r>
      <w:r>
        <w:t xml:space="preserve">as seen from a key record in southern</w:t>
      </w:r>
      <w:r>
        <w:t xml:space="preserve"> </w:t>
      </w:r>
      <w:r>
        <w:t xml:space="preserve">Europe</w:t>
      </w:r>
      <w:r>
        <w:t xml:space="preserve">. Journal of Anthropological Sciences 2020;98:99–140.</w:t>
      </w:r>
      <w:r>
        <w:t xml:space="preserve"> </w:t>
      </w:r>
      <w:hyperlink r:id="rId74">
        <w:r>
          <w:rPr>
            <w:rStyle w:val="Hyperlink"/>
          </w:rPr>
          <w:t xml:space="preserve">https://doi.org/10.4436/JASS.98021</w:t>
        </w:r>
      </w:hyperlink>
      <w:r>
        <w:t xml:space="preserve">.</w:t>
      </w:r>
    </w:p>
    <w:bookmarkEnd w:id="75"/>
    <w:bookmarkStart w:id="77" w:name="ref-Barshay_Szmidt_2012"/>
    <w:p>
      <w:pPr>
        <w:pStyle w:val="Bibliography"/>
      </w:pPr>
      <w:r>
        <w:t xml:space="preserve">[14]</w:t>
      </w:r>
      <w:r>
        <w:t xml:space="preserve"> </w:t>
      </w:r>
      <w:r>
        <w:t xml:space="preserve">	</w:t>
      </w:r>
      <w:r>
        <w:t xml:space="preserve">Barshay-Szmidt CC, Eizenberg L, Deschamps M. Radiocarbon (</w:t>
      </w:r>
      <w:r>
        <w:t xml:space="preserve">AMS</w:t>
      </w:r>
      <w:r>
        <w:t xml:space="preserve">) dating the</w:t>
      </w:r>
      <w:r>
        <w:t xml:space="preserve"> </w:t>
      </w:r>
      <w:r>
        <w:t xml:space="preserve">Classic</w:t>
      </w:r>
      <w:r>
        <w:t xml:space="preserve"> </w:t>
      </w:r>
      <w:r>
        <w:t xml:space="preserve">Aurignacian</w:t>
      </w:r>
      <w:r>
        <w:t xml:space="preserve">,</w:t>
      </w:r>
      <w:r>
        <w:t xml:space="preserve"> </w:t>
      </w:r>
      <w:r>
        <w:t xml:space="preserve">Proto</w:t>
      </w:r>
      <w:r>
        <w:t xml:space="preserve">-</w:t>
      </w:r>
      <w:r>
        <w:t xml:space="preserve">Aurignacian</w:t>
      </w:r>
      <w:r>
        <w:t xml:space="preserve"> </w:t>
      </w:r>
      <w:r>
        <w:t xml:space="preserve">and</w:t>
      </w:r>
      <w:r>
        <w:t xml:space="preserve"> </w:t>
      </w:r>
      <w:r>
        <w:t xml:space="preserve">Vasconian</w:t>
      </w:r>
      <w:r>
        <w:t xml:space="preserve"> </w:t>
      </w:r>
      <w:r>
        <w:t xml:space="preserve">Mousterian</w:t>
      </w:r>
      <w:r>
        <w:t xml:space="preserve"> </w:t>
      </w:r>
      <w:r>
        <w:t xml:space="preserve">at</w:t>
      </w:r>
      <w:r>
        <w:t xml:space="preserve"> </w:t>
      </w:r>
      <w:r>
        <w:t xml:space="preserve">Gatzarria</w:t>
      </w:r>
      <w:r>
        <w:t xml:space="preserve"> </w:t>
      </w:r>
      <w:r>
        <w:t xml:space="preserve">Cave</w:t>
      </w:r>
      <w:r>
        <w:t xml:space="preserve"> </w:t>
      </w:r>
      <w:r>
        <w:t xml:space="preserve">(</w:t>
      </w:r>
      <w:r>
        <w:t xml:space="preserve">Pyr</w:t>
      </w:r>
      <w:r>
        <w:t xml:space="preserve">é</w:t>
      </w:r>
      <w:r>
        <w:t xml:space="preserve">n</w:t>
      </w:r>
      <w:r>
        <w:t xml:space="preserve">é</w:t>
      </w:r>
      <w:r>
        <w:t xml:space="preserve">es-Atlantiques</w:t>
      </w:r>
      <w:r>
        <w:t xml:space="preserve">,</w:t>
      </w:r>
      <w:r>
        <w:t xml:space="preserve"> </w:t>
      </w:r>
      <w:r>
        <w:t xml:space="preserve">France</w:t>
      </w:r>
      <w:r>
        <w:t xml:space="preserve">). Pal</w:t>
      </w:r>
      <w:r>
        <w:t xml:space="preserve">é</w:t>
      </w:r>
      <w:r>
        <w:t xml:space="preserve">o 2012;23:11–38.</w:t>
      </w:r>
      <w:r>
        <w:t xml:space="preserve"> </w:t>
      </w:r>
      <w:hyperlink r:id="rId76">
        <w:r>
          <w:rPr>
            <w:rStyle w:val="Hyperlink"/>
          </w:rPr>
          <w:t xml:space="preserve">https://doi.org/10.4000/paleo.2250</w:t>
        </w:r>
      </w:hyperlink>
      <w:r>
        <w:t xml:space="preserve">.</w:t>
      </w:r>
    </w:p>
    <w:bookmarkEnd w:id="77"/>
    <w:bookmarkStart w:id="79" w:name="ref-Oliva_2006"/>
    <w:p>
      <w:pPr>
        <w:pStyle w:val="Bibliography"/>
      </w:pPr>
      <w:r>
        <w:t xml:space="preserve">[15]</w:t>
      </w:r>
      <w:r>
        <w:t xml:space="preserve"> </w:t>
      </w:r>
      <w:r>
        <w:t xml:space="preserve">	</w:t>
      </w:r>
      <w:r>
        <w:t xml:space="preserve">Oliva M. The upper paleolithic finds from the</w:t>
      </w:r>
      <w:r>
        <w:t xml:space="preserve"> </w:t>
      </w:r>
      <w:r>
        <w:t xml:space="preserve">Mladeč</w:t>
      </w:r>
      <w:r>
        <w:t xml:space="preserve"> </w:t>
      </w:r>
      <w:r>
        <w:t xml:space="preserve">Cave</w:t>
      </w:r>
      <w:r>
        <w:t xml:space="preserve">. In: Teschler-Nicola M, editor. Early modern humans at the</w:t>
      </w:r>
      <w:r>
        <w:t xml:space="preserve"> </w:t>
      </w:r>
      <w:r>
        <w:t xml:space="preserve">Moravian</w:t>
      </w:r>
      <w:r>
        <w:t xml:space="preserve"> </w:t>
      </w:r>
      <w:r>
        <w:t xml:space="preserve">Gate</w:t>
      </w:r>
      <w:r>
        <w:t xml:space="preserve">: The</w:t>
      </w:r>
      <w:r>
        <w:t xml:space="preserve"> </w:t>
      </w:r>
      <w:r>
        <w:t xml:space="preserve">Mladeč</w:t>
      </w:r>
      <w:r>
        <w:t xml:space="preserve"> </w:t>
      </w:r>
      <w:r>
        <w:t xml:space="preserve">Caves</w:t>
      </w:r>
      <w:r>
        <w:t xml:space="preserve"> </w:t>
      </w:r>
      <w:r>
        <w:t xml:space="preserve">and their remains, Vienna: Springer; 2006, p. 41–74.</w:t>
      </w:r>
      <w:r>
        <w:t xml:space="preserve"> </w:t>
      </w:r>
      <w:hyperlink r:id="rId78">
        <w:r>
          <w:rPr>
            <w:rStyle w:val="Hyperlink"/>
          </w:rPr>
          <w:t xml:space="preserve">https://doi.org/10.1007/978-3-211-49294-9_4</w:t>
        </w:r>
      </w:hyperlink>
      <w:r>
        <w:t xml:space="preserve">.</w:t>
      </w:r>
    </w:p>
    <w:bookmarkEnd w:id="79"/>
    <w:bookmarkStart w:id="81" w:name="ref-Higham_2012"/>
    <w:p>
      <w:pPr>
        <w:pStyle w:val="Bibliography"/>
      </w:pPr>
      <w:r>
        <w:t xml:space="preserve">[16]</w:t>
      </w:r>
      <w:r>
        <w:t xml:space="preserve"> </w:t>
      </w:r>
      <w:r>
        <w:t xml:space="preserve">	</w:t>
      </w:r>
      <w:r>
        <w:t xml:space="preserve">Higham T, Basell L, Jacobi R, Wood R, Ramsey CB, Conard NJ. Testing models for the beginnings of the</w:t>
      </w:r>
      <w:r>
        <w:t xml:space="preserve"> </w:t>
      </w:r>
      <w:r>
        <w:t xml:space="preserve">Aurignacian</w:t>
      </w:r>
      <w:r>
        <w:t xml:space="preserve"> </w:t>
      </w:r>
      <w:r>
        <w:t xml:space="preserve">and the advent of figurative art and music: The radiocarbon chronology of</w:t>
      </w:r>
      <w:r>
        <w:t xml:space="preserve"> </w:t>
      </w:r>
      <w:r>
        <w:t xml:space="preserve">Gei</w:t>
      </w:r>
      <w:r>
        <w:t xml:space="preserve">ß</w:t>
      </w:r>
      <w:r>
        <w:t xml:space="preserve">enkl</w:t>
      </w:r>
      <w:r>
        <w:t xml:space="preserve">ö</w:t>
      </w:r>
      <w:r>
        <w:t xml:space="preserve">sterle</w:t>
      </w:r>
      <w:r>
        <w:t xml:space="preserve">. Journal of Human Evolution 2012;62:664–76.</w:t>
      </w:r>
      <w:r>
        <w:t xml:space="preserve"> </w:t>
      </w:r>
      <w:hyperlink r:id="rId80">
        <w:r>
          <w:rPr>
            <w:rStyle w:val="Hyperlink"/>
          </w:rPr>
          <w:t xml:space="preserve">https://doi.org/10.1016/j.jhevol.2012.03.003</w:t>
        </w:r>
      </w:hyperlink>
      <w:r>
        <w:t xml:space="preserve">.</w:t>
      </w:r>
    </w:p>
    <w:bookmarkEnd w:id="81"/>
    <w:bookmarkStart w:id="83" w:name="ref-zilhao2003aurignacian"/>
    <w:p>
      <w:pPr>
        <w:pStyle w:val="Bibliography"/>
      </w:pPr>
      <w:r>
        <w:t xml:space="preserve">[17]</w:t>
      </w:r>
      <w:r>
        <w:t xml:space="preserve"> </w:t>
      </w:r>
      <w:r>
        <w:t xml:space="preserve">	</w:t>
      </w:r>
      <w:r>
        <w:t xml:space="preserve">Zilhão J, d’Errico F. An</w:t>
      </w:r>
      <w:r>
        <w:t xml:space="preserve"> </w:t>
      </w:r>
      <w:r>
        <w:t xml:space="preserve">Aurignacian</w:t>
      </w:r>
      <w:r>
        <w:t xml:space="preserve"> </w:t>
      </w:r>
      <w:r>
        <w:t xml:space="preserve">Garden</w:t>
      </w:r>
      <w:r>
        <w:t xml:space="preserve"> </w:t>
      </w:r>
      <w:r>
        <w:t xml:space="preserve">of</w:t>
      </w:r>
      <w:r>
        <w:t xml:space="preserve"> </w:t>
      </w:r>
      <w:r>
        <w:t xml:space="preserve">Eden</w:t>
      </w:r>
      <w:r>
        <w:t xml:space="preserve"> </w:t>
      </w:r>
      <w:r>
        <w:t xml:space="preserve">in southern</w:t>
      </w:r>
      <w:r>
        <w:t xml:space="preserve"> </w:t>
      </w:r>
      <w:r>
        <w:t xml:space="preserve">Germany</w:t>
      </w:r>
      <w:r>
        <w:t xml:space="preserve">? An alternative interpretation of the</w:t>
      </w:r>
      <w:r>
        <w:t xml:space="preserve"> </w:t>
      </w:r>
      <w:r>
        <w:t xml:space="preserve">Geissenkl</w:t>
      </w:r>
      <w:r>
        <w:t xml:space="preserve">ö</w:t>
      </w:r>
      <w:r>
        <w:t xml:space="preserve">sterle</w:t>
      </w:r>
      <w:r>
        <w:t xml:space="preserve"> </w:t>
      </w:r>
      <w:r>
        <w:t xml:space="preserve">sequence and a critique of the</w:t>
      </w:r>
      <w:r>
        <w:t xml:space="preserve"> </w:t>
      </w:r>
      <w:r>
        <w:t xml:space="preserve">Kulturpumpe</w:t>
      </w:r>
      <w:r>
        <w:t xml:space="preserve"> </w:t>
      </w:r>
      <w:r>
        <w:t xml:space="preserve">model. PALEO Revue d’arch</w:t>
      </w:r>
      <w:r>
        <w:t xml:space="preserve">é</w:t>
      </w:r>
      <w:r>
        <w:t xml:space="preserve">ologie Pr</w:t>
      </w:r>
      <w:r>
        <w:t xml:space="preserve">é</w:t>
      </w:r>
      <w:r>
        <w:t xml:space="preserve">historique 2003:69–86.</w:t>
      </w:r>
      <w:r>
        <w:t xml:space="preserve"> </w:t>
      </w:r>
      <w:hyperlink r:id="rId82">
        <w:r>
          <w:rPr>
            <w:rStyle w:val="Hyperlink"/>
          </w:rPr>
          <w:t xml:space="preserve">https://doi.org/10.4000/paleo.1231</w:t>
        </w:r>
      </w:hyperlink>
      <w:r>
        <w:t xml:space="preserve">.</w:t>
      </w:r>
    </w:p>
    <w:bookmarkEnd w:id="83"/>
    <w:bookmarkStart w:id="85" w:name="ref-Schurch_et_al_2025_bladelet"/>
    <w:p>
      <w:pPr>
        <w:pStyle w:val="Bibliography"/>
      </w:pPr>
      <w:r>
        <w:t xml:space="preserve">[18]</w:t>
      </w:r>
      <w:r>
        <w:t xml:space="preserve"> </w:t>
      </w:r>
      <w:r>
        <w:t xml:space="preserve">	</w:t>
      </w:r>
      <w:r>
        <w:t xml:space="preserve">Schürch B, Schray S, Conard NJ. Reconstructing flexible pathways of</w:t>
      </w:r>
      <w:r>
        <w:t xml:space="preserve"> </w:t>
      </w:r>
      <w:r>
        <w:t xml:space="preserve">Aurignacian</w:t>
      </w:r>
      <w:r>
        <w:t xml:space="preserve"> </w:t>
      </w:r>
      <w:r>
        <w:t xml:space="preserve">blade and bladelet production at</w:t>
      </w:r>
      <w:r>
        <w:t xml:space="preserve"> </w:t>
      </w:r>
      <w:r>
        <w:t xml:space="preserve">Vogelherd</w:t>
      </w:r>
      <w:r>
        <w:t xml:space="preserve">. PLOS ONE 2025;20:e0331921.</w:t>
      </w:r>
      <w:r>
        <w:t xml:space="preserve"> </w:t>
      </w:r>
      <w:hyperlink r:id="rId84">
        <w:r>
          <w:rPr>
            <w:rStyle w:val="Hyperlink"/>
          </w:rPr>
          <w:t xml:space="preserve">https://doi.org/10.1371/journal.pone.0331921</w:t>
        </w:r>
      </w:hyperlink>
      <w:r>
        <w:t xml:space="preserve">.</w:t>
      </w:r>
    </w:p>
    <w:bookmarkEnd w:id="85"/>
    <w:bookmarkStart w:id="87" w:name="ref-Semal_2009"/>
    <w:p>
      <w:pPr>
        <w:pStyle w:val="Bibliography"/>
      </w:pPr>
      <w:r>
        <w:t xml:space="preserve">[19]</w:t>
      </w:r>
      <w:r>
        <w:t xml:space="preserve"> </w:t>
      </w:r>
      <w:r>
        <w:t xml:space="preserve">	</w:t>
      </w:r>
      <w:r>
        <w:t xml:space="preserve">Semal P, Rougier H, Crevecoeur I, Jungels C, Flas D, Hauzeur A, et al. New data on the late</w:t>
      </w:r>
      <w:r>
        <w:t xml:space="preserve"> </w:t>
      </w:r>
      <w:r>
        <w:t xml:space="preserve">Neandertals</w:t>
      </w:r>
      <w:r>
        <w:t xml:space="preserve">: Direct dating of the</w:t>
      </w:r>
      <w:r>
        <w:t xml:space="preserve"> </w:t>
      </w:r>
      <w:r>
        <w:t xml:space="preserve">Belgian</w:t>
      </w:r>
      <w:r>
        <w:t xml:space="preserve"> </w:t>
      </w:r>
      <w:r>
        <w:t xml:space="preserve">Spy</w:t>
      </w:r>
      <w:r>
        <w:t xml:space="preserve"> </w:t>
      </w:r>
      <w:r>
        <w:t xml:space="preserve">fossils. American Journal of Physical Anthropology 2009;138:421–8.</w:t>
      </w:r>
      <w:r>
        <w:t xml:space="preserve"> </w:t>
      </w:r>
      <w:hyperlink r:id="rId86">
        <w:r>
          <w:rPr>
            <w:rStyle w:val="Hyperlink"/>
          </w:rPr>
          <w:t xml:space="preserve">https://doi.org/10.1002/ajpa.20954</w:t>
        </w:r>
      </w:hyperlink>
      <w:r>
        <w:t xml:space="preserve">.</w:t>
      </w:r>
    </w:p>
    <w:bookmarkEnd w:id="87"/>
    <w:bookmarkStart w:id="89" w:name="ref-Deschamps_2019"/>
    <w:p>
      <w:pPr>
        <w:pStyle w:val="Bibliography"/>
      </w:pPr>
      <w:r>
        <w:t xml:space="preserve">[20]</w:t>
      </w:r>
      <w:r>
        <w:t xml:space="preserve"> </w:t>
      </w:r>
      <w:r>
        <w:t xml:space="preserve">	</w:t>
      </w:r>
      <w:r>
        <w:t xml:space="preserve">Deschamps M. Identification of</w:t>
      </w:r>
      <w:r>
        <w:t xml:space="preserve"> </w:t>
      </w:r>
      <w:r>
        <w:t xml:space="preserve">Quina</w:t>
      </w:r>
      <w:r>
        <w:t xml:space="preserve"> </w:t>
      </w:r>
      <w:r>
        <w:t xml:space="preserve">and</w:t>
      </w:r>
      <w:r>
        <w:t xml:space="preserve"> </w:t>
      </w:r>
      <w:r>
        <w:t xml:space="preserve">Vasconian</w:t>
      </w:r>
      <w:r>
        <w:t xml:space="preserve"> </w:t>
      </w:r>
      <w:r>
        <w:t xml:space="preserve">technocomplexes in</w:t>
      </w:r>
      <w:r>
        <w:t xml:space="preserve"> </w:t>
      </w:r>
      <w:r>
        <w:t xml:space="preserve">Gatzarria</w:t>
      </w:r>
      <w:r>
        <w:t xml:space="preserve"> </w:t>
      </w:r>
      <w:r>
        <w:t xml:space="preserve">Cave</w:t>
      </w:r>
      <w:r>
        <w:t xml:space="preserve"> </w:t>
      </w:r>
      <w:r>
        <w:t xml:space="preserve">(north-western</w:t>
      </w:r>
      <w:r>
        <w:t xml:space="preserve"> </w:t>
      </w:r>
      <w:r>
        <w:t xml:space="preserve">Pyrenees</w:t>
      </w:r>
      <w:r>
        <w:t xml:space="preserve">), based on the stratigraphic, taphonomic and technological revision of the</w:t>
      </w:r>
      <w:r>
        <w:t xml:space="preserve"> </w:t>
      </w:r>
      <w:r>
        <w:t xml:space="preserve">Georges Laplace</w:t>
      </w:r>
      <w:r>
        <w:t xml:space="preserve"> </w:t>
      </w:r>
      <w:r>
        <w:t xml:space="preserve">collections. Comptes Rendus Palevol 2019;18:569–86.</w:t>
      </w:r>
      <w:r>
        <w:t xml:space="preserve"> </w:t>
      </w:r>
      <w:hyperlink r:id="rId88">
        <w:r>
          <w:rPr>
            <w:rStyle w:val="Hyperlink"/>
          </w:rPr>
          <w:t xml:space="preserve">https://doi.org/10.1016/j.crpv.2019.04.001</w:t>
        </w:r>
      </w:hyperlink>
      <w:r>
        <w:t xml:space="preserve">.</w:t>
      </w:r>
    </w:p>
    <w:bookmarkEnd w:id="89"/>
    <w:bookmarkEnd w:id="90"/>
    <w:bookmarkEnd w:id="91"/>
    <w:sectPr w:rsidR="00BB20FA" w:rsidSect="004E2847">
      <w:footnotePr>
        <w:numRestart w:val="eachSect"/>
      </w:footnotePr>
      <w:pgSz w:h="15840" w:w="12240"/>
      <w:pgMar w:bottom="1440" w:footer="720" w:gutter="0" w:header="720" w:left="1440" w:right="1440" w:top="1440"/>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BFD048D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E4B22674"/>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57734625" w:numId="1">
    <w:abstractNumId w:val="0"/>
  </w:num>
  <w:num w16cid:durableId="488792786" w:numId="2">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31"/>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9A0D53"/>
    <w:pPr>
      <w:keepNext/>
      <w:keepLines/>
      <w:pageBreakBefore/>
      <w:spacing w:after="40" w:before="80" w:line="20" w:lineRule="exact"/>
      <w:outlineLvl w:val="4"/>
    </w:pPr>
    <w:rPr>
      <w:rFonts w:cstheme="majorBidi" w:eastAsiaTheme="majorEastAsia"/>
      <w:color w:themeColor="background1" w:val="FFFFFF"/>
      <w:sz w:val="1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rsid w:val="008A21D1"/>
    <w:pPr>
      <w:spacing w:after="36" w:before="36"/>
    </w:pPr>
    <w:rPr>
      <w:rFonts w:ascii="Arial" w:hAnsi="Arial"/>
      <w:sz w:val="16"/>
    </w:r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9A0D53"/>
    <w:rPr>
      <w:rFonts w:cstheme="majorBidi" w:eastAsiaTheme="majorEastAsia"/>
      <w:color w:themeColor="background1" w:val="FFFFFF"/>
      <w:sz w:val="1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A87B81"/>
    <w:rPr>
      <w:rFonts w:ascii="Arial" w:hAnsi="Arial"/>
      <w:sz w:val="16"/>
      <w:szCs w:val="20"/>
      <w:lang w:eastAsia="en-US"/>
    </w:rPr>
    <w:tblPr>
      <w:tblInd w:type="dxa" w:w="0"/>
      <w:tblBorders>
        <w:top w:color="auto" w:space="0" w:sz="4" w:val="single"/>
        <w:bottom w:color="auto" w:space="0" w:sz="4" w:val="single"/>
      </w:tblBorders>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4E28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6" Target="https://doi.org/10.1002/ajpa.20954" TargetMode="External" /><Relationship Type="http://schemas.openxmlformats.org/officeDocument/2006/relationships/hyperlink" Id="rId55" Target="https://doi.org/10.1002/jqs.3236" TargetMode="External" /><Relationship Type="http://schemas.openxmlformats.org/officeDocument/2006/relationships/hyperlink" Id="rId78" Target="https://doi.org/10.1007/978-3-211-49294-9_4" TargetMode="External" /><Relationship Type="http://schemas.openxmlformats.org/officeDocument/2006/relationships/hyperlink" Id="rId70" Target="https://doi.org/10.1007/s41982-025-00246-x" TargetMode="External" /><Relationship Type="http://schemas.openxmlformats.org/officeDocument/2006/relationships/hyperlink" Id="rId88" Target="https://doi.org/10.1016/j.crpv.2019.04.001" TargetMode="External" /><Relationship Type="http://schemas.openxmlformats.org/officeDocument/2006/relationships/hyperlink" Id="rId53" Target="https://doi.org/10.1016/j.jhevol.2011.06.005" TargetMode="External" /><Relationship Type="http://schemas.openxmlformats.org/officeDocument/2006/relationships/hyperlink" Id="rId80" Target="https://doi.org/10.1016/j.jhevol.2012.03.003" TargetMode="External" /><Relationship Type="http://schemas.openxmlformats.org/officeDocument/2006/relationships/hyperlink" Id="rId68" Target="https://doi.org/10.1016/j.quaint.2016.03.005" TargetMode="External" /><Relationship Type="http://schemas.openxmlformats.org/officeDocument/2006/relationships/hyperlink" Id="rId63" Target="https://doi.org/10.1017/ppr.2019.11" TargetMode="External" /><Relationship Type="http://schemas.openxmlformats.org/officeDocument/2006/relationships/hyperlink" Id="rId57" Target="https://doi.org/10.1038/nature03585" TargetMode="External" /><Relationship Type="http://schemas.openxmlformats.org/officeDocument/2006/relationships/hyperlink" Id="rId72" Target="https://doi.org/10.1371/journal.pone.0189241" TargetMode="External" /><Relationship Type="http://schemas.openxmlformats.org/officeDocument/2006/relationships/hyperlink" Id="rId59" Target="https://doi.org/10.1371/journal.pone.0194097" TargetMode="External" /><Relationship Type="http://schemas.openxmlformats.org/officeDocument/2006/relationships/hyperlink" Id="rId84" Target="https://doi.org/10.1371/journal.pone.0331921" TargetMode="External" /><Relationship Type="http://schemas.openxmlformats.org/officeDocument/2006/relationships/hyperlink" Id="rId51" Target="https://doi.org/10.30861/9781841718309" TargetMode="External" /><Relationship Type="http://schemas.openxmlformats.org/officeDocument/2006/relationships/hyperlink" Id="rId82" Target="https://doi.org/10.4000/paleo.1231" TargetMode="External" /><Relationship Type="http://schemas.openxmlformats.org/officeDocument/2006/relationships/hyperlink" Id="rId76" Target="https://doi.org/10.4000/paleo.2250" TargetMode="External" /><Relationship Type="http://schemas.openxmlformats.org/officeDocument/2006/relationships/hyperlink" Id="rId66" Target="https://doi.org/10.4000/palethnologie.736" TargetMode="External" /><Relationship Type="http://schemas.openxmlformats.org/officeDocument/2006/relationships/hyperlink" Id="rId74" Target="https://doi.org/10.4436/JASS.98021" TargetMode="External" /><Relationship Type="http://schemas.openxmlformats.org/officeDocument/2006/relationships/hyperlink" Id="rId61" Target="https://doi.org/10.7485/QU65_1" TargetMode="External" /><Relationship Type="http://schemas.openxmlformats.org/officeDocument/2006/relationships/hyperlink" Id="rId20" Target="mailto:bmarwick@uw.edu" TargetMode="External" /></Relationships>
</file>

<file path=word/_rels/footnotes.xml.rels><?xml version="1.0" encoding="UTF-8"?><Relationships xmlns="http://schemas.openxmlformats.org/package/2006/relationships"><Relationship Type="http://schemas.openxmlformats.org/officeDocument/2006/relationships/hyperlink" Id="rId86" Target="https://doi.org/10.1002/ajpa.20954" TargetMode="External" /><Relationship Type="http://schemas.openxmlformats.org/officeDocument/2006/relationships/hyperlink" Id="rId55" Target="https://doi.org/10.1002/jqs.3236" TargetMode="External" /><Relationship Type="http://schemas.openxmlformats.org/officeDocument/2006/relationships/hyperlink" Id="rId78" Target="https://doi.org/10.1007/978-3-211-49294-9_4" TargetMode="External" /><Relationship Type="http://schemas.openxmlformats.org/officeDocument/2006/relationships/hyperlink" Id="rId70" Target="https://doi.org/10.1007/s41982-025-00246-x" TargetMode="External" /><Relationship Type="http://schemas.openxmlformats.org/officeDocument/2006/relationships/hyperlink" Id="rId88" Target="https://doi.org/10.1016/j.crpv.2019.04.001" TargetMode="External" /><Relationship Type="http://schemas.openxmlformats.org/officeDocument/2006/relationships/hyperlink" Id="rId53" Target="https://doi.org/10.1016/j.jhevol.2011.06.005" TargetMode="External" /><Relationship Type="http://schemas.openxmlformats.org/officeDocument/2006/relationships/hyperlink" Id="rId80" Target="https://doi.org/10.1016/j.jhevol.2012.03.003" TargetMode="External" /><Relationship Type="http://schemas.openxmlformats.org/officeDocument/2006/relationships/hyperlink" Id="rId68" Target="https://doi.org/10.1016/j.quaint.2016.03.005" TargetMode="External" /><Relationship Type="http://schemas.openxmlformats.org/officeDocument/2006/relationships/hyperlink" Id="rId63" Target="https://doi.org/10.1017/ppr.2019.11" TargetMode="External" /><Relationship Type="http://schemas.openxmlformats.org/officeDocument/2006/relationships/hyperlink" Id="rId57" Target="https://doi.org/10.1038/nature03585" TargetMode="External" /><Relationship Type="http://schemas.openxmlformats.org/officeDocument/2006/relationships/hyperlink" Id="rId72" Target="https://doi.org/10.1371/journal.pone.0189241" TargetMode="External" /><Relationship Type="http://schemas.openxmlformats.org/officeDocument/2006/relationships/hyperlink" Id="rId59" Target="https://doi.org/10.1371/journal.pone.0194097" TargetMode="External" /><Relationship Type="http://schemas.openxmlformats.org/officeDocument/2006/relationships/hyperlink" Id="rId84" Target="https://doi.org/10.1371/journal.pone.0331921" TargetMode="External" /><Relationship Type="http://schemas.openxmlformats.org/officeDocument/2006/relationships/hyperlink" Id="rId51" Target="https://doi.org/10.30861/9781841718309" TargetMode="External" /><Relationship Type="http://schemas.openxmlformats.org/officeDocument/2006/relationships/hyperlink" Id="rId82" Target="https://doi.org/10.4000/paleo.1231" TargetMode="External" /><Relationship Type="http://schemas.openxmlformats.org/officeDocument/2006/relationships/hyperlink" Id="rId76" Target="https://doi.org/10.4000/paleo.2250" TargetMode="External" /><Relationship Type="http://schemas.openxmlformats.org/officeDocument/2006/relationships/hyperlink" Id="rId66" Target="https://doi.org/10.4000/palethnologie.736" TargetMode="External" /><Relationship Type="http://schemas.openxmlformats.org/officeDocument/2006/relationships/hyperlink" Id="rId74" Target="https://doi.org/10.4436/JASS.98021" TargetMode="External" /><Relationship Type="http://schemas.openxmlformats.org/officeDocument/2006/relationships/hyperlink" Id="rId61" Target="https://doi.org/10.7485/QU65_1" TargetMode="External" /><Relationship Type="http://schemas.openxmlformats.org/officeDocument/2006/relationships/hyperlink" Id="rId20" Target="mailto:bmarwick@uw.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203</Words>
  <Characters>1161</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Site Phase Assignments</dc:title>
  <dc:creator>Sophie Cooper1, Aleah Rosner1, Eva Oryn1, Kenneth B. Vernon2, and Ben Marwick1,✉</dc:creator>
  <cp:keywords/>
  <dcterms:created xsi:type="dcterms:W3CDTF">2026-10-16T18:38:02Z</dcterms:created>
  <dcterms:modified xsi:type="dcterms:W3CDTF">2026-10-16T18:38:02Z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crossref">
    <vt:lpwstr/>
  </property>
  <property fmtid="{D5CDD505-2E9C-101B-9397-08002B2CF9AE}" pid="7" name="csl">
    <vt:lpwstr>../templates/elsevier-vancouver.csl</vt:lpwstr>
  </property>
  <property fmtid="{D5CDD505-2E9C-101B-9397-08002B2CF9AE}" pid="8" name="date">
    <vt:lpwstr>October 16, 2026</vt:lpwstr>
  </property>
  <property fmtid="{D5CDD505-2E9C-101B-9397-08002B2CF9AE}" pid="9" name="date-format">
    <vt:lpwstr>long</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institutes">
    <vt:lpwstr/>
  </property>
  <property fmtid="{D5CDD505-2E9C-101B-9397-08002B2CF9AE}" pid="15" name="labels">
    <vt:lpwstr/>
  </property>
  <property fmtid="{D5CDD505-2E9C-101B-9397-08002B2CF9AE}" pid="16" name="subtitle">
    <vt:lpwstr>Geometric signs reveal a continuum rather than discrete cultural groups in the Aurignacian</vt:lpwstr>
  </property>
  <property fmtid="{D5CDD505-2E9C-101B-9397-08002B2CF9AE}" pid="17" name="supplement-number">
    <vt:lpwstr>2</vt:lpwstr>
  </property>
  <property fmtid="{D5CDD505-2E9C-101B-9397-08002B2CF9AE}" pid="18" name="title-block-published">
    <vt:lpwstr>Last updated</vt:lpwstr>
  </property>
  <property fmtid="{D5CDD505-2E9C-101B-9397-08002B2CF9AE}" pid="19" name="toc-title">
    <vt:lpwstr>Table of contents</vt:lpwstr>
  </property>
</Properties>
</file>