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7,</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hypothesize a two-group structure of restricted versus broad geometric-sign repertoires. Stochastic block modelling recovers the restricted/broad split as its two largest blocks in Aur-P1, while selecting a single block in Aur-P2; but the richness gap between the groups is not distinguishable from a group difference once the saturating richness–effort relationship is modelled. Despite differences in network size between phases, permutation tests show no evidence for meaningful differences in overall connectivity, community structure, or centrality patterns.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We find no statistically significant evidence in the SignBase sample for discrete geographically structured groups of Aurignacian geometric signs analogous to those claimed for personal ornaments.</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robust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but nominally statistically significant correlation (R = 0.062, p = 0.004).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§S1.8.3):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and sign type distribution (R = 0.151, p = 0.071), supporting our decision to use presence/absence data.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§S1.7.5).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§S1.8.2). This reveals no candidate is significant, so the null Mantel does not identify any specific alternative process. A Mantel correlogram likewise did not detect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It detects a weak linear geographic trend in Aur-P1 (R² = 0.156, adjusted R² = 0.057, p = 0.038) but no signal in Aur-P2 (R² = 0.191, adjusted R² = -0.078, p = 0.85). The Aur-P1 trend explains only about six percent of the adjusted variation, so it qualifies rather than overturns the Mantel null: at most a faint geographic gradient is distinguishable,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c>
                <w:tcPr/>
                <w:p>
                  <w:pPr>
                    <w:pStyle w:val="Compact"/>
                    <w:jc w:val="left"/>
                    <w:jc w:val="center"/>
                  </w:pPr>
                  <w:r>
                    <w:t xml:space="preserve">Mantel 95% CI</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c>
                <w:tcPr/>
                <w:p>
                  <w:pPr>
                    <w:pStyle w:val="Compact"/>
                    <w:jc w:val="left"/>
                    <w:jc w:val="center"/>
                  </w:pPr>
                  <w:r>
                    <w:t xml:space="preserve">[-0.022, 0.086]</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c>
                <w:tcPr/>
                <w:p>
                  <w:pPr>
                    <w:pStyle w:val="Compact"/>
                    <w:jc w:val="left"/>
                    <w:jc w:val="center"/>
                  </w:pPr>
                  <w:r>
                    <w:t xml:space="preserve">[-0.355, -0.231]</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§S1.2 and §S1.3).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w:t>
      </w:r>
      <w:r>
        <w:t xml:space="preserve"> </w:t>
      </w:r>
      <w:r>
        <w:t xml:space="preserve">“</w:t>
      </w:r>
      <w:r>
        <w:t xml:space="preserve">Sensitivity Analyses</w:t>
      </w:r>
      <w:r>
        <w:t xml:space="preserve">”</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evaluate the two-group hypothesis inferred from the seriation analysis, we used bootstrap resampling and stochastic block models, which we describe in detail in S1.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which is a signal that both groups are internally coherent and sharply separated. The strength of this signal is much lower for Aur-P2, where the pattern is 0.49 within the restricted block and 0.92 within the broader block, against 0.4 across the blocks. The stochastic block model analysis, which tests whether the proposed groups emerge as latent network communities without being supplied to the model in advance, shows that all three emission models select more than two blocks as optimal in Aur-P1: Bernoulli K = 3 (ICL = -110.1), Gaussian K = 4 (ICL = 73.5), Poisson K = 3 (ICL = -263.3). In each model the restricted/broad split is recovered as the two largest blocks; Bernoulli and Gaussian additionally isolate Labeko Koba, Les Cottés, and Trou al’Wesse as a small third block, while under Poisson the same two broad sites pair off and Grotte du Renne joins the large mixed block (S1 §S1.9.3). In Aur-P2 the Bernoulli and Poisson models select a single block and only the Gaussian model selects two blocks, by a marginal 0.9 ICL points. We therefore consider the restricted/broad division as a dominant axis of sign type composition variation (rich vs. poor sign repertoires) with a stable small-block refinement in Aur-P1, rather than an exact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 randomization,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A separate null-benchmarked modularity test (S1) shows that Aur-P1’s observed modularity (0.336 at threshold 0.2) significantly exceeds the random expectation (p = 0.000), while Aur-P2’s observed modularity (0.161) does not (p = 0.078), consistent with Aur-P2’s small sample size. The Aur-P1–Aur-P2 contrast is therefore primarily one of network scale rather than a statistically distinguishable community structure. Object-within-site bootstrap stability bands likewise overlap between phases for both mean degree and modularity (S1),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w:t>
      </w:r>
      <w:r>
        <w:t xml:space="preserve"> </w:t>
      </w:r>
      <w:r>
        <w:t xml:space="preserve">“</w:t>
      </w:r>
      <w:r>
        <w:t xml:space="preserve">Sensitivity Analyses</w:t>
      </w:r>
      <w:r>
        <w:t xml:space="preserve">”</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perhaps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 Partitions Around Medoids on geodesic distances between sites finds two groups as a parsimonious grouping for Aur-P1 only (S1</w:t>
      </w:r>
      <w:r>
        <w:t xml:space="preserve"> </w:t>
      </w:r>
      <w:r>
        <w:t xml:space="preserve">“</w:t>
      </w:r>
      <w:r>
        <w:t xml:space="preserve">Sensitivity Analyses</w:t>
      </w:r>
      <w:r>
        <w:t xml:space="preserve">”</w:t>
      </w:r>
      <w:r>
        <w:t xml:space="preserve">). These two groups are roughly West versus Central Europe, separating the Dordogne bloc tradition from the Swabian ivory tradition, and likely reflective research effort history rather than past cultural groups.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1900"/>
              <w:gridCol w:w="1372"/>
              <w:gridCol w:w="1267"/>
              <w:gridCol w:w="1267"/>
              <w:gridCol w:w="2112"/>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c>
                <w:tcPr/>
                <w:p>
                  <w:pPr>
                    <w:pStyle w:val="Compact"/>
                    <w:jc w:val="left"/>
                    <w:jc w:val="center"/>
                  </w:pPr>
                  <w:r>
                    <w:t xml:space="preserve">PerMANOVA R2 95% CI</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c>
                <w:tcPr/>
                <w:p>
                  <w:pPr>
                    <w:pStyle w:val="Compact"/>
                    <w:jc w:val="left"/>
                    <w:jc w:val="center"/>
                  </w:pPr>
                  <w:r>
                    <w:t xml:space="preserve">[0.145, 0.206]</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c>
                <w:tcPr/>
                <w:p>
                  <w:pPr>
                    <w:pStyle w:val="Compact"/>
                    <w:jc w:val="left"/>
                    <w:jc w:val="center"/>
                  </w:pPr>
                  <w:r>
                    <w:t xml:space="preserve">[0.132, 0.229]</w:t>
                  </w:r>
                </w:p>
              </w:tc>
            </w:tr>
          </w:tbl>
          <w:p>
            <w:pPr>
              <w:jc w:val="center"/>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However, this separation vanishes under Simpson turnover dissimilarity (which removes the nestedness/richness component), indicating the Jaccard signal comes from the nestedness component—rich versus poor repertoires—rather than by compositional turnover between the groups (S1). Beta dispersion analysis did not detect a significant difference in within-group dispersion in either phase; this does not establish equal dispersions, so the PerMANOVA results should be interpreted cautiously. Leave-one-out classification indicates that the labels vary smoothly across the Jaccard composition space rather than independently confirming a discrete partition, and the fixed-fixed Curveball test does not show that the optimised split exceeds richness-preserving expectations.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Communities differ mainly in the frequency of the most widespread sign types, with no type exclusive to one community, which favours graded repertoires over discrete provinces (S1).</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indicating the Aur-P1–Aur-P2 contrast is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Sampling effort is a major qualification on this social structure interpretation: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Among the subset of sites that attain comparable coverage, broad-range sites remain richer, and a negative-binomial model with an estimated exponent finds the group contrast persists at equal object count (rate ratio = 2.31, p = 0.003; S1). However, this estimate is imprecise because the sample is small and group membership is strongly collinear with object count, and a negative-binomial model with a fixed exponent (offset) shows no effect (rate ratio = 0.72, p = 0.292). At the phase level, the Jaccard separation is not greater than expected under a fixed-margin null preserving site richness and sign-type frequencies, and no separation remains on Simpson turnover, which removes the nestedness component of Jaccard (S1).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§S1.4.3).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(as a possible indicator of aggregation) showed a weak, non-significant trends with network degree after Benjamini‑Hochberg correction (ρ = -0.35, p = 0.095). However, because this trend is not significant, it is not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broad-restricted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have protocuneiform-like information density, suggesting notational function, or</w:t>
      </w:r>
      <w:r>
        <w:t xml:space="preserve"> </w:t>
      </w:r>
      <w:r>
        <w:t xml:space="preserve">[107]</w:t>
      </w:r>
      <w:r>
        <w:t xml:space="preserve">’s claim that some signs record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visually evident in seriation and supported by bootstrap co-clustering. A negative-binomial regression shows broad-range sites with higher richness at equal object count. With the exponent fixed at 1, the difference is not statistically significant, but 1 lies outside the estimated interval and the free-slope estimate remains imprecise because group tracks object count. Stochastic block models select three (Bernoulli and Poisson) or four blocks (Gaussian) as optimal in Aur-P1, recovering the restricted/broad split as their two largest blocks with a stable small-block refinement (Labeko Koba, Les Cottés, Trou al’Wesse under Bernoulli and Gaussian; S1), while in Aur-P2 the Bernoulli and Poisson models select a single block and only the Gaussian model selects two blocks by a marginal 0.9 ICL points. Cross-validation (leave-one-out, object-half holdout, gradient PerMANOVA) recovers the axis, yet the maximally-selected split test under a fixed-fixed (Curveball) null is not significant in either phase (Aur-P1 p = 0.106; Aur-P2 p = 0.984).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However, bootstrap confidence intervals (S1) show the tests are underpowered, so these are null results reflecting limited power, not evidence of geographic irrelevance.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fucntions (notation, calendrical recording, information storage) remains speculative and untested</w:t>
      </w:r>
      <w:r>
        <w:t xml:space="preserve"> </w:t>
      </w:r>
      <w:r>
        <w:t xml:space="preserve">[106–111]</w:t>
      </w:r>
      <w:r>
        <w:t xml:space="preserve">.</w:t>
      </w:r>
    </w:p>
    <w:p>
      <w:pPr>
        <w:pStyle w:val="BodyText"/>
      </w:pPr>
      <w:r>
        <w:t xml:space="preserve">Our study has three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Date parsing itself removes assemblages whose reported dates lack uncertainties, including a large assemblage that would otherwise fall late, so the small Aur-P2 sample partly reflects dating-quality filtering rather than only archaeology (S1). Alternative calibrations move a few boundary sites between phases without changing the phase ordering (S1).</w:t>
      </w:r>
    </w:p>
    <w:bookmarkEnd w:id="61"/>
    <w:bookmarkStart w:id="307" w:name="references"/>
    <w:p>
      <w:pPr>
        <w:pStyle w:val="Heading1"/>
      </w:pPr>
      <w:r>
        <w:t xml:space="preserve">References</w:t>
      </w:r>
    </w:p>
    <w:bookmarkStart w:id="306"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w:t>
      </w:r>
      <w:r>
        <w:t xml:space="preserve"> </w:t>
      </w:r>
      <w:hyperlink r:id="rId112">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https://doi.org/10.1890/0012-9615(1999)069[0001:DBRDAO]2.0.CO;2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w:t>
      </w:r>
      <w:r>
        <w:t xml:space="preserve"> </w:t>
      </w:r>
      <w:hyperlink r:id="rId134">
        <w:r>
          <w:rPr>
            <w:rStyle w:val="Hyperlink"/>
          </w:rPr>
          <w:t xml:space="preserve">Statnet: Software tools for the statistical analysis of network data</w:t>
        </w:r>
      </w:hyperlink>
      <w:r>
        <w:t xml:space="preserve"> </w:t>
      </w:r>
      <w:r>
        <w:t xml:space="preserve">2019.</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8"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88"/>
    <w:bookmarkStart w:id="190"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89">
        <w:r>
          <w:rPr>
            <w:rStyle w:val="Hyperlink"/>
          </w:rPr>
          <w:t xml:space="preserve">https://doi.org/10.2307/j.ctvdmwwz4.7</w:t>
        </w:r>
      </w:hyperlink>
      <w:r>
        <w:t xml:space="preserve">.</w:t>
      </w:r>
    </w:p>
    <w:bookmarkEnd w:id="190"/>
    <w:bookmarkStart w:id="192"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1">
        <w:r>
          <w:rPr>
            <w:rStyle w:val="Hyperlink"/>
          </w:rPr>
          <w:t xml:space="preserve">https://doi.org/10.2307/j.ctvdmwwz4.10</w:t>
        </w:r>
      </w:hyperlink>
      <w:r>
        <w:t xml:space="preserve">.</w:t>
      </w:r>
    </w:p>
    <w:bookmarkEnd w:id="192"/>
    <w:bookmarkStart w:id="194"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3">
        <w:r>
          <w:rPr>
            <w:rStyle w:val="Hyperlink"/>
          </w:rPr>
          <w:t xml:space="preserve">https://doi.org/10.1098/rstb.2020.0318</w:t>
        </w:r>
      </w:hyperlink>
      <w:r>
        <w:t xml:space="preserve">.</w:t>
      </w:r>
    </w:p>
    <w:bookmarkEnd w:id="194"/>
    <w:bookmarkStart w:id="196"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5">
        <w:r>
          <w:rPr>
            <w:rStyle w:val="Hyperlink"/>
          </w:rPr>
          <w:t xml:space="preserve">https://doi.org/10.1111/tops.12762</w:t>
        </w:r>
      </w:hyperlink>
      <w:r>
        <w:t xml:space="preserve">.</w:t>
      </w:r>
    </w:p>
    <w:bookmarkEnd w:id="196"/>
    <w:bookmarkStart w:id="198"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7">
        <w:r>
          <w:rPr>
            <w:rStyle w:val="Hyperlink"/>
          </w:rPr>
          <w:t xml:space="preserve">https://doi.org/10.3213/2191-5784-10243</w:t>
        </w:r>
      </w:hyperlink>
      <w:r>
        <w:t xml:space="preserve">.</w:t>
      </w:r>
    </w:p>
    <w:bookmarkEnd w:id="198"/>
    <w:bookmarkStart w:id="200" w:name="ref-Newlander_2012"/>
    <w:p>
      <w:pPr>
        <w:pStyle w:val="Bibliography"/>
      </w:pPr>
      <w:r>
        <w:t xml:space="preserve">[73]</w:t>
      </w:r>
      <w:r>
        <w:t xml:space="preserve"> </w:t>
      </w:r>
      <w:r>
        <w:t xml:space="preserve">	</w:t>
      </w:r>
      <w:r>
        <w:t xml:space="preserve">Newlander KS.</w:t>
      </w:r>
      <w:r>
        <w:t xml:space="preserve"> </w:t>
      </w:r>
      <w:hyperlink r:id="rId199">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0"/>
    <w:bookmarkStart w:id="202"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1">
        <w:r>
          <w:rPr>
            <w:rStyle w:val="Hyperlink"/>
          </w:rPr>
          <w:t xml:space="preserve">https://doi.org/10.1371/journal.pone.0265329</w:t>
        </w:r>
      </w:hyperlink>
      <w:r>
        <w:t xml:space="preserve">.</w:t>
      </w:r>
    </w:p>
    <w:bookmarkEnd w:id="202"/>
    <w:bookmarkStart w:id="204"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3">
        <w:r>
          <w:rPr>
            <w:rStyle w:val="Hyperlink"/>
          </w:rPr>
          <w:t xml:space="preserve">https://doi.org/10.1086/202540</w:t>
        </w:r>
      </w:hyperlink>
      <w:r>
        <w:t xml:space="preserve">.</w:t>
      </w:r>
    </w:p>
    <w:bookmarkEnd w:id="204"/>
    <w:bookmarkStart w:id="206"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5">
        <w:r>
          <w:rPr>
            <w:rStyle w:val="Hyperlink"/>
          </w:rPr>
          <w:t xml:space="preserve">https://doi.org/10.1086/701523</w:t>
        </w:r>
      </w:hyperlink>
      <w:r>
        <w:t xml:space="preserve">.</w:t>
      </w:r>
    </w:p>
    <w:bookmarkEnd w:id="206"/>
    <w:bookmarkStart w:id="208"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7">
        <w:r>
          <w:rPr>
            <w:rStyle w:val="Hyperlink"/>
          </w:rPr>
          <w:t xml:space="preserve">https://doi.org/10.1111/j.1468-0092.1982.tb00313.x</w:t>
        </w:r>
      </w:hyperlink>
      <w:r>
        <w:t xml:space="preserve">.</w:t>
      </w:r>
    </w:p>
    <w:bookmarkEnd w:id="208"/>
    <w:bookmarkStart w:id="210"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9">
        <w:r>
          <w:rPr>
            <w:rStyle w:val="Hyperlink"/>
          </w:rPr>
          <w:t xml:space="preserve">https://doi.org/10.1016/j.jaa.2013.05.005</w:t>
        </w:r>
      </w:hyperlink>
      <w:r>
        <w:t xml:space="preserve">.</w:t>
      </w:r>
    </w:p>
    <w:bookmarkEnd w:id="210"/>
    <w:bookmarkStart w:id="212"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1">
        <w:r>
          <w:rPr>
            <w:rStyle w:val="Hyperlink"/>
          </w:rPr>
          <w:t xml:space="preserve">https://doi.org/10.4000/palethnologie.4945</w:t>
        </w:r>
      </w:hyperlink>
      <w:r>
        <w:t xml:space="preserve">.</w:t>
      </w:r>
    </w:p>
    <w:bookmarkEnd w:id="212"/>
    <w:bookmarkStart w:id="214"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3">
        <w:r>
          <w:rPr>
            <w:rStyle w:val="Hyperlink"/>
          </w:rPr>
          <w:t xml:space="preserve">https://doi.org/10.1086/202802</w:t>
        </w:r>
      </w:hyperlink>
      <w:r>
        <w:t xml:space="preserve">.</w:t>
      </w:r>
    </w:p>
    <w:bookmarkEnd w:id="214"/>
    <w:bookmarkStart w:id="215"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5"/>
    <w:bookmarkStart w:id="217"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6">
        <w:r>
          <w:rPr>
            <w:rStyle w:val="Hyperlink"/>
          </w:rPr>
          <w:t xml:space="preserve">https://doi.org/10.1146/annurev.an.23.100194.002411</w:t>
        </w:r>
      </w:hyperlink>
      <w:r>
        <w:t xml:space="preserve">.</w:t>
      </w:r>
    </w:p>
    <w:bookmarkEnd w:id="217"/>
    <w:bookmarkStart w:id="219"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8">
        <w:r>
          <w:rPr>
            <w:rStyle w:val="Hyperlink"/>
          </w:rPr>
          <w:t xml:space="preserve">https://doi.org/10.5281/zenodo.15397990</w:t>
        </w:r>
      </w:hyperlink>
      <w:r>
        <w:t xml:space="preserve">.</w:t>
      </w:r>
    </w:p>
    <w:bookmarkEnd w:id="219"/>
    <w:bookmarkStart w:id="221"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0">
        <w:r>
          <w:rPr>
            <w:rStyle w:val="Hyperlink"/>
          </w:rPr>
          <w:t xml:space="preserve">https://doi.org/10.2307/280511</w:t>
        </w:r>
      </w:hyperlink>
      <w:r>
        <w:t xml:space="preserve">.</w:t>
      </w:r>
    </w:p>
    <w:bookmarkEnd w:id="221"/>
    <w:bookmarkStart w:id="223"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2">
        <w:r>
          <w:rPr>
            <w:rStyle w:val="Hyperlink"/>
          </w:rPr>
          <w:t xml:space="preserve">https://doi.org/10.1038/s41467-024-51349-y</w:t>
        </w:r>
      </w:hyperlink>
      <w:r>
        <w:t xml:space="preserve">.</w:t>
      </w:r>
    </w:p>
    <w:bookmarkEnd w:id="223"/>
    <w:bookmarkStart w:id="225"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24">
        <w:r>
          <w:rPr>
            <w:rStyle w:val="Hyperlink"/>
          </w:rPr>
          <w:t xml:space="preserve">https://doi.org/10.1080/03122417.1992.11681454</w:t>
        </w:r>
      </w:hyperlink>
      <w:r>
        <w:t xml:space="preserve">.</w:t>
      </w:r>
    </w:p>
    <w:bookmarkEnd w:id="225"/>
    <w:bookmarkStart w:id="226"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6"/>
    <w:bookmarkStart w:id="228"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7">
        <w:r>
          <w:rPr>
            <w:rStyle w:val="Hyperlink"/>
          </w:rPr>
          <w:t xml:space="preserve">https://doi.org/10.1002/9780470773475.ch5</w:t>
        </w:r>
      </w:hyperlink>
      <w:r>
        <w:t xml:space="preserve">.</w:t>
      </w:r>
    </w:p>
    <w:bookmarkEnd w:id="228"/>
    <w:bookmarkStart w:id="230"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29">
        <w:r>
          <w:rPr>
            <w:rStyle w:val="Hyperlink"/>
          </w:rPr>
          <w:t xml:space="preserve">https://doi.org/10.1016/B978-0-12-564750-2.50020-2</w:t>
        </w:r>
      </w:hyperlink>
      <w:r>
        <w:t xml:space="preserve">.</w:t>
      </w:r>
    </w:p>
    <w:bookmarkEnd w:id="230"/>
    <w:bookmarkStart w:id="232"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1">
        <w:r>
          <w:rPr>
            <w:rStyle w:val="Hyperlink"/>
          </w:rPr>
          <w:t xml:space="preserve">https://doi.org/10.1080/00438243.1994.9980272</w:t>
        </w:r>
      </w:hyperlink>
      <w:r>
        <w:t xml:space="preserve">.</w:t>
      </w:r>
    </w:p>
    <w:bookmarkEnd w:id="232"/>
    <w:bookmarkStart w:id="234"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3">
        <w:r>
          <w:rPr>
            <w:rStyle w:val="Hyperlink"/>
          </w:rPr>
          <w:t xml:space="preserve">https://doi.org/10.1002/9781118253892.ch6</w:t>
        </w:r>
      </w:hyperlink>
      <w:r>
        <w:t xml:space="preserve">.</w:t>
      </w:r>
    </w:p>
    <w:bookmarkEnd w:id="234"/>
    <w:bookmarkStart w:id="236"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5">
        <w:r>
          <w:rPr>
            <w:rStyle w:val="Hyperlink"/>
          </w:rPr>
          <w:t xml:space="preserve">https://doi.org/10.2307/40035267</w:t>
        </w:r>
      </w:hyperlink>
      <w:r>
        <w:t xml:space="preserve">.</w:t>
      </w:r>
    </w:p>
    <w:bookmarkEnd w:id="236"/>
    <w:bookmarkStart w:id="238"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7">
        <w:r>
          <w:rPr>
            <w:rStyle w:val="Hyperlink"/>
          </w:rPr>
          <w:t xml:space="preserve">https://doi.org/10.1016/0278-4165(84)90002-3</w:t>
        </w:r>
      </w:hyperlink>
      <w:r>
        <w:t xml:space="preserve">.</w:t>
      </w:r>
    </w:p>
    <w:bookmarkEnd w:id="238"/>
    <w:bookmarkStart w:id="240"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39">
        <w:r>
          <w:rPr>
            <w:rStyle w:val="Hyperlink"/>
          </w:rPr>
          <w:t xml:space="preserve">https://doi.org/10.1080/03122417.1992.11681450</w:t>
        </w:r>
      </w:hyperlink>
      <w:r>
        <w:t xml:space="preserve">.</w:t>
      </w:r>
    </w:p>
    <w:bookmarkEnd w:id="240"/>
    <w:bookmarkStart w:id="242"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1">
        <w:r>
          <w:rPr>
            <w:rStyle w:val="Hyperlink"/>
          </w:rPr>
          <w:t xml:space="preserve">https://doi.org/10.1007/978-4-431-55363-2_8</w:t>
        </w:r>
      </w:hyperlink>
      <w:r>
        <w:t xml:space="preserve">.</w:t>
      </w:r>
    </w:p>
    <w:bookmarkEnd w:id="242"/>
    <w:bookmarkStart w:id="243"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3"/>
    <w:bookmarkStart w:id="244"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4"/>
    <w:bookmarkStart w:id="245"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5"/>
    <w:bookmarkStart w:id="247"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6">
        <w:r>
          <w:rPr>
            <w:rStyle w:val="Hyperlink"/>
          </w:rPr>
          <w:t xml:space="preserve">https://doi.org/10.2307/4128416</w:t>
        </w:r>
      </w:hyperlink>
      <w:r>
        <w:t xml:space="preserve">.</w:t>
      </w:r>
    </w:p>
    <w:bookmarkEnd w:id="247"/>
    <w:bookmarkStart w:id="249"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8">
        <w:r>
          <w:rPr>
            <w:rStyle w:val="Hyperlink"/>
          </w:rPr>
          <w:t xml:space="preserve">https://doi.org/10.1126/sciadv.aax5913</w:t>
        </w:r>
      </w:hyperlink>
      <w:r>
        <w:t xml:space="preserve">.</w:t>
      </w:r>
    </w:p>
    <w:bookmarkEnd w:id="249"/>
    <w:bookmarkStart w:id="251"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0">
        <w:r>
          <w:rPr>
            <w:rStyle w:val="Hyperlink"/>
          </w:rPr>
          <w:t xml:space="preserve">https://doi.org/10.1111/brv.12599</w:t>
        </w:r>
      </w:hyperlink>
      <w:r>
        <w:t xml:space="preserve">.</w:t>
      </w:r>
    </w:p>
    <w:bookmarkEnd w:id="251"/>
    <w:bookmarkStart w:id="253"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2">
        <w:r>
          <w:rPr>
            <w:rStyle w:val="Hyperlink"/>
          </w:rPr>
          <w:t xml:space="preserve">https://doi.org/10.1093/oxfordhb/9780198854265.013.34</w:t>
        </w:r>
      </w:hyperlink>
      <w:r>
        <w:t xml:space="preserve">.</w:t>
      </w:r>
    </w:p>
    <w:bookmarkEnd w:id="253"/>
    <w:bookmarkStart w:id="255"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w:t>
      </w:r>
      <w:r>
        <w:t xml:space="preserve"> </w:t>
      </w:r>
      <w:hyperlink r:id="rId254">
        <w:r>
          <w:rPr>
            <w:rStyle w:val="Hyperlink"/>
          </w:rPr>
          <w:t xml:space="preserve">https://doi.org/10.1007/s12520-022-01641-z</w:t>
        </w:r>
      </w:hyperlink>
      <w:r>
        <w:t xml:space="preserve">.</w:t>
      </w:r>
    </w:p>
    <w:bookmarkEnd w:id="255"/>
    <w:bookmarkStart w:id="257"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6">
        <w:r>
          <w:rPr>
            <w:rStyle w:val="Hyperlink"/>
          </w:rPr>
          <w:t xml:space="preserve">https://doi.org/10.1016/j.jaa.2005.08.001</w:t>
        </w:r>
      </w:hyperlink>
      <w:r>
        <w:t xml:space="preserve">.</w:t>
      </w:r>
    </w:p>
    <w:bookmarkEnd w:id="257"/>
    <w:bookmarkStart w:id="259"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58">
        <w:r>
          <w:rPr>
            <w:rStyle w:val="Hyperlink"/>
          </w:rPr>
          <w:t xml:space="preserve">https://doi.org/10.1007/s10816-026-09796-y</w:t>
        </w:r>
      </w:hyperlink>
      <w:r>
        <w:t xml:space="preserve">.</w:t>
      </w:r>
    </w:p>
    <w:bookmarkEnd w:id="259"/>
    <w:bookmarkStart w:id="261"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0">
        <w:r>
          <w:rPr>
            <w:rStyle w:val="Hyperlink"/>
          </w:rPr>
          <w:t xml:space="preserve">https://doi.org/10.1073/pnas.2520385123</w:t>
        </w:r>
      </w:hyperlink>
      <w:r>
        <w:t xml:space="preserve">.</w:t>
      </w:r>
    </w:p>
    <w:bookmarkEnd w:id="261"/>
    <w:bookmarkStart w:id="263"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2">
        <w:r>
          <w:rPr>
            <w:rStyle w:val="Hyperlink"/>
          </w:rPr>
          <w:t xml:space="preserve">https://doi.org/10.1017/S0959774322000415</w:t>
        </w:r>
      </w:hyperlink>
      <w:r>
        <w:t xml:space="preserve">.</w:t>
      </w:r>
    </w:p>
    <w:bookmarkEnd w:id="263"/>
    <w:bookmarkStart w:id="265"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4">
        <w:r>
          <w:rPr>
            <w:rStyle w:val="Hyperlink"/>
          </w:rPr>
          <w:t xml:space="preserve">https://doi.org/10.2139/ssrn.7053279</w:t>
        </w:r>
      </w:hyperlink>
      <w:r>
        <w:t xml:space="preserve">.</w:t>
      </w:r>
    </w:p>
    <w:bookmarkEnd w:id="265"/>
    <w:bookmarkStart w:id="267"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6">
        <w:r>
          <w:rPr>
            <w:rStyle w:val="Hyperlink"/>
          </w:rPr>
          <w:t xml:space="preserve">https://doi.org/10.1007/s41982-023-00158-8</w:t>
        </w:r>
      </w:hyperlink>
      <w:r>
        <w:t xml:space="preserve">.</w:t>
      </w:r>
    </w:p>
    <w:bookmarkEnd w:id="267"/>
    <w:bookmarkStart w:id="269"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8">
        <w:r>
          <w:rPr>
            <w:rStyle w:val="Hyperlink"/>
          </w:rPr>
          <w:t xml:space="preserve">https://doi.org/10.1080/1751696X.2024.2441115</w:t>
        </w:r>
      </w:hyperlink>
      <w:r>
        <w:t xml:space="preserve">.</w:t>
      </w:r>
    </w:p>
    <w:bookmarkEnd w:id="269"/>
    <w:bookmarkStart w:id="271"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0">
        <w:r>
          <w:rPr>
            <w:rStyle w:val="Hyperlink"/>
          </w:rPr>
          <w:t xml:space="preserve">https://doi.org/10.1017/S0959774324000155</w:t>
        </w:r>
      </w:hyperlink>
      <w:r>
        <w:t xml:space="preserve">.</w:t>
      </w:r>
    </w:p>
    <w:bookmarkEnd w:id="271"/>
    <w:bookmarkStart w:id="273"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2">
        <w:r>
          <w:rPr>
            <w:rStyle w:val="Hyperlink"/>
          </w:rPr>
          <w:t xml:space="preserve">https://doi.org/10.1007/978-981-13-8980-1_12</w:t>
        </w:r>
      </w:hyperlink>
      <w:r>
        <w:t xml:space="preserve">.</w:t>
      </w:r>
    </w:p>
    <w:bookmarkEnd w:id="273"/>
    <w:bookmarkStart w:id="274"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4"/>
    <w:bookmarkStart w:id="276"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5">
        <w:r>
          <w:rPr>
            <w:rStyle w:val="Hyperlink"/>
          </w:rPr>
          <w:t xml:space="preserve">https://doi.org/10.1016/j.jasrep.2021.103118</w:t>
        </w:r>
      </w:hyperlink>
      <w:r>
        <w:t xml:space="preserve">.</w:t>
      </w:r>
    </w:p>
    <w:bookmarkEnd w:id="276"/>
    <w:bookmarkStart w:id="278"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7">
        <w:r>
          <w:rPr>
            <w:rStyle w:val="Hyperlink"/>
          </w:rPr>
          <w:t xml:space="preserve">https://doi.org/10.2307/2802103</w:t>
        </w:r>
      </w:hyperlink>
      <w:r>
        <w:t xml:space="preserve">.</w:t>
      </w:r>
    </w:p>
    <w:bookmarkEnd w:id="278"/>
    <w:bookmarkStart w:id="280"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9">
        <w:r>
          <w:rPr>
            <w:rStyle w:val="Hyperlink"/>
          </w:rPr>
          <w:t xml:space="preserve">https://doi.org/10.1016/j.quascirev.2018.12.011</w:t>
        </w:r>
      </w:hyperlink>
      <w:r>
        <w:t xml:space="preserve">.</w:t>
      </w:r>
    </w:p>
    <w:bookmarkEnd w:id="280"/>
    <w:bookmarkStart w:id="282"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1">
        <w:r>
          <w:rPr>
            <w:rStyle w:val="Hyperlink"/>
          </w:rPr>
          <w:t xml:space="preserve">https://doi.org/10.1098/rsif.2017.0171</w:t>
        </w:r>
      </w:hyperlink>
      <w:r>
        <w:t xml:space="preserve">.</w:t>
      </w:r>
    </w:p>
    <w:bookmarkEnd w:id="282"/>
    <w:bookmarkStart w:id="284"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3">
        <w:r>
          <w:rPr>
            <w:rStyle w:val="Hyperlink"/>
          </w:rPr>
          <w:t xml:space="preserve">https://doi.org/10.1007/978-1-4757-9945-3_4</w:t>
        </w:r>
      </w:hyperlink>
      <w:r>
        <w:t xml:space="preserve">.</w:t>
      </w:r>
    </w:p>
    <w:bookmarkEnd w:id="284"/>
    <w:bookmarkStart w:id="286"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5">
        <w:r>
          <w:rPr>
            <w:rStyle w:val="Hyperlink"/>
          </w:rPr>
          <w:t xml:space="preserve">https://doi.org/10.1371/journal.pone.0102806</w:t>
        </w:r>
      </w:hyperlink>
      <w:r>
        <w:t xml:space="preserve">.</w:t>
      </w:r>
    </w:p>
    <w:bookmarkEnd w:id="286"/>
    <w:bookmarkStart w:id="288"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7">
        <w:r>
          <w:rPr>
            <w:rStyle w:val="Hyperlink"/>
          </w:rPr>
          <w:t xml:space="preserve">https://doi.org/10.1073/pnas.1518798113</w:t>
        </w:r>
      </w:hyperlink>
      <w:r>
        <w:t xml:space="preserve">.</w:t>
      </w:r>
    </w:p>
    <w:bookmarkEnd w:id="288"/>
    <w:bookmarkStart w:id="289"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89"/>
    <w:bookmarkStart w:id="291"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0">
        <w:r>
          <w:rPr>
            <w:rStyle w:val="Hyperlink"/>
          </w:rPr>
          <w:t xml:space="preserve">https://doi.org/10.3828/hgr.2023.12</w:t>
        </w:r>
      </w:hyperlink>
      <w:r>
        <w:t xml:space="preserve">.</w:t>
      </w:r>
    </w:p>
    <w:bookmarkEnd w:id="291"/>
    <w:bookmarkStart w:id="293"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2">
        <w:r>
          <w:rPr>
            <w:rStyle w:val="Hyperlink"/>
          </w:rPr>
          <w:t xml:space="preserve">https://doi.org/10.1093/oxfordhb/9780198854265.013.31</w:t>
        </w:r>
      </w:hyperlink>
      <w:r>
        <w:t xml:space="preserve">.</w:t>
      </w:r>
    </w:p>
    <w:bookmarkEnd w:id="293"/>
    <w:bookmarkStart w:id="295"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4">
        <w:r>
          <w:rPr>
            <w:rStyle w:val="Hyperlink"/>
          </w:rPr>
          <w:t xml:space="preserve">https://doi.org/10.1007/s10816-023-09608-7</w:t>
        </w:r>
      </w:hyperlink>
      <w:r>
        <w:t xml:space="preserve">.</w:t>
      </w:r>
    </w:p>
    <w:bookmarkEnd w:id="295"/>
    <w:bookmarkStart w:id="297"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6">
        <w:r>
          <w:rPr>
            <w:rStyle w:val="Hyperlink"/>
          </w:rPr>
          <w:t xml:space="preserve">https://doi.org/10.30861/9781841718309</w:t>
        </w:r>
      </w:hyperlink>
      <w:r>
        <w:t xml:space="preserve">.</w:t>
      </w:r>
    </w:p>
    <w:bookmarkEnd w:id="297"/>
    <w:bookmarkStart w:id="299"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8">
        <w:r>
          <w:rPr>
            <w:rStyle w:val="Hyperlink"/>
          </w:rPr>
          <w:t xml:space="preserve">https://doi.org/10.1016/j.jhevol.2011.06.005</w:t>
        </w:r>
      </w:hyperlink>
      <w:r>
        <w:t xml:space="preserve">.</w:t>
      </w:r>
    </w:p>
    <w:bookmarkEnd w:id="299"/>
    <w:bookmarkStart w:id="301"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0">
        <w:r>
          <w:rPr>
            <w:rStyle w:val="Hyperlink"/>
          </w:rPr>
          <w:t xml:space="preserve">https://doi.org/10.1002/jqs.3236</w:t>
        </w:r>
      </w:hyperlink>
      <w:r>
        <w:t xml:space="preserve">.</w:t>
      </w:r>
    </w:p>
    <w:bookmarkEnd w:id="301"/>
    <w:bookmarkStart w:id="303"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2">
        <w:r>
          <w:rPr>
            <w:rStyle w:val="Hyperlink"/>
          </w:rPr>
          <w:t xml:space="preserve">https://doi.org/10.1038/nature03585</w:t>
        </w:r>
      </w:hyperlink>
      <w:r>
        <w:t xml:space="preserve">.</w:t>
      </w:r>
    </w:p>
    <w:bookmarkEnd w:id="303"/>
    <w:bookmarkStart w:id="305"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4">
        <w:r>
          <w:rPr>
            <w:rStyle w:val="Hyperlink"/>
          </w:rPr>
          <w:t xml:space="preserve">https://doi.org/10.1007/s41982-025-00246-x</w:t>
        </w:r>
      </w:hyperlink>
      <w:r>
        <w:t xml:space="preserve">.</w:t>
      </w:r>
    </w:p>
    <w:bookmarkEnd w:id="305"/>
    <w:bookmarkEnd w:id="306"/>
    <w:bookmarkEnd w:id="307"/>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2026-09-07T08:06:43Z</dcterms:created>
  <dcterms:modified xsi:type="dcterms:W3CDTF">2026-09-07T08:06:43Z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7,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