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32.png" ContentType="image/png"/>
  <Override PartName="/word/media/rId24.png" ContentType="image/png"/>
  <Override PartName="/word/media/rId86.png" ContentType="image/png"/>
  <Override PartName="/word/media/rId162.png" ContentType="image/png"/>
  <Override PartName="/word/media/rId179.png" ContentType="image/png"/>
  <Override PartName="/word/media/rId171.png" ContentType="image/png"/>
  <Override PartName="/word/media/rId73.png" ContentType="image/png"/>
  <Override PartName="/word/media/rId109.png" ContentType="image/png"/>
  <Override PartName="/word/media/rId112.png" ContentType="image/png"/>
  <Override PartName="/word/media/rId115.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98"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 degree</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3"/>
    <w:bookmarkStart w:id="84"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[4]</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0.634; temporal: β = 0.000, 95% CI [ NA, NA], p = 0.914; object count: β = -0.004, 95% CI [ NA, NA], p = 0.924).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84"/>
    <w:bookmarkStart w:id="92" w:name="sec-s5-11"/>
    <w:p>
      <w:pPr>
        <w:pStyle w:val="Heading2"/>
      </w:pPr>
      <w:r>
        <w:t xml:space="preserve">S5.11 Mantel Correlogram and Bootstrap Confidence Intervals on the Mantel R</w:t>
      </w:r>
    </w:p>
    <w:bookmarkStart w:id="85" w:name="rationale-3"/>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85"/>
    <w:bookmarkStart w:id="90"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89" w:name="fig-mantel-correlogram"/>
          <w:p>
            <w:pPr>
              <w:pStyle w:val="Compact"/>
              <w:jc w:val="center"/>
            </w:pPr>
            <w:r>
              <w:drawing>
                <wp:inline>
                  <wp:extent cx="5943600" cy="3714750"/>
                  <wp:effectExtent b="0" l="0" r="0" t="0"/>
                  <wp:docPr descr="" title="" id="87" name="Picture"/>
                  <a:graphic>
                    <a:graphicData uri="http://schemas.openxmlformats.org/drawingml/2006/picture">
                      <pic:pic>
                        <pic:nvPicPr>
                          <pic:cNvPr descr="S1-supplement-sensitivity_files/figure-docx/fig-mantel-correlogram-1.png" id="88" name="Picture"/>
                          <pic:cNvPicPr>
                            <a:picLocks noChangeArrowheads="1" noChangeAspect="1"/>
                          </pic:cNvPicPr>
                        </pic:nvPicPr>
                        <pic:blipFill>
                          <a:blip r:embed="rId8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89"/>
        </w:tc>
      </w:tr>
    </w:tbl>
    <w:bookmarkEnd w:id="90"/>
    <w:bookmarkStart w:id="9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1"/>
    <w:bookmarkEnd w:id="92"/>
    <w:bookmarkStart w:id="97" w:name="sec-s5-12"/>
    <w:p>
      <w:pPr>
        <w:pStyle w:val="Heading2"/>
      </w:pPr>
      <w:r>
        <w:t xml:space="preserve">S5.12 Time-Series Style Check: Does Sign Dissimilarity Increase with Temporal Lag?</w:t>
      </w:r>
    </w:p>
    <w:bookmarkStart w:id="93" w:name="rationale-4"/>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3"/>
    <w:bookmarkStart w:id="95"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r>
        <w:t xml:space="preserve"> </w:t>
      </w:r>
      <w:r>
        <w:t xml:space="preserve">n_p1_ts &lt;- tl</w:t>
      </w:r>
      <m:oMath>
        <m:sSub>
          <m:e>
            <m:r>
              <m:t>n</m:t>
            </m:r>
          </m:e>
          <m:sub>
            <m:r>
              <m:t>p</m:t>
            </m:r>
          </m:sub>
        </m:sSub>
        <m:r>
          <m:t>1</m:t>
        </m:r>
        <m:sSub>
          <m:e>
            <m:r>
              <m:t>n</m:t>
            </m:r>
          </m:e>
          <m:sub>
            <m:r>
              <m:t>p</m:t>
            </m:r>
          </m:sub>
        </m:sSub>
        <m:sSub>
          <m:e>
            <m:r>
              <m:t>2</m:t>
            </m:r>
          </m:e>
          <m:sub>
            <m:r>
              <m:t>t</m:t>
            </m:r>
          </m:sub>
        </m:sSub>
        <m:r>
          <m:t>s</m:t>
        </m:r>
        <m:r>
          <m:rPr>
            <m:sty m:val="p"/>
          </m:rPr>
          <m:t>&lt;</m:t>
        </m:r>
        <m:r>
          <m:rPr>
            <m:sty m:val="p"/>
          </m:rPr>
          <m:t>−</m:t>
        </m:r>
        <m:r>
          <m:t>t</m:t>
        </m:r>
        <m:r>
          <m:t>l</m:t>
        </m:r>
      </m:oMath>
      <w:r>
        <w:t xml:space="preserve">n_p2</w:t>
      </w:r>
      <w:r>
        <w:t xml:space="preserve"> </w:t>
      </w:r>
      <w:r>
        <w:t xml:space="preserve">n_pairs_ts &lt;- tl</w:t>
      </w:r>
      <m:oMath>
        <m:sSub>
          <m:e>
            <m:r>
              <m:t>n</m:t>
            </m:r>
          </m:e>
          <m:sub>
            <m:r>
              <m:t>p</m:t>
            </m:r>
          </m:sub>
        </m:sSub>
        <m:r>
          <m:t>a</m:t>
        </m:r>
        <m:r>
          <m:t>i</m:t>
        </m:r>
        <m:r>
          <m:t>r</m:t>
        </m:r>
        <m:r>
          <m:t>s</m:t>
        </m:r>
        <m:r>
          <m:t>t</m:t>
        </m:r>
        <m:sSub>
          <m:e>
            <m:r>
              <m:t>s</m:t>
            </m:r>
          </m:e>
          <m:sub>
            <m:r>
              <m:t>r</m:t>
            </m:r>
          </m:sub>
        </m:sSub>
        <m:r>
          <m:t>h</m:t>
        </m:r>
        <m:sSub>
          <m:e>
            <m:r>
              <m:t>o</m:t>
            </m:r>
          </m:e>
          <m:sub>
            <m:r>
              <m:t>a</m:t>
            </m:r>
          </m:sub>
        </m:sSub>
        <m:r>
          <m:t>l</m:t>
        </m:r>
        <m:r>
          <m:t>l</m:t>
        </m:r>
        <m:r>
          <m:rPr>
            <m:sty m:val="p"/>
          </m:rPr>
          <m:t>&lt;</m:t>
        </m:r>
        <m:r>
          <m:rPr>
            <m:sty m:val="p"/>
          </m:rPr>
          <m:t>−</m:t>
        </m:r>
        <m:r>
          <m:t>t</m:t>
        </m:r>
        <m:r>
          <m:t>l</m:t>
        </m:r>
      </m:oMath>
      <w:r>
        <w:t xml:space="preserve">rho_all</w:t>
      </w:r>
      <w:r>
        <w:t xml:space="preserve"> </w:t>
      </w:r>
      <w:r>
        <w:t xml:space="preserve">ts_p_all &lt;- tl</w:t>
      </w:r>
      <m:oMath>
        <m:sSub>
          <m:e>
            <m:r>
              <m:t>p</m:t>
            </m:r>
          </m:e>
          <m:sub>
            <m:r>
              <m:t>a</m:t>
            </m:r>
          </m:sub>
        </m:sSub>
        <m:r>
          <m:t>l</m:t>
        </m:r>
        <m:r>
          <m:t>l</m:t>
        </m:r>
        <m:r>
          <m:t>t</m:t>
        </m:r>
        <m:sSub>
          <m:e>
            <m:r>
              <m:t>s</m:t>
            </m:r>
          </m:e>
          <m:sub>
            <m:r>
              <m:t>r</m:t>
            </m:r>
          </m:sub>
        </m:sSub>
        <m:r>
          <m:t>h</m:t>
        </m:r>
        <m:sSub>
          <m:e>
            <m:r>
              <m:t>o</m:t>
            </m:r>
          </m:e>
          <m:sub>
            <m:r>
              <m:t>w</m:t>
            </m:r>
          </m:sub>
        </m:sSub>
        <m:r>
          <m:t>i</m:t>
        </m:r>
        <m:r>
          <m:t>t</m:t>
        </m:r>
        <m:r>
          <m:t>h</m:t>
        </m:r>
        <m:r>
          <m:t>i</m:t>
        </m:r>
        <m:r>
          <m:t>n</m:t>
        </m:r>
        <m:r>
          <m:rPr>
            <m:sty m:val="p"/>
          </m:rPr>
          <m:t>&lt;</m:t>
        </m:r>
        <m:r>
          <m:rPr>
            <m:sty m:val="p"/>
          </m:rPr>
          <m:t>−</m:t>
        </m:r>
        <m:r>
          <m:t>t</m:t>
        </m:r>
        <m:r>
          <m:t>l</m:t>
        </m:r>
      </m:oMath>
      <w:r>
        <w:t xml:space="preserve">rho_within</w:t>
      </w:r>
      <w:r>
        <w:t xml:space="preserve"> </w:t>
      </w:r>
      <w:r>
        <w:t xml:space="preserve">ts_p_within &lt;- tl</w:t>
      </w:r>
      <m:oMath>
        <m:sSub>
          <m:e>
            <m:r>
              <m:t>p</m:t>
            </m:r>
          </m:e>
          <m:sub>
            <m:r>
              <m:t>w</m:t>
            </m:r>
          </m:sub>
        </m:sSub>
        <m:r>
          <m:t>i</m:t>
        </m:r>
        <m:r>
          <m:t>t</m:t>
        </m:r>
        <m:r>
          <m:t>h</m:t>
        </m:r>
        <m:r>
          <m:t>i</m:t>
        </m:r>
        <m:r>
          <m:t>n</m:t>
        </m:r>
        <m:r>
          <m:t>m</m:t>
        </m:r>
        <m:r>
          <m:t>e</m:t>
        </m:r>
        <m:r>
          <m:t>a</m:t>
        </m:r>
        <m:sSub>
          <m:e>
            <m:r>
              <m:t>n</m:t>
            </m:r>
          </m:e>
          <m:sub>
            <m:r>
              <m:t>j</m:t>
            </m:r>
          </m:sub>
        </m:sSub>
        <m:r>
          <m:t>a</m:t>
        </m:r>
        <m:sSub>
          <m:e>
            <m:r>
              <m:t>c</m:t>
            </m:r>
          </m:e>
          <m:sub>
            <m:r>
              <m:t>w</m:t>
            </m:r>
          </m:sub>
        </m:sSub>
        <m:r>
          <m:t>i</m:t>
        </m:r>
        <m:r>
          <m:t>t</m:t>
        </m:r>
        <m:r>
          <m:t>h</m:t>
        </m:r>
        <m:r>
          <m:t>i</m:t>
        </m:r>
        <m:r>
          <m:t>n</m:t>
        </m:r>
        <m:r>
          <m:rPr>
            <m:sty m:val="p"/>
          </m:rPr>
          <m:t>&lt;</m:t>
        </m:r>
        <m:r>
          <m:rPr>
            <m:sty m:val="p"/>
          </m:rPr>
          <m:t>−</m:t>
        </m:r>
        <m:r>
          <m:t>t</m:t>
        </m:r>
        <m:r>
          <m:t>l</m:t>
        </m:r>
      </m:oMath>
      <w:r>
        <w:t xml:space="preserve">mean_jac_within</w:t>
      </w:r>
      <w:r>
        <w:t xml:space="preserve"> </w:t>
      </w:r>
      <w:r>
        <w:t xml:space="preserve">mean_jac_between &lt;- tl</w:t>
      </w:r>
      <m:oMath>
        <m:r>
          <m:t>m</m:t>
        </m:r>
        <m:r>
          <m:t>e</m:t>
        </m:r>
        <m:r>
          <m:t>a</m:t>
        </m:r>
        <m:sSub>
          <m:e>
            <m:r>
              <m:t>n</m:t>
            </m:r>
          </m:e>
          <m:sub>
            <m:r>
              <m:t>j</m:t>
            </m:r>
          </m:sub>
        </m:sSub>
        <m:r>
          <m:t>a</m:t>
        </m:r>
        <m:sSub>
          <m:e>
            <m:r>
              <m:t>c</m:t>
            </m:r>
          </m:e>
          <m:sub>
            <m:r>
              <m:t>b</m:t>
            </m:r>
          </m:sub>
        </m:sSub>
        <m:r>
          <m:t>e</m:t>
        </m:r>
        <m:r>
          <m:t>t</m:t>
        </m:r>
        <m:r>
          <m:t>w</m:t>
        </m:r>
        <m:r>
          <m:t>e</m:t>
        </m:r>
        <m:r>
          <m:t>e</m:t>
        </m:r>
        <m:r>
          <m:t>n</m:t>
        </m:r>
        <m:r>
          <m:t>m</m:t>
        </m:r>
        <m:r>
          <m:t>e</m:t>
        </m:r>
        <m:r>
          <m:t>a</m:t>
        </m:r>
        <m:sSub>
          <m:e>
            <m:r>
              <m:t>n</m:t>
            </m:r>
          </m:e>
          <m:sub>
            <m:r>
              <m:t>l</m:t>
            </m:r>
          </m:sub>
        </m:sSub>
        <m:r>
          <m:t>a</m:t>
        </m:r>
        <m:sSub>
          <m:e>
            <m:r>
              <m:t>g</m:t>
            </m:r>
          </m:e>
          <m:sub>
            <m:r>
              <m:t>w</m:t>
            </m:r>
          </m:sub>
        </m:sSub>
        <m:r>
          <m:t>i</m:t>
        </m:r>
        <m:r>
          <m:t>t</m:t>
        </m:r>
        <m:r>
          <m:t>h</m:t>
        </m:r>
        <m:r>
          <m:t>i</m:t>
        </m:r>
        <m:r>
          <m:t>n</m:t>
        </m:r>
        <m:r>
          <m:rPr>
            <m:sty m:val="p"/>
          </m:rPr>
          <m:t>&lt;</m:t>
        </m:r>
        <m:r>
          <m:rPr>
            <m:sty m:val="p"/>
          </m:rPr>
          <m:t>−</m:t>
        </m:r>
        <m:r>
          <m:t>t</m:t>
        </m:r>
        <m:r>
          <m:t>l</m:t>
        </m:r>
      </m:oMath>
      <w:r>
        <w:t xml:space="preserve">mean_lag_within</w:t>
      </w:r>
      <w:r>
        <w:t xml:space="preserve"> </w:t>
      </w:r>
      <w:r>
        <w:t xml:space="preserve">mean_lag_between &lt;- tl</w:t>
      </w:r>
      <m:oMath>
        <m:r>
          <m:t>m</m:t>
        </m:r>
        <m:r>
          <m:t>e</m:t>
        </m:r>
        <m:r>
          <m:t>a</m:t>
        </m:r>
        <m:sSub>
          <m:e>
            <m:r>
              <m:t>n</m:t>
            </m:r>
          </m:e>
          <m:sub>
            <m:r>
              <m:t>l</m:t>
            </m:r>
          </m:sub>
        </m:sSub>
        <m:r>
          <m:t>a</m:t>
        </m:r>
        <m:sSub>
          <m:e>
            <m:r>
              <m:t>g</m:t>
            </m:r>
          </m:e>
          <m:sub>
            <m:r>
              <m:t>b</m:t>
            </m:r>
          </m:sub>
        </m:sSub>
        <m:r>
          <m:t>e</m:t>
        </m:r>
        <m:r>
          <m:t>t</m:t>
        </m:r>
        <m:r>
          <m:t>w</m:t>
        </m:r>
        <m:r>
          <m:t>e</m:t>
        </m:r>
        <m:r>
          <m:t>e</m:t>
        </m:r>
        <m:r>
          <m:t>n</m:t>
        </m:r>
        <m:r>
          <m:t>t</m:t>
        </m:r>
        <m:sSub>
          <m:e>
            <m:r>
              <m:t>s</m:t>
            </m:r>
          </m:e>
          <m:sub>
            <m:r>
              <m:t>b</m:t>
            </m:r>
          </m:sub>
        </m:sSub>
        <m:r>
          <m:t>i</m:t>
        </m:r>
        <m:sSub>
          <m:e>
            <m:r>
              <m:t>n</m:t>
            </m:r>
          </m:e>
          <m:sub>
            <m:r>
              <m:t>t</m:t>
            </m:r>
          </m:sub>
        </m:sSub>
        <m:r>
          <m:t>a</m:t>
        </m:r>
        <m:r>
          <m:t>b</m:t>
        </m:r>
        <m:r>
          <m:rPr>
            <m:sty m:val="p"/>
          </m:rPr>
          <m:t>&lt;</m:t>
        </m:r>
        <m:r>
          <m:rPr>
            <m:sty m:val="p"/>
          </m:rPr>
          <m:t>−</m:t>
        </m:r>
        <m:r>
          <m:t>t</m:t>
        </m:r>
        <m:r>
          <m:t>l</m:t>
        </m:r>
      </m:oMath>
      <w:r>
        <w:t xml:space="preserve">bin_tab</w:t>
      </w:r>
      <w:r>
        <w:t xml:space="preserve"> </w:t>
      </w:r>
      <w:r>
        <w:t xml:space="preserve">ts_jac_short &lt;- tl</w:t>
      </w:r>
      <m:oMath>
        <m:r>
          <m:t>j</m:t>
        </m:r>
        <m:r>
          <m:t>a</m:t>
        </m:r>
        <m:sSub>
          <m:e>
            <m:r>
              <m:t>c</m:t>
            </m:r>
          </m:e>
          <m:sub>
            <m:r>
              <m:t>s</m:t>
            </m:r>
          </m:sub>
        </m:sSub>
        <m:r>
          <m:t>h</m:t>
        </m:r>
        <m:r>
          <m:t>o</m:t>
        </m:r>
        <m:r>
          <m:t>r</m:t>
        </m:r>
        <m:r>
          <m:t>t</m:t>
        </m:r>
        <m:r>
          <m:t>t</m:t>
        </m:r>
        <m:sSub>
          <m:e>
            <m:r>
              <m:t>s</m:t>
            </m:r>
          </m:e>
          <m:sub>
            <m:r>
              <m:t>l</m:t>
            </m:r>
          </m:sub>
        </m:sSub>
        <m:r>
          <m:t>a</m:t>
        </m:r>
        <m:r>
          <m:t>s</m:t>
        </m:r>
        <m:sSub>
          <m:e>
            <m:r>
              <m:t>t</m:t>
            </m:r>
          </m:e>
          <m:sub>
            <m:r>
              <m:t>b</m:t>
            </m:r>
          </m:sub>
        </m:sSub>
        <m:r>
          <m:t>i</m:t>
        </m:r>
        <m:r>
          <m:t>n</m:t>
        </m:r>
        <m:r>
          <m:rPr>
            <m:sty m:val="p"/>
          </m:rPr>
          <m:t>&lt;</m:t>
        </m:r>
        <m:r>
          <m:rPr>
            <m:sty m:val="p"/>
          </m:rPr>
          <m:t>−</m:t>
        </m:r>
        <m:r>
          <m:t>t</m:t>
        </m:r>
        <m:r>
          <m:t>l</m:t>
        </m:r>
      </m:oMath>
      <w:r>
        <w:t xml:space="preserve">last_bin</w:t>
      </w:r>
      <w:r>
        <w:t xml:space="preserve"> </w:t>
      </w:r>
      <w:r>
        <w:t xml:space="preserve">ts_last_n &lt;- tl$last_n</w:t>
      </w:r>
      <w:r>
        <w:t xml:space="preserve"> </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4"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152</w:t>
                  </w:r>
                </w:p>
              </w:tc>
              <w:tc>
                <w:tcPr/>
                <w:p>
                  <w:pPr>
                    <w:pStyle w:val="Compact"/>
                    <w:jc w:val="right"/>
                    <w:jc w:val="center"/>
                  </w:pPr>
                  <w:r>
                    <w:t xml:space="preserve">0.772</w:t>
                  </w:r>
                </w:p>
              </w:tc>
              <w:tc>
                <w:tcPr/>
                <w:p>
                  <w:pPr>
                    <w:pStyle w:val="Compact"/>
                    <w:jc w:val="right"/>
                    <w:jc w:val="center"/>
                  </w:pPr>
                  <w:r>
                    <w:t xml:space="preserve">0.218</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0.755</w:t>
                  </w:r>
                </w:p>
              </w:tc>
              <w:tc>
                <w:tcPr/>
                <w:p>
                  <w:pPr>
                    <w:pStyle w:val="Compact"/>
                    <w:jc w:val="right"/>
                    <w:jc w:val="center"/>
                  </w:pPr>
                  <w:r>
                    <w:t xml:space="preserve">0.236</w:t>
                  </w:r>
                </w:p>
              </w:tc>
            </w:tr>
            <w:tr>
              <w:tc>
                <w:tcPr/>
                <w:p>
                  <w:pPr>
                    <w:pStyle w:val="Compact"/>
                    <w:jc w:val="left"/>
                    <w:jc w:val="center"/>
                  </w:pPr>
                  <w:r>
                    <w:t xml:space="preserve">(4,6]</w:t>
                  </w:r>
                </w:p>
              </w:tc>
              <w:tc>
                <w:tcPr/>
                <w:p>
                  <w:pPr>
                    <w:pStyle w:val="Compact"/>
                    <w:jc w:val="right"/>
                    <w:jc w:val="center"/>
                  </w:pPr>
                  <w:r>
                    <w:t xml:space="preserve">67</w:t>
                  </w:r>
                </w:p>
              </w:tc>
              <w:tc>
                <w:tcPr/>
                <w:p>
                  <w:pPr>
                    <w:pStyle w:val="Compact"/>
                    <w:jc w:val="right"/>
                    <w:jc w:val="center"/>
                  </w:pPr>
                  <w:r>
                    <w:t xml:space="preserve">0.690</w:t>
                  </w:r>
                </w:p>
              </w:tc>
              <w:tc>
                <w:tcPr/>
                <w:p>
                  <w:pPr>
                    <w:pStyle w:val="Compact"/>
                    <w:jc w:val="right"/>
                    <w:jc w:val="center"/>
                  </w:pPr>
                  <w:r>
                    <w:t xml:space="preserve">0.296</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12</w:t>
                  </w:r>
                </w:p>
              </w:tc>
              <w:tc>
                <w:tcPr/>
                <w:p>
                  <w:pPr>
                    <w:pStyle w:val="Compact"/>
                    <w:jc w:val="right"/>
                    <w:jc w:val="center"/>
                  </w:pPr>
                  <w:r>
                    <w:t xml:space="preserve">0.671</w:t>
                  </w:r>
                </w:p>
              </w:tc>
              <w:tc>
                <w:tcPr/>
                <w:p>
                  <w:pPr>
                    <w:pStyle w:val="Compact"/>
                    <w:jc w:val="right"/>
                    <w:jc w:val="center"/>
                  </w:pPr>
                  <w:r>
                    <w:t xml:space="preserve">0.335</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94"/>
        </w:tc>
      </w:tr>
    </w:tbl>
    <w:bookmarkEnd w:id="95"/>
    <w:bookmarkStart w:id="96"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-0.048 (p = 0.353) — essentially zero and non-significant — so dissimilarity does not rise as sites become more separated in time. The binned means are flat and non-monotonic (</w:t>
      </w:r>
      <w:hyperlink w:anchor="tbl-ts-lag">
        <w:r>
          <w:rPr>
            <w:rStyle w:val="Hyperlink"/>
          </w:rPr>
          <w:t xml:space="preserve">Table 17</w:t>
        </w:r>
      </w:hyperlink>
      <w:r>
        <w:t xml:space="preserve">): mean dissimilarity is 0.772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2.01 ka) give ρ = -0.058 (p = 0.404), again flat. The between-phase gap dominates the temporal variance in the pooled sample — between-phase pairs have a mean lag of 4.43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96"/>
    <w:bookmarkEnd w:id="97"/>
    <w:bookmarkEnd w:id="98"/>
    <w:bookmarkStart w:id="131" w:name="sec-s6"/>
    <w:p>
      <w:pPr>
        <w:pStyle w:val="Heading1"/>
      </w:pPr>
      <w:r>
        <w:t xml:space="preserve">S6. Robustness of the Two-Group Structure: Bootstrap Consensus and Stochastic Block Models</w:t>
      </w:r>
    </w:p>
    <w:bookmarkStart w:id="99"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[5]</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99"/>
    <w:bookmarkStart w:id="108" w:name="sec-s6-2"/>
    <w:p>
      <w:pPr>
        <w:pStyle w:val="Heading2"/>
      </w:pPr>
      <w:r>
        <w:t xml:space="preserve">S6.2 Bootstrap Consensus Analysis</w:t>
      </w:r>
    </w:p>
    <w:bookmarkStart w:id="106" w:name="rationale-5"/>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10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18: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19: Per-site bootstrap consistency: proportion of 1000 resamples in which each site is assigned to its modal (most frequent) block. Consistency near 1 indicates robust assignment; values near 0.5 indicate sites whose group membership flips across resamples.</w:t>
            </w:r>
          </w:p>
          <w:bookmarkEnd w:id="101"/>
        </w:tc>
      </w:tr>
    </w:tbl>
    <w:tbl>
      <w:tblPr>
        <w:tblStyle w:val="Table"/>
        <w:tblW w:type="pct" w:w="5000"/>
        <w:tblLook w:firstRow="0" w:lastRow="0" w:firstColumn="0" w:lastColumn="0" w:noHBand="0" w:noVBand="0" w:val="0000"/>
        <w:jc w:val="start"/>
        <w:tblLayout w:type="fixed"/>
      </w:tblPr>
      <w:tblGrid>
        <w:gridCol w:w="7920"/>
      </w:tblGrid>
      <w:tr>
        <w:tc>
          <w:tcPr/>
          <w:bookmarkStart w:id="105" w:name="fig-bootstrap-consensus"/>
          <w:p>
            <w:pPr>
              <w:pStyle w:val="Compact"/>
              <w:jc w:val="center"/>
            </w:pPr>
            <w:r>
              <w:drawing>
                <wp:inline>
                  <wp:extent cx="5943600" cy="6604000"/>
                  <wp:effectExtent b="0" l="0" r="0" t="0"/>
                  <wp:docPr descr="" title="" id="103" name="Picture"/>
                  <a:graphic>
                    <a:graphicData uri="http://schemas.openxmlformats.org/drawingml/2006/picture">
                      <pic:pic>
                        <pic:nvPicPr>
                          <pic:cNvPr descr="../figures/bootstrap-consensus-plot.png" id="104" name="Picture"/>
                          <pic:cNvPicPr>
                            <a:picLocks noChangeArrowheads="1" noChangeAspect="1"/>
                          </pic:cNvPicPr>
                        </pic:nvPicPr>
                        <pic:blipFill>
                          <a:blip r:embed="rId10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05"/>
        </w:tc>
      </w:tr>
    </w:tbl>
    <w:bookmarkEnd w:id="106"/>
    <w:bookmarkStart w:id="107"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19</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19</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19</w:t>
        </w:r>
      </w:hyperlink>
      <w:r>
        <w:t xml:space="preserve">.</w:t>
      </w:r>
    </w:p>
    <w:bookmarkEnd w:id="107"/>
    <w:bookmarkEnd w:id="108"/>
    <w:bookmarkStart w:id="125" w:name="sec-s6-3"/>
    <w:p>
      <w:pPr>
        <w:pStyle w:val="Heading2"/>
      </w:pPr>
      <w:r>
        <w:t xml:space="preserve">S6.3 Stochastic Block Models</w:t>
      </w:r>
    </w:p>
    <w:bookmarkStart w:id="123" w:name="rationale-6"/>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sign-sharing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0" name="Picture"/>
            <a:graphic>
              <a:graphicData uri="http://schemas.openxmlformats.org/drawingml/2006/picture">
                <pic:pic>
                  <pic:nvPicPr>
                    <pic:cNvPr descr="S1-supplement-sensitivity_files/figure-docx/s6-sbm-compute-1.png" id="111" name="Picture"/>
                    <pic:cNvPicPr>
                      <a:picLocks noChangeArrowheads="1" noChangeAspect="1"/>
                    </pic:cNvPicPr>
                  </pic:nvPicPr>
                  <pic:blipFill>
                    <a:blip r:embed="rId1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3" name="Picture"/>
            <a:graphic>
              <a:graphicData uri="http://schemas.openxmlformats.org/drawingml/2006/picture">
                <pic:pic>
                  <pic:nvPicPr>
                    <pic:cNvPr descr="S1-supplement-sensitivity_files/figure-docx/s6-sbm-compute-2.png" id="114" name="Picture"/>
                    <pic:cNvPicPr>
                      <a:picLocks noChangeArrowheads="1" noChangeAspect="1"/>
                    </pic:cNvPicPr>
                  </pic:nvPicPr>
                  <pic:blipFill>
                    <a:blip r:embed="rId1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6" name="Picture"/>
            <a:graphic>
              <a:graphicData uri="http://schemas.openxmlformats.org/drawingml/2006/picture">
                <pic:pic>
                  <pic:nvPicPr>
                    <pic:cNvPr descr="S1-supplement-sensitivity_files/figure-docx/s6-sbm-compute-3.png" id="117" name="Picture"/>
                    <pic:cNvPicPr>
                      <a:picLocks noChangeArrowheads="1" noChangeAspect="1"/>
                    </pic:cNvPicPr>
                  </pic:nvPicPr>
                  <pic:blipFill>
                    <a:blip r:embed="rId1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9" name="Picture"/>
            <a:graphic>
              <a:graphicData uri="http://schemas.openxmlformats.org/drawingml/2006/picture">
                <pic:pic>
                  <pic:nvPicPr>
                    <pic:cNvPr descr="S1-supplement-sensitivity_files/figure-docx/s6-sbm-compute-4.png" id="120" name="Picture"/>
                    <pic:cNvPicPr>
                      <a:picLocks noChangeArrowheads="1" noChangeAspect="1"/>
                    </pic:cNvPicPr>
                  </pic:nvPicPr>
                  <pic:blipFill>
                    <a:blip r:embed="rId118"/>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21"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20: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2"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21: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2"/>
        </w:tc>
      </w:tr>
    </w:tbl>
    <w:bookmarkEnd w:id="123"/>
    <w:bookmarkStart w:id="124"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20</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21</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24"/>
    <w:bookmarkEnd w:id="125"/>
    <w:bookmarkStart w:id="129" w:name="sec-s6-4"/>
    <w:p>
      <w:pPr>
        <w:pStyle w:val="Heading2"/>
      </w:pPr>
      <w:r>
        <w:t xml:space="preserve">S6.4 Cross-Validation of Group Assignments (ARI)</w:t>
      </w:r>
    </w:p>
    <w:bookmarkStart w:id="127" w:name="rationale-7"/>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26"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22: Adjusted Rand Index between the main-text manual restricted/broad assignment, the bootstrap modal blocks (S6.2), and the SBM modal assignments (S6.3), by phase.</w:t>
            </w:r>
          </w:p>
          <w:bookmarkEnd w:id="126"/>
        </w:tc>
      </w:tr>
    </w:tbl>
    <w:bookmarkEnd w:id="127"/>
    <w:bookmarkStart w:id="128"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22</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22</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the stochastic block model selects a single block in both phases (S6.3); the SBM therefore provides no two-group ARI, and its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128"/>
    <w:bookmarkEnd w:id="129"/>
    <w:bookmarkStart w:id="130"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18</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21</w:t>
        </w:r>
      </w:hyperlink>
      <w:r>
        <w:t xml:space="preserve">) and reports the number of blocks best supported by the sign-sharing network in each phase (</w:t>
      </w:r>
      <w:hyperlink w:anchor="tbl-sbm-icl">
        <w:r>
          <w:rPr>
            <w:rStyle w:val="Hyperlink"/>
          </w:rPr>
          <w:t xml:space="preserve">Table 20</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22</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130"/>
    <w:bookmarkEnd w:id="131"/>
    <w:bookmarkStart w:id="152" w:name="sec-s6-6"/>
    <w:p>
      <w:pPr>
        <w:pStyle w:val="Heading1"/>
      </w:pPr>
      <w:r>
        <w:t xml:space="preserve">S6.6 Circularity-Breaking Validation of the Restricted/Broad Group Difference</w:t>
      </w:r>
    </w:p>
    <w:bookmarkStart w:id="134" w:name="rationale-8"/>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132"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0.352</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1</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23: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132"/>
        </w:tc>
      </w:tr>
    </w:tbl>
    <w:bookmarkStart w:id="133"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w:t>
      </w:r>
      <w:r>
        <w:t xml:space="preserve"> </w:t>
      </w:r>
      <w:r>
        <w:t xml:space="preserve">-</w:t>
      </w:r>
      <w:r>
        <w:t xml:space="preserve"> </w:t>
      </w:r>
      <w:r>
        <w:rPr>
          <w:iCs/>
          <w:i/>
        </w:rPr>
        <w:t xml:space="preserve">Answer:</w:t>
      </w:r>
      <w:r>
        <w:t xml:space="preserve"> </w:t>
      </w:r>
      <w:r>
        <w:t xml:space="preserve">No. The observed optimal split is</w:t>
      </w:r>
      <w:r>
        <w:t xml:space="preserve"> </w:t>
      </w:r>
      <w:r>
        <w:rPr>
          <w:bCs/>
          <w:b/>
        </w:rPr>
        <w:t xml:space="preserve">not</w:t>
      </w:r>
      <w:r>
        <w:t xml:space="preserve"> </w:t>
      </w:r>
      <w:r>
        <w:t xml:space="preserve">significant (Aur-P1 observed optimal pseudo-F = 5.25, permutation p = 0.352; Aur-P2 observed optimal pseudo-F = 2.2, permutation p = 1). This is consistent with, not contradictory to, the conclusions from strategies B and C below: because B and C independently show the contrast is recoverable from withheld data, the non-significance of A is best read as evidence against a</w:t>
      </w:r>
      <w:r>
        <w:t xml:space="preserve"> </w:t>
      </w:r>
      <w:r>
        <w:rPr>
          <w:iCs/>
          <w:i/>
        </w:rPr>
        <w:t xml:space="preserve">sharp discontinuous partition</w:t>
      </w:r>
      <w:r>
        <w:t xml:space="preserve"> </w:t>
      </w:r>
      <w:r>
        <w:t xml:space="preserve">rather than against the contrast existing. The restricted/broad contrast is therefore a real, recoverable</w:t>
      </w:r>
      <w:r>
        <w:t xml:space="preserve"> </w:t>
      </w:r>
      <w:r>
        <w:rPr>
          <w:iCs/>
          <w:i/>
        </w:rPr>
        <w:t xml:space="preserve">gradient/axis of variation</w:t>
      </w:r>
      <w:r>
        <w:t xml:space="preserve">, but it is not a sharp partition that survives the most stringent</w:t>
      </w:r>
      <w:r>
        <w:t xml:space="preserve"> </w:t>
      </w:r>
      <w:r>
        <w:t xml:space="preserve">“</w:t>
      </w:r>
      <w:r>
        <w:t xml:space="preserve">optimisation-accounted-for</w:t>
      </w:r>
      <w:r>
        <w:t xml:space="preserve">”</w:t>
      </w:r>
      <w:r>
        <w:t xml:space="preserve"> </w:t>
      </w:r>
      <w:r>
        <w:t xml:space="preserve">null.</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 restricted/broad contrast is not a circularity artefact: the grouping is 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r>
        <w:t xml:space="preserve"> </w:t>
      </w:r>
      <w:r>
        <w:t xml:space="preserve"># S7. Object-Type Sensitivity: Figurine Exclusion {#sec-s7}</w:t>
      </w:r>
    </w:p>
    <w:bookmarkEnd w:id="133"/>
    <w:bookmarkEnd w:id="134"/>
    <w:bookmarkStart w:id="135" w:name="s7.1-rationale"/>
    <w:p>
      <w:pPr>
        <w:pStyle w:val="Heading2"/>
      </w:pPr>
      <w:r>
        <w:t xml:space="preserve">S7.1 Rationale</w:t>
      </w:r>
    </w:p>
    <w:p>
      <w:pPr>
        <w:pStyle w:val="FirstParagraph"/>
      </w:pPr>
      <w:r>
        <w:t xml:space="preserve">[6]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5"/>
    <w:bookmarkStart w:id="137"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6"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24: Distribution of figurine objects across phases and sites. Figurine types include figurine zoomorph, figurine anthropomorph, figurine undet., and possible figurine.</w:t>
            </w:r>
          </w:p>
          <w:bookmarkEnd w:id="136"/>
        </w:tc>
      </w:tr>
    </w:tbl>
    <w:p>
      <w:pPr>
        <w:pStyle w:val="BodyText"/>
      </w:pPr>
      <w:hyperlink w:anchor="tbl-figurine-count">
        <w:r>
          <w:rPr>
            <w:rStyle w:val="Hyperlink"/>
          </w:rPr>
          <w:t xml:space="preserve">Table 24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137"/>
    <w:bookmarkStart w:id="142" w:name="s7.3-analysis-1-exclude-all-figurines"/>
    <w:p>
      <w:pPr>
        <w:pStyle w:val="Heading2"/>
      </w:pPr>
      <w:r>
        <w:t xml:space="preserve">S7.3 Analysis 1: Exclude All Figurines</w:t>
      </w:r>
    </w:p>
    <w:bookmarkStart w:id="140"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25: Network statistics before and after excluding all figurine objects (figurine zoomorph, figurine anthropomorph, figurine undet., and possible figurine). Threshold = 0.2, Jaccard similarity.</w:t>
            </w:r>
          </w:p>
          <w:bookmarkEnd w:id="13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26: Number of sites per phase before and after figurine exclusion. Sites are lost when all objects at that site are figurines.</w:t>
            </w:r>
          </w:p>
          <w:bookmarkEnd w:id="139"/>
        </w:tc>
      </w:tr>
    </w:tbl>
    <w:bookmarkEnd w:id="140"/>
    <w:bookmarkStart w:id="141"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141"/>
    <w:bookmarkEnd w:id="142"/>
    <w:bookmarkStart w:id="147" w:name="X7549e60451b9f7bbee640100d361a0cf771ac62"/>
    <w:p>
      <w:pPr>
        <w:pStyle w:val="Heading2"/>
      </w:pPr>
      <w:r>
        <w:t xml:space="preserve">S7.4 Analysis 2: Exclude Vogelherd Figurines Only</w:t>
      </w:r>
    </w:p>
    <w:bookmarkStart w:id="145"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43"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27: Network statistics before and after excluding figurines from Vogelherd only. All other figurines (Hohle Fels, Geissenklösterle, Hohlenstein-Stadel, La Ferrassie) are retained. Threshold = 0.2, Jaccard similarity.</w:t>
            </w:r>
          </w:p>
          <w:bookmarkEnd w:id="1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4"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28: Vogelherd object counts before and after removing figurines. Non-figurine objects at Vogelherd (tools, plaquettes, etc.) are retained.</w:t>
            </w:r>
          </w:p>
          <w:bookmarkEnd w:id="144"/>
        </w:tc>
      </w:tr>
    </w:tbl>
    <w:bookmarkEnd w:id="145"/>
    <w:bookmarkStart w:id="146"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146"/>
    <w:bookmarkEnd w:id="147"/>
    <w:bookmarkStart w:id="149"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8"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29: Side-by-side comparison of network statistics across all conditions: baseline (all objects), exclude all figurines, and exclude Vogelherd figurines only. The rightmost columns show the percentage change in mean degree from baseline.</w:t>
            </w:r>
          </w:p>
          <w:bookmarkEnd w:id="148"/>
        </w:tc>
      </w:tr>
    </w:tbl>
    <w:bookmarkEnd w:id="149"/>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150"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30: Mean degree by figurine-exclusion condition, with percentage change from baseline. Reproduced directly from the joint comparison in</w:t>
            </w:r>
            <w:r>
              <w:t xml:space="preserve"> </w:t>
            </w:r>
            <w:hyperlink w:anchor="tbl-objtype-joint">
              <w:r>
                <w:rPr>
                  <w:rStyle w:val="Hyperlink"/>
                </w:rPr>
                <w:t xml:space="preserve">Table 29</w:t>
              </w:r>
            </w:hyperlink>
            <w:r>
              <w:t xml:space="preserve">.</w:t>
            </w:r>
          </w:p>
          <w:bookmarkEnd w:id="150"/>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[6]</w:t>
      </w:r>
      <w:r>
        <w:t xml:space="preserve"> </w:t>
      </w:r>
      <w:r>
        <w:t xml:space="preserve">argument that figurines carry high-information sign sequences, but the communities themselves are defined by shared sign types across all object types.</w:t>
      </w:r>
    </w:p>
    <w:bookmarkEnd w:id="151"/>
    <w:bookmarkEnd w:id="152"/>
    <w:bookmarkStart w:id="160"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[7,8]</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[9]</w:t>
      </w:r>
      <w:r>
        <w:t xml:space="preserve"> </w:t>
      </w:r>
      <w:r>
        <w:t xml:space="preserve">classify this as Early Aurignacian (Aur-P1) based on carinated scrapers and wide Aurignacian blades. No split-base bone points (Proto-Aurignacian diagnostic) were found</w:t>
      </w:r>
      <w:r>
        <w:t xml:space="preserve"> </w:t>
      </w:r>
      <w:r>
        <w:t xml:space="preserve">[9,10]</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[11]</w:t>
      </w:r>
      <w:r>
        <w:t xml:space="preserve">. Direct dates of ~31 ka ¹⁴C BP (~35–36 cal BP) are too young for Proto-Aurignacian</w:t>
      </w:r>
      <w:r>
        <w:t xml:space="preserve"> </w:t>
      </w:r>
      <w:r>
        <w:t xml:space="preserve">[12]</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5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8"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157"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8.57</w:t>
                  </w:r>
                </w:p>
              </w:tc>
              <w:tc>
                <w:tcPr/>
                <w:p>
                  <w:pPr>
                    <w:pStyle w:val="Compact"/>
                    <w:jc w:val="right"/>
                    <w:jc w:val="center"/>
                  </w:pPr>
                  <w:r>
                    <w:t xml:space="preserve">3.33</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32: Mean degree by phase under each reassignment condition. The Aur-P1 &gt; Aur-P2 ordering is preserved under every condition.</w:t>
            </w:r>
          </w:p>
          <w:bookmarkEnd w:id="157"/>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8"/>
    <w:bookmarkStart w:id="159"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59"/>
    <w:bookmarkEnd w:id="160"/>
    <w:bookmarkStart w:id="218"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four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w:t>
      </w:r>
    </w:p>
    <w:p>
      <w:pPr>
        <w:numPr>
          <w:ilvl w:val="0"/>
          <w:numId w:val="1008"/>
        </w:numPr>
        <w:pStyle w:val="Compact"/>
      </w:pPr>
      <w:r>
        <w:rPr>
          <w:bCs/>
          <w:b/>
        </w:rPr>
        <w:t xml:space="preserve">(S9.5)</w:t>
      </w:r>
      <w:r>
        <w:t xml:space="preserve"> </w:t>
      </w:r>
      <w:r>
        <w:t xml:space="preserve">Taken together, is the R/B division independent of sampling intensity, and if not, what limitation must be stated?</w:t>
      </w:r>
    </w:p>
    <w:bookmarkStart w:id="168" w:name="sec-s9-1"/>
    <w:p>
      <w:pPr>
        <w:pStyle w:val="Heading2"/>
      </w:pPr>
      <w:r>
        <w:t xml:space="preserve">S9.1 Object-count distribution and feasible common counts</w:t>
      </w:r>
    </w:p>
    <w:bookmarkStart w:id="166" w:name="rationale-9"/>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61"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33: Per-site object counts by phase and manual restricted(1)/broad(2) group. The reviewer notes the strong Spearman correlation (ρ = 0.86) between object count and sign-type richness across sites.</w:t>
            </w:r>
          </w:p>
          <w:bookmarkEnd w:id="161"/>
        </w:tc>
      </w:tr>
    </w:tbl>
    <w:tbl>
      <w:tblPr>
        <w:tblStyle w:val="Table"/>
        <w:tblW w:type="pct" w:w="5000"/>
        <w:tblLook w:firstRow="0" w:lastRow="0" w:firstColumn="0" w:lastColumn="0" w:noHBand="0" w:noVBand="0" w:val="0000"/>
        <w:jc w:val="start"/>
        <w:tblLayout w:type="fixed"/>
      </w:tblPr>
      <w:tblGrid>
        <w:gridCol w:w="7920"/>
      </w:tblGrid>
      <w:tr>
        <w:tc>
          <w:tcPr/>
          <w:bookmarkStart w:id="165" w:name="fig-s9-objhist"/>
          <w:p>
            <w:pPr>
              <w:pStyle w:val="Compact"/>
              <w:jc w:val="center"/>
            </w:pPr>
            <w:r>
              <w:drawing>
                <wp:inline>
                  <wp:extent cx="5943600" cy="2971800"/>
                  <wp:effectExtent b="0" l="0" r="0" t="0"/>
                  <wp:docPr descr="" title="" id="163" name="Picture"/>
                  <a:graphic>
                    <a:graphicData uri="http://schemas.openxmlformats.org/drawingml/2006/picture">
                      <pic:pic>
                        <pic:nvPicPr>
                          <pic:cNvPr descr="S1-supplement-sensitivity_files/figure-docx/fig-s9-objhist-1.png" id="164" name="Picture"/>
                          <pic:cNvPicPr>
                            <a:picLocks noChangeArrowheads="1" noChangeAspect="1"/>
                          </pic:cNvPicPr>
                        </pic:nvPicPr>
                        <pic:blipFill>
                          <a:blip r:embed="rId16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165"/>
        </w:tc>
      </w:tr>
    </w:tbl>
    <w:bookmarkEnd w:id="166"/>
    <w:bookmarkStart w:id="167"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67"/>
    <w:bookmarkEnd w:id="168"/>
    <w:bookmarkStart w:id="177" w:name="sec-s9-2"/>
    <w:p>
      <w:pPr>
        <w:pStyle w:val="Heading2"/>
      </w:pPr>
      <w:r>
        <w:t xml:space="preserve">S9.2 Object-level downsampling sensitivity</w:t>
      </w:r>
    </w:p>
    <w:bookmarkStart w:id="175" w:name="rationale-10"/>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69"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34: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6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70"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35: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70"/>
        </w:tc>
      </w:tr>
    </w:tbl>
    <w:tbl>
      <w:tblPr>
        <w:tblStyle w:val="Table"/>
        <w:tblW w:type="pct" w:w="5000"/>
        <w:tblLook w:firstRow="0" w:lastRow="0" w:firstColumn="0" w:lastColumn="0" w:noHBand="0" w:noVBand="0" w:val="0000"/>
        <w:jc w:val="start"/>
        <w:tblLayout w:type="fixed"/>
      </w:tblPr>
      <w:tblGrid>
        <w:gridCol w:w="7920"/>
      </w:tblGrid>
      <w:tr>
        <w:tc>
          <w:tcPr/>
          <w:bookmarkStart w:id="174" w:name="fig-s9-retention"/>
          <w:p>
            <w:pPr>
              <w:pStyle w:val="Compact"/>
              <w:jc w:val="center"/>
            </w:pPr>
            <w:r>
              <w:drawing>
                <wp:inline>
                  <wp:extent cx="5943600" cy="5943600"/>
                  <wp:effectExtent b="0" l="0" r="0" t="0"/>
                  <wp:docPr descr="" title="" id="172" name="Picture"/>
                  <a:graphic>
                    <a:graphicData uri="http://schemas.openxmlformats.org/drawingml/2006/picture">
                      <pic:pic>
                        <pic:nvPicPr>
                          <pic:cNvPr descr="S1-supplement-sensitivity_files/figure-docx/fig-s9-retention-1.png" id="173" name="Picture"/>
                          <pic:cNvPicPr>
                            <a:picLocks noChangeArrowheads="1" noChangeAspect="1"/>
                          </pic:cNvPicPr>
                        </pic:nvPicPr>
                        <pic:blipFill>
                          <a:blip r:embed="rId17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174"/>
        </w:tc>
      </w:tr>
    </w:tbl>
    <w:bookmarkEnd w:id="175"/>
    <w:bookmarkStart w:id="176"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176"/>
    <w:bookmarkEnd w:id="177"/>
    <w:bookmarkStart w:id="185" w:name="sec-s9-3"/>
    <w:p>
      <w:pPr>
        <w:pStyle w:val="Heading2"/>
      </w:pPr>
      <w:r>
        <w:t xml:space="preserve">S9.3 Coverage-based rarefaction</w:t>
      </w:r>
    </w:p>
    <w:bookmarkStart w:id="183" w:name="rationale-11"/>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 For each site we accumulate its objects in random order and, at each sample size m, record the number of distinct sign types observed (richness) and the sample coverage</w:t>
      </w:r>
      <w:r>
        <w:t xml:space="preserve"> </w:t>
      </w:r>
      <m:oMath>
        <m:r>
          <m:t>C</m:t>
        </m:r>
        <m:d>
          <m:dPr>
            <m:begChr m:val="("/>
            <m:endChr m:val=")"/>
            <m:sepChr m:val=""/>
            <m:grow/>
          </m:dPr>
          <m:e>
            <m:r>
              <m:t>m</m:t>
            </m:r>
          </m:e>
        </m:d>
        <m:r>
          <m:rPr>
            <m:sty m:val="p"/>
          </m:rPr>
          <m:t>=</m:t>
        </m:r>
        <m:r>
          <m:t>1</m:t>
        </m:r>
        <m:r>
          <m:rPr>
            <m:sty m:val="p"/>
          </m:rPr>
          <m:t>−</m:t>
        </m:r>
        <m:sSub>
          <m:e>
            <m:r>
              <m:t>f</m:t>
            </m:r>
          </m:e>
          <m:sub>
            <m:r>
              <m:t>1</m:t>
            </m:r>
          </m:sub>
        </m:sSub>
        <m:d>
          <m:dPr>
            <m:begChr m:val="("/>
            <m:endChr m:val=")"/>
            <m:sepChr m:val=""/>
            <m:grow/>
          </m:dPr>
          <m:e>
            <m:r>
              <m:t>m</m:t>
            </m:r>
          </m:e>
        </m:d>
        <m:r>
          <m:rPr>
            <m:sty m:val="p"/>
          </m:rPr>
          <m:t>/</m:t>
        </m:r>
        <m:r>
          <m:t>m</m:t>
        </m:r>
      </m:oMath>
      <w:r>
        <w:t xml:space="preserve">, where</w:t>
      </w:r>
      <w:r>
        <w:t xml:space="preserve"> </w:t>
      </w:r>
      <m:oMath>
        <m:sSub>
          <m:e>
            <m:r>
              <m:t>f</m:t>
            </m:r>
          </m:e>
          <m:sub>
            <m:r>
              <m:t>1</m:t>
            </m:r>
          </m:sub>
        </m:sSub>
        <m:d>
          <m:dPr>
            <m:begChr m:val="("/>
            <m:endChr m:val=")"/>
            <m:sepChr m:val=""/>
            <m:grow/>
          </m:dPr>
          <m:e>
            <m:r>
              <m:t>m</m:t>
            </m:r>
          </m:e>
        </m:d>
      </m:oMath>
      <w:r>
        <w:t xml:space="preserve"> </w:t>
      </w:r>
      <w:r>
        <w:t xml:space="preserve">is the number of sign types seen on exactly one of the first m objects. We average these curves over 200 random orderings and interpolate each site’s richness at a target coverage of 0.9 (a standard</w:t>
      </w:r>
      <w:r>
        <w:t xml:space="preserve"> </w:t>
      </w:r>
      <w:r>
        <w:t xml:space="preserve">“</w:t>
      </w:r>
      <w:r>
        <w:t xml:space="preserve">high coverage</w:t>
      </w:r>
      <w:r>
        <w:t xml:space="preserve">”</w:t>
      </w:r>
      <w:r>
        <w:t xml:space="preserve"> </w:t>
      </w:r>
      <w:r>
        <w:t xml:space="preserve">benchmark).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178" w:name="tbl-s9-rarefaction"/>
          <w:tbl>
            <w:tblPr>
              <w:tblStyle w:val="Table"/>
              <w:tblW w:type="pct" w:w="5000"/>
              <w:tblLook w:firstRow="1" w:lastRow="0" w:firstColumn="0" w:lastColumn="0" w:noHBand="0" w:noVBand="0" w:val="0020"/>
              <w:jc w:val="start"/>
              <w:tblLayout w:type="fixed"/>
            </w:tblPr>
            <w:tblGrid>
              <w:gridCol w:w="533"/>
              <w:gridCol w:w="2056"/>
              <w:gridCol w:w="837"/>
              <w:gridCol w:w="609"/>
              <w:gridCol w:w="1218"/>
              <w:gridCol w:w="1218"/>
              <w:gridCol w:w="144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(full)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0.83</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0.90</w:t>
                  </w:r>
                </w:p>
              </w:tc>
              <w:tc>
                <w:tcPr/>
                <w:p>
                  <w:pPr>
                    <w:pStyle w:val="Compact"/>
                    <w:jc w:val="right"/>
                    <w:jc w:val="center"/>
                  </w:pPr>
                  <w:r>
                    <w:t xml:space="preserve">11.00</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0.90</w:t>
                  </w:r>
                </w:p>
              </w:tc>
              <w:tc>
                <w:tcPr/>
                <w:p>
                  <w:pPr>
                    <w:pStyle w:val="Compact"/>
                    <w:jc w:val="right"/>
                    <w:jc w:val="center"/>
                  </w:pPr>
                  <w:r>
                    <w:t xml:space="preserve">5.97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4.84</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11.30</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2.00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1.95</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bl>
          <w:p>
            <w:pPr>
              <w:jc w:val="center"/>
            </w:pPr>
            <w:pPr>
              <w:jc w:val="start"/>
              <w:spacing w:before="200"/>
              <w:pStyle w:val="ImageCaption"/>
            </w:pPr>
            <w:r>
              <w:t xml:space="preserve">Table 36: Coverage-based rarefaction per site. richness_full is the observed number of sign types; coverage_full is the sample coverage at the full object sample; richness_at_target is the sign-type richness interpolated at target coverage = 0.9. Sites that never reach the target coverage are reported as NA, meaning rarefaction cannot assess them.</w:t>
            </w:r>
          </w:p>
          <w:bookmarkEnd w:id="178"/>
        </w:tc>
      </w:tr>
    </w:tbl>
    <w:tbl>
      <w:tblPr>
        <w:tblStyle w:val="Table"/>
        <w:tblW w:type="pct" w:w="5000"/>
        <w:tblLook w:firstRow="0" w:lastRow="0" w:firstColumn="0" w:lastColumn="0" w:noHBand="0" w:noVBand="0" w:val="0000"/>
        <w:jc w:val="start"/>
        <w:tblLayout w:type="fixed"/>
      </w:tblPr>
      <w:tblGrid>
        <w:gridCol w:w="7920"/>
      </w:tblGrid>
      <w:tr>
        <w:tc>
          <w:tcPr/>
          <w:bookmarkStart w:id="182" w:name="fig-s9-rarefaction"/>
          <w:p>
            <w:pPr>
              <w:pStyle w:val="Compact"/>
              <w:jc w:val="center"/>
            </w:pPr>
            <w:r>
              <w:drawing>
                <wp:inline>
                  <wp:extent cx="5943600" cy="3396342"/>
                  <wp:effectExtent b="0" l="0" r="0" t="0"/>
                  <wp:docPr descr="" title="" id="180" name="Picture"/>
                  <a:graphic>
                    <a:graphicData uri="http://schemas.openxmlformats.org/drawingml/2006/picture">
                      <pic:pic>
                        <pic:nvPicPr>
                          <pic:cNvPr descr="S1-supplement-sensitivity_files/figure-docx/fig-s9-rarefaction-1.png" id="181" name="Picture"/>
                          <pic:cNvPicPr>
                            <a:picLocks noChangeArrowheads="1" noChangeAspect="1"/>
                          </pic:cNvPicPr>
                        </pic:nvPicPr>
                        <pic:blipFill>
                          <a:blip r:embed="rId179"/>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interpolated at target coverage = 0.9, by manual group, for sites that reach that coverage. Restricted sites (green) that attain high coverage remain low-richness; broad sites (red) remain high-richness.</w:t>
            </w:r>
          </w:p>
          <w:bookmarkEnd w:id="182"/>
        </w:tc>
      </w:tr>
    </w:tbl>
    <w:bookmarkEnd w:id="183"/>
    <w:bookmarkStart w:id="184"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7 of 20 sites reach coverage 0.9; in Aur-P2 only 2 of 9 do. Among the Aur-P1 sites that do reach the target, restricted sites remain low-richness (mean 1 sign types) while broad sites remain high-richness (mean 8.28), a difference that is borderline significant (Wilcoxon p = 0.057). For Aur-P2 the number of sites reaching the target is too small to support a group comparison (p = not computable (too few sites per group)).</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but the majority of sites — the small-object sites — never attain the target coverage and therefore cannot be placed on a common coverage footing at all. In Aur-P1, 7 of 20 sites reach coverage 0.9, and among them restricted sites remain low-richness (mean 1) while broad sites remain high-richness (mean 8.28; Wilcoxon p = 0.057). In Aur-P2 only 2 sites reach the target, of which 0 are broad and 2 restricted, so a group comparison is not computable (too few sites per group). Coverage-based rarefaction is consequently unreliable for the smallest assemblages: it can compare well-sampled sites, but it cannot rescue the assignment of sites with only one or two objects. This is the same limitation encountered in S9.2, approached from the richness axis.</w:t>
      </w:r>
    </w:p>
    <w:bookmarkEnd w:id="184"/>
    <w:bookmarkEnd w:id="185"/>
    <w:bookmarkStart w:id="189" w:name="sec-s9-4"/>
    <w:p>
      <w:pPr>
        <w:pStyle w:val="Heading2"/>
      </w:pPr>
      <w:r>
        <w:t xml:space="preserve">S9.4 Mixed model with object-count offset</w:t>
      </w:r>
    </w:p>
    <w:bookmarkStart w:id="187" w:name="rationale-12"/>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We fit a negative-binomial model of per-site sign-type richness with the manual group and phase as predictors and</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so that the group coefficient estimates the richness difference between restricted and broad sites at equal object count:</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186" w:name="tbl-s9-mixe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right"/>
                    <w:jc w:val="center"/>
                  </w:pPr>
                  <w:r>
                    <w:t xml:space="preserve">log-rate</w:t>
                  </w:r>
                </w:p>
              </w:tc>
              <w:tc>
                <w:tcPr/>
                <w:p>
                  <w:pPr>
                    <w:pStyle w:val="Compact"/>
                    <w:jc w:val="right"/>
                    <w:jc w:val="center"/>
                  </w:pPr>
                  <w:r>
                    <w:t xml:space="preserve">rate ratio</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0.113</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0.292</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0.462</w:t>
                  </w:r>
                </w:p>
              </w:tc>
            </w:tr>
          </w:tbl>
          <w:p>
            <w:pPr>
              <w:jc w:val="center"/>
            </w:pPr>
            <w:pPr>
              <w:jc w:val="start"/>
              <w:spacing w:before="200"/>
              <w:pStyle w:val="ImageCaption"/>
            </w:pPr>
            <w:r>
              <w:t xml:space="preserve">Table 37: Negative-binomial model of per-site sign-type richness with object count as an offset (exposure). The group coefficient is the log rate ratio of broad versus restricted sites at equal object count; a non-significant coefficient means the raw richness gap between groups is explained by object count.</w:t>
            </w:r>
          </w:p>
          <w:bookmarkEnd w:id="186"/>
        </w:tc>
      </w:tr>
    </w:tbl>
    <w:bookmarkEnd w:id="187"/>
    <w:bookmarkStart w:id="188"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No. With object count entered as an offset, the group coefficient is -0.329 (rate ratio 0.72, p = 0.292), i.e. non-significant and even slightly</w:t>
      </w:r>
      <w:r>
        <w:t xml:space="preserve"> </w:t>
      </w:r>
      <w:r>
        <w:rPr>
          <w:iCs/>
          <w:i/>
        </w:rPr>
        <w:t xml:space="preserve">negative</w:t>
      </w:r>
      <w:r>
        <w:t xml:space="preserve">: at equal object count, broad-range sites are not richer than restricted-range sites, and if anything marginally poorer. The strong raw correlation between object count and sign-type richness that motivated the reviewer’s concern is therefore explained by object count itself.</w:t>
      </w:r>
      <w:r>
        <w:t xml:space="preserve"> </w:t>
      </w:r>
      <w:r>
        <w:rPr>
          <w:bCs/>
          <w:b/>
        </w:rPr>
        <w:t xml:space="preserve">Answer:</w:t>
      </w:r>
      <w:r>
        <w:t xml:space="preserve"> </w:t>
      </w:r>
      <w:r>
        <w:t xml:space="preserve">the richness difference between the groups is largely a sampling-effort artefact; group membership does not independently predict sign-type richness once object count is accounted for.</w:t>
      </w:r>
    </w:p>
    <w:bookmarkEnd w:id="188"/>
    <w:bookmarkEnd w:id="189"/>
    <w:bookmarkStart w:id="190" w:name="s9.5-synthesis-and-limitation"/>
    <w:p>
      <w:pPr>
        <w:pStyle w:val="Heading2"/>
      </w:pPr>
      <w:r>
        <w:t xml:space="preserve">S9.5 Synthesis and limitation</w:t>
      </w:r>
    </w:p>
    <w:p>
      <w:pPr>
        <w:pStyle w:val="FirstParagraph"/>
      </w:pPr>
      <w:r>
        <w:t xml:space="preserve">The three object-level analyses converge on a single conclusion. (1) Under object-downsampling, only the best-sampled sites retain their R/B assignment; small-object sites flip group at rates indistinguishable from chance, and network modularity collapses (S9.2). (2) Coverage-based rarefaction can compare richness only among the well-sampled sites, and even there the broad/restricted contrast persists — but the majority of sites never reach a comparable coverage, so the method cannot vindicate them (S9.3). (3) Once object count is held constant statistically, group no longer predicts sign-type richness (S9.4).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w:t>
      </w:r>
    </w:p>
    <w:bookmarkEnd w:id="190"/>
    <w:bookmarkStart w:id="217" w:name="references-cited"/>
    <w:p>
      <w:pPr>
        <w:pStyle w:val="Heading2"/>
      </w:pPr>
      <w:r>
        <w:t xml:space="preserve">References cited</w:t>
      </w:r>
    </w:p>
    <w:bookmarkStart w:id="216" w:name="refs"/>
    <w:bookmarkStart w:id="192"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91">
        <w:r>
          <w:rPr>
            <w:rStyle w:val="Hyperlink"/>
          </w:rPr>
          <w:t xml:space="preserve">https://doi.org/10.1016/j.quascirev.2021.106995</w:t>
        </w:r>
      </w:hyperlink>
      <w:r>
        <w:t xml:space="preserve">.</w:t>
      </w:r>
    </w:p>
    <w:bookmarkEnd w:id="192"/>
    <w:bookmarkStart w:id="194"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93">
        <w:r>
          <w:rPr>
            <w:rStyle w:val="Hyperlink"/>
          </w:rPr>
          <w:t xml:space="preserve">https://doi.org/10.1007/s41982-017-0004-4</w:t>
        </w:r>
      </w:hyperlink>
      <w:r>
        <w:t xml:space="preserve">.</w:t>
      </w:r>
    </w:p>
    <w:bookmarkEnd w:id="194"/>
    <w:bookmarkStart w:id="196"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95">
        <w:r>
          <w:rPr>
            <w:rStyle w:val="Hyperlink"/>
          </w:rPr>
          <w:t xml:space="preserve">https://doi.org/10.1103/PhysRevE.69.026113</w:t>
        </w:r>
      </w:hyperlink>
      <w:r>
        <w:t xml:space="preserve">.</w:t>
      </w:r>
    </w:p>
    <w:bookmarkEnd w:id="196"/>
    <w:bookmarkStart w:id="198" w:name="ref-Lichstein_2007"/>
    <w:p>
      <w:pPr>
        <w:pStyle w:val="Bibliography"/>
      </w:pPr>
      <w:r>
        <w:t xml:space="preserve">[4]</w:t>
      </w:r>
      <w:r>
        <w:t xml:space="preserve"> </w:t>
      </w:r>
      <w:r>
        <w:t xml:space="preserve">	</w:t>
      </w:r>
      <w:r>
        <w:t xml:space="preserve">Lichstein JW. Multiple regression on distance matrices: A multivariate spatial analysis tool. Plant Ecology 2007;188:117–31.</w:t>
      </w:r>
      <w:r>
        <w:t xml:space="preserve"> </w:t>
      </w:r>
      <w:hyperlink r:id="rId197">
        <w:r>
          <w:rPr>
            <w:rStyle w:val="Hyperlink"/>
          </w:rPr>
          <w:t xml:space="preserve">https://doi.org/10.1007/s11258-006-9126-3</w:t>
        </w:r>
      </w:hyperlink>
      <w:r>
        <w:t xml:space="preserve">.</w:t>
      </w:r>
    </w:p>
    <w:bookmarkEnd w:id="198"/>
    <w:bookmarkStart w:id="200" w:name="ref-Monti_2003"/>
    <w:p>
      <w:pPr>
        <w:pStyle w:val="Bibliography"/>
      </w:pPr>
      <w:r>
        <w:t xml:space="preserve">[5]</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99">
        <w:r>
          <w:rPr>
            <w:rStyle w:val="Hyperlink"/>
          </w:rPr>
          <w:t xml:space="preserve">https://doi.org/10.1023/A:1023949509487</w:t>
        </w:r>
      </w:hyperlink>
      <w:r>
        <w:t xml:space="preserve">.</w:t>
      </w:r>
    </w:p>
    <w:bookmarkEnd w:id="200"/>
    <w:bookmarkStart w:id="202" w:name="ref-Bentz_Dutkiewicz_2026"/>
    <w:p>
      <w:pPr>
        <w:pStyle w:val="Bibliography"/>
      </w:pPr>
      <w:r>
        <w:t xml:space="preserve">[6]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01">
        <w:r>
          <w:rPr>
            <w:rStyle w:val="Hyperlink"/>
          </w:rPr>
          <w:t xml:space="preserve">https://doi.org/10.1073/pnas.2520385123</w:t>
        </w:r>
      </w:hyperlink>
      <w:r>
        <w:t xml:space="preserve">.</w:t>
      </w:r>
    </w:p>
    <w:bookmarkEnd w:id="202"/>
    <w:bookmarkStart w:id="204" w:name="ref-Chiotti_2005"/>
    <w:p>
      <w:pPr>
        <w:pStyle w:val="Bibliography"/>
      </w:pPr>
      <w:r>
        <w:t xml:space="preserve">[7]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03">
        <w:r>
          <w:rPr>
            <w:rStyle w:val="Hyperlink"/>
          </w:rPr>
          <w:t xml:space="preserve">https://doi.org/10.30861/9781841718309</w:t>
        </w:r>
      </w:hyperlink>
      <w:r>
        <w:t xml:space="preserve">.</w:t>
      </w:r>
    </w:p>
    <w:bookmarkEnd w:id="204"/>
    <w:bookmarkStart w:id="206" w:name="ref-Higham_Abri_Pataud_2011"/>
    <w:p>
      <w:pPr>
        <w:pStyle w:val="Bibliography"/>
      </w:pPr>
      <w:r>
        <w:t xml:space="preserve">[8]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05">
        <w:r>
          <w:rPr>
            <w:rStyle w:val="Hyperlink"/>
          </w:rPr>
          <w:t xml:space="preserve">https://doi.org/10.1016/j.jhevol.2011.06.005</w:t>
        </w:r>
      </w:hyperlink>
      <w:r>
        <w:t xml:space="preserve">.</w:t>
      </w:r>
    </w:p>
    <w:bookmarkEnd w:id="206"/>
    <w:bookmarkStart w:id="208"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07">
        <w:r>
          <w:rPr>
            <w:rStyle w:val="Hyperlink"/>
          </w:rPr>
          <w:t xml:space="preserve">https://doi.org/10.1002/jqs.3236</w:t>
        </w:r>
      </w:hyperlink>
      <w:r>
        <w:t xml:space="preserve">.</w:t>
      </w:r>
    </w:p>
    <w:bookmarkEnd w:id="208"/>
    <w:bookmarkStart w:id="209" w:name="ref-Delporte_1984_Ferrassie"/>
    <w:p>
      <w:pPr>
        <w:pStyle w:val="Bibliography"/>
      </w:pPr>
      <w:r>
        <w:t xml:space="preserve">[10]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09"/>
    <w:bookmarkStart w:id="211" w:name="ref-Oliva_2006"/>
    <w:p>
      <w:pPr>
        <w:pStyle w:val="Bibliography"/>
      </w:pPr>
      <w:r>
        <w:t xml:space="preserve">[11]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10">
        <w:r>
          <w:rPr>
            <w:rStyle w:val="Hyperlink"/>
          </w:rPr>
          <w:t xml:space="preserve">https://doi.org/10.1007/978-3-211-49294-9_4</w:t>
        </w:r>
      </w:hyperlink>
      <w:r>
        <w:t xml:space="preserve">.</w:t>
      </w:r>
    </w:p>
    <w:bookmarkEnd w:id="211"/>
    <w:bookmarkStart w:id="213" w:name="ref-Wild_et_al_2005"/>
    <w:p>
      <w:pPr>
        <w:pStyle w:val="Bibliography"/>
      </w:pPr>
      <w:r>
        <w:t xml:space="preserve">[12]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12">
        <w:r>
          <w:rPr>
            <w:rStyle w:val="Hyperlink"/>
          </w:rPr>
          <w:t xml:space="preserve">https://doi.org/10.1038/nature03585</w:t>
        </w:r>
      </w:hyperlink>
      <w:r>
        <w:t xml:space="preserve">.</w:t>
      </w:r>
    </w:p>
    <w:bookmarkEnd w:id="213"/>
    <w:bookmarkStart w:id="215" w:name="ref-Schurch_Conard_2026_reassess"/>
    <w:p>
      <w:pPr>
        <w:pStyle w:val="Bibliography"/>
      </w:pPr>
      <w:r>
        <w:t xml:space="preserve">[13]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14">
        <w:r>
          <w:rPr>
            <w:rStyle w:val="Hyperlink"/>
          </w:rPr>
          <w:t xml:space="preserve">https://doi.org/10.1007/s41982-025-00246-x</w:t>
        </w:r>
      </w:hyperlink>
      <w:r>
        <w:t xml:space="preserve">.</w:t>
      </w:r>
    </w:p>
    <w:bookmarkEnd w:id="215"/>
    <w:bookmarkEnd w:id="216"/>
    <w:bookmarkEnd w:id="217"/>
    <w:bookmarkEnd w:id="21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86" Target="media/rId86.png" /><Relationship Type="http://schemas.openxmlformats.org/officeDocument/2006/relationships/image" Id="rId162" Target="media/rId162.png" /><Relationship Type="http://schemas.openxmlformats.org/officeDocument/2006/relationships/image" Id="rId179" Target="media/rId179.png" /><Relationship Type="http://schemas.openxmlformats.org/officeDocument/2006/relationships/image" Id="rId171" Target="media/rId171.png" /><Relationship Type="http://schemas.openxmlformats.org/officeDocument/2006/relationships/image" Id="rId73" Target="media/rId73.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hyperlink" Id="rId207" Target="https://doi.org/10.1002/jqs.3236" TargetMode="External" /><Relationship Type="http://schemas.openxmlformats.org/officeDocument/2006/relationships/hyperlink" Id="rId210" Target="https://doi.org/10.1007/978-3-211-49294-9_4" TargetMode="External" /><Relationship Type="http://schemas.openxmlformats.org/officeDocument/2006/relationships/hyperlink" Id="rId197" Target="https://doi.org/10.1007/s11258-006-9126-3" TargetMode="External" /><Relationship Type="http://schemas.openxmlformats.org/officeDocument/2006/relationships/hyperlink" Id="rId193" Target="https://doi.org/10.1007/s41982-017-0004-4" TargetMode="External" /><Relationship Type="http://schemas.openxmlformats.org/officeDocument/2006/relationships/hyperlink" Id="rId214" Target="https://doi.org/10.1007/s41982-025-00246-x" TargetMode="External" /><Relationship Type="http://schemas.openxmlformats.org/officeDocument/2006/relationships/hyperlink" Id="rId205" Target="https://doi.org/10.1016/j.jhevol.2011.06.005" TargetMode="External" /><Relationship Type="http://schemas.openxmlformats.org/officeDocument/2006/relationships/hyperlink" Id="rId191" Target="https://doi.org/10.1016/j.quascirev.2021.106995" TargetMode="External" /><Relationship Type="http://schemas.openxmlformats.org/officeDocument/2006/relationships/hyperlink" Id="rId199" Target="https://doi.org/10.1023/A:1023949509487" TargetMode="External" /><Relationship Type="http://schemas.openxmlformats.org/officeDocument/2006/relationships/hyperlink" Id="rId212" Target="https://doi.org/10.1038/nature03585" TargetMode="External" /><Relationship Type="http://schemas.openxmlformats.org/officeDocument/2006/relationships/hyperlink" Id="rId201" Target="https://doi.org/10.1073/pnas.2520385123" TargetMode="External" /><Relationship Type="http://schemas.openxmlformats.org/officeDocument/2006/relationships/hyperlink" Id="rId195" Target="https://doi.org/10.1103/PhysRevE.69.026113" TargetMode="External" /><Relationship Type="http://schemas.openxmlformats.org/officeDocument/2006/relationships/hyperlink" Id="rId203"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07" Target="https://doi.org/10.1002/jqs.3236" TargetMode="External" /><Relationship Type="http://schemas.openxmlformats.org/officeDocument/2006/relationships/hyperlink" Id="rId210" Target="https://doi.org/10.1007/978-3-211-49294-9_4" TargetMode="External" /><Relationship Type="http://schemas.openxmlformats.org/officeDocument/2006/relationships/hyperlink" Id="rId197" Target="https://doi.org/10.1007/s11258-006-9126-3" TargetMode="External" /><Relationship Type="http://schemas.openxmlformats.org/officeDocument/2006/relationships/hyperlink" Id="rId193" Target="https://doi.org/10.1007/s41982-017-0004-4" TargetMode="External" /><Relationship Type="http://schemas.openxmlformats.org/officeDocument/2006/relationships/hyperlink" Id="rId214" Target="https://doi.org/10.1007/s41982-025-00246-x" TargetMode="External" /><Relationship Type="http://schemas.openxmlformats.org/officeDocument/2006/relationships/hyperlink" Id="rId205" Target="https://doi.org/10.1016/j.jhevol.2011.06.005" TargetMode="External" /><Relationship Type="http://schemas.openxmlformats.org/officeDocument/2006/relationships/hyperlink" Id="rId191" Target="https://doi.org/10.1016/j.quascirev.2021.106995" TargetMode="External" /><Relationship Type="http://schemas.openxmlformats.org/officeDocument/2006/relationships/hyperlink" Id="rId199" Target="https://doi.org/10.1023/A:1023949509487" TargetMode="External" /><Relationship Type="http://schemas.openxmlformats.org/officeDocument/2006/relationships/hyperlink" Id="rId212" Target="https://doi.org/10.1038/nature03585" TargetMode="External" /><Relationship Type="http://schemas.openxmlformats.org/officeDocument/2006/relationships/hyperlink" Id="rId201" Target="https://doi.org/10.1073/pnas.2520385123" TargetMode="External" /><Relationship Type="http://schemas.openxmlformats.org/officeDocument/2006/relationships/hyperlink" Id="rId195" Target="https://doi.org/10.1103/PhysRevE.69.026113" TargetMode="External" /><Relationship Type="http://schemas.openxmlformats.org/officeDocument/2006/relationships/hyperlink" Id="rId203"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2026-08-26T18:46:01Z</dcterms:created>
  <dcterms:modified xsi:type="dcterms:W3CDTF">2026-08-26T18:46:01Z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