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8.png" ContentType="image/png"/>
  <Override PartName="/word/media/rId32.png" ContentType="image/png"/>
  <Override PartName="/word/media/rId24.png" ContentType="image/png"/>
  <Override PartName="/word/media/rId73.png" ContentType="image/png"/>
  <Override PartName="/word/media/rId95.png" ContentType="image/png"/>
  <Override PartName="/word/media/rId122.png" ContentType="image/png"/>
  <Override PartName="/word/media/rId125.png" ContentType="image/png"/>
  <Override PartName="/word/media/rId128.png" ContentType="image/png"/>
  <Override PartName="/word/media/rId98.png" ContentType="image/png"/>
  <Override PartName="/word/media/rId101.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5,</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30" w:name="sec-s1"/>
    <w:p>
      <w:pPr>
        <w:pStyle w:val="Heading1"/>
      </w:pPr>
      <w:r>
        <w:t xml:space="preserve">S1. Sensitivity Analysis: Network Similarity Threshold</w:t>
      </w:r>
    </w:p>
    <w:bookmarkStart w:id="21" w:name="rationale"/>
    <w:p>
      <w:pPr>
        <w:pStyle w:val="Heading2"/>
      </w:pPr>
      <w:r>
        <w:t xml:space="preserve">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w:t>
      </w:r>
    </w:p>
    <w:bookmarkEnd w:id="21"/>
    <w:bookmarkStart w:id="23" w:name="Xd53b739e584c9b7d68a031ca84d664a82d3d8af"/>
    <w:p>
      <w:pPr>
        <w:pStyle w:val="Heading2"/>
      </w:pPr>
      <w:r>
        <w:t xml:space="preserve">S1.1 Network Statistics Across Thresholds</w:t>
      </w:r>
    </w:p>
    <w:p>
      <w:pPr>
        <w:pStyle w:val="FirstParagraph"/>
      </w:pPr>
      <w:hyperlink w:anchor="tbl-sens-stats">
        <w:r>
          <w:rPr>
            <w:rStyle w:val="Hyperlink"/>
          </w:rPr>
          <w:t xml:space="preserve">Table 1</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2"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126</w:t>
                  </w:r>
                </w:p>
              </w:tc>
              <w:tc>
                <w:tcPr/>
                <w:p>
                  <w:pPr>
                    <w:pStyle w:val="Compact"/>
                    <w:jc w:val="right"/>
                    <w:jc w:val="center"/>
                  </w:pPr>
                  <w:r>
                    <w:t xml:space="preserve">0.663</w:t>
                  </w:r>
                </w:p>
              </w:tc>
              <w:tc>
                <w:tcPr/>
                <w:p>
                  <w:pPr>
                    <w:pStyle w:val="Compact"/>
                    <w:jc w:val="right"/>
                    <w:jc w:val="center"/>
                  </w:pPr>
                  <w:r>
                    <w:t xml:space="preserve">0</w:t>
                  </w:r>
                </w:p>
              </w:tc>
              <w:tc>
                <w:tcPr/>
                <w:p>
                  <w:pPr>
                    <w:pStyle w:val="Compact"/>
                    <w:jc w:val="right"/>
                    <w:jc w:val="center"/>
                  </w:pPr>
                  <w:r>
                    <w:t xml:space="preserve">12.60</w:t>
                  </w:r>
                </w:p>
              </w:tc>
              <w:tc>
                <w:tcPr/>
                <w:p>
                  <w:pPr>
                    <w:pStyle w:val="Compact"/>
                    <w:jc w:val="right"/>
                    <w:jc w:val="center"/>
                  </w:pPr>
                  <w:r>
                    <w:t xml:space="preserve">0.826</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24</w:t>
                  </w:r>
                </w:p>
              </w:tc>
              <w:tc>
                <w:tcPr/>
                <w:p>
                  <w:pPr>
                    <w:pStyle w:val="Compact"/>
                    <w:jc w:val="right"/>
                    <w:jc w:val="center"/>
                  </w:pPr>
                  <w:r>
                    <w:t xml:space="preserve">0.857</w:t>
                  </w:r>
                </w:p>
              </w:tc>
              <w:tc>
                <w:tcPr/>
                <w:p>
                  <w:pPr>
                    <w:pStyle w:val="Compact"/>
                    <w:jc w:val="right"/>
                    <w:jc w:val="center"/>
                  </w:pPr>
                  <w:r>
                    <w:t xml:space="preserve">0</w:t>
                  </w:r>
                </w:p>
              </w:tc>
              <w:tc>
                <w:tcPr/>
                <w:p>
                  <w:pPr>
                    <w:pStyle w:val="Compact"/>
                    <w:jc w:val="right"/>
                    <w:jc w:val="center"/>
                  </w:pPr>
                  <w:r>
                    <w:t xml:space="preserve">6.00</w:t>
                  </w:r>
                </w:p>
              </w:tc>
              <w:tc>
                <w:tcPr/>
                <w:p>
                  <w:pPr>
                    <w:pStyle w:val="Compact"/>
                    <w:jc w:val="right"/>
                    <w:jc w:val="center"/>
                  </w:pPr>
                  <w:r>
                    <w:t xml:space="preserve">0.871</w:t>
                  </w:r>
                </w:p>
              </w:tc>
              <w:tc>
                <w:tcPr/>
                <w:p>
                  <w:pPr>
                    <w:pStyle w:val="Compact"/>
                    <w:jc w:val="right"/>
                    <w:jc w:val="center"/>
                  </w:pPr>
                  <w:r>
                    <w:t xml:space="preserve">0.089</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0.332</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17</w:t>
                  </w:r>
                </w:p>
              </w:tc>
              <w:tc>
                <w:tcPr/>
                <w:p>
                  <w:pPr>
                    <w:pStyle w:val="Compact"/>
                    <w:jc w:val="right"/>
                    <w:jc w:val="center"/>
                  </w:pPr>
                  <w:r>
                    <w:t xml:space="preserve">0.607</w:t>
                  </w:r>
                </w:p>
              </w:tc>
              <w:tc>
                <w:tcPr/>
                <w:p>
                  <w:pPr>
                    <w:pStyle w:val="Compact"/>
                    <w:jc w:val="right"/>
                    <w:jc w:val="center"/>
                  </w:pPr>
                  <w:r>
                    <w:t xml:space="preserve">0</w:t>
                  </w:r>
                </w:p>
              </w:tc>
              <w:tc>
                <w:tcPr/>
                <w:p>
                  <w:pPr>
                    <w:pStyle w:val="Compact"/>
                    <w:jc w:val="right"/>
                    <w:jc w:val="center"/>
                  </w:pPr>
                  <w:r>
                    <w:t xml:space="preserve">4.25</w:t>
                  </w:r>
                </w:p>
              </w:tc>
              <w:tc>
                <w:tcPr/>
                <w:p>
                  <w:pPr>
                    <w:pStyle w:val="Compact"/>
                    <w:jc w:val="right"/>
                    <w:jc w:val="center"/>
                  </w:pPr>
                  <w:r>
                    <w:t xml:space="preserve">0.636</w:t>
                  </w:r>
                </w:p>
              </w:tc>
              <w:tc>
                <w:tcPr/>
                <w:p>
                  <w:pPr>
                    <w:pStyle w:val="Compact"/>
                    <w:jc w:val="right"/>
                    <w:jc w:val="center"/>
                  </w:pPr>
                  <w:r>
                    <w:t xml:space="preserve">0.125</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54</w:t>
                  </w:r>
                </w:p>
              </w:tc>
              <w:tc>
                <w:tcPr/>
                <w:p>
                  <w:pPr>
                    <w:pStyle w:val="Compact"/>
                    <w:jc w:val="right"/>
                    <w:jc w:val="center"/>
                  </w:pPr>
                  <w:r>
                    <w:t xml:space="preserve">0.284</w:t>
                  </w:r>
                </w:p>
              </w:tc>
              <w:tc>
                <w:tcPr/>
                <w:p>
                  <w:pPr>
                    <w:pStyle w:val="Compact"/>
                    <w:jc w:val="right"/>
                    <w:jc w:val="center"/>
                  </w:pPr>
                  <w:r>
                    <w:t xml:space="preserve">3</w:t>
                  </w:r>
                </w:p>
              </w:tc>
              <w:tc>
                <w:tcPr/>
                <w:p>
                  <w:pPr>
                    <w:pStyle w:val="Compact"/>
                    <w:jc w:val="right"/>
                    <w:jc w:val="center"/>
                  </w:pPr>
                  <w:r>
                    <w:t xml:space="preserve">5.40</w:t>
                  </w:r>
                </w:p>
              </w:tc>
              <w:tc>
                <w:tcPr/>
                <w:p>
                  <w:pPr>
                    <w:pStyle w:val="Compact"/>
                    <w:jc w:val="right"/>
                    <w:jc w:val="center"/>
                  </w:pPr>
                  <w:r>
                    <w:t xml:space="preserve">0.673</w:t>
                  </w:r>
                </w:p>
              </w:tc>
              <w:tc>
                <w:tcPr/>
                <w:p>
                  <w:pPr>
                    <w:pStyle w:val="Compact"/>
                    <w:jc w:val="right"/>
                    <w:jc w:val="center"/>
                  </w:pPr>
                  <w:r>
                    <w:t xml:space="preserve">0.336</w:t>
                  </w:r>
                </w:p>
              </w:tc>
              <w:tc>
                <w:tcPr/>
                <w:p>
                  <w:pPr>
                    <w:pStyle w:val="Compact"/>
                    <w:jc w:val="right"/>
                    <w:jc w:val="center"/>
                  </w:pPr>
                  <w:r>
                    <w:t xml:space="preserve">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0.464</w:t>
                  </w:r>
                </w:p>
              </w:tc>
              <w:tc>
                <w:tcPr/>
                <w:p>
                  <w:pPr>
                    <w:pStyle w:val="Compact"/>
                    <w:jc w:val="right"/>
                    <w:jc w:val="center"/>
                  </w:pPr>
                  <w:r>
                    <w:t xml:space="preserve">1</w:t>
                  </w:r>
                </w:p>
              </w:tc>
              <w:tc>
                <w:tcPr/>
                <w:p>
                  <w:pPr>
                    <w:pStyle w:val="Compact"/>
                    <w:jc w:val="right"/>
                    <w:jc w:val="center"/>
                  </w:pPr>
                  <w:r>
                    <w:t xml:space="preserve">3.25</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3</w:t>
                  </w:r>
                </w:p>
              </w:tc>
            </w:tr>
          </w:tbl>
          <w:p>
            <w:pPr>
              <w:jc w:val="center"/>
            </w:pPr>
            <w:pPr>
              <w:jc w:val="start"/>
              <w:spacing w:before="200"/>
              <w:pStyle w:val="ImageCaption"/>
            </w:pPr>
            <w:r>
              <w:t xml:space="preserve">Table 1: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2"/>
        </w:tc>
      </w:tr>
    </w:tbl>
    <w:bookmarkEnd w:id="23"/>
    <w:bookmarkStart w:id="28" w:name="Xcba224bf9552969b69b00758c328e8467229565"/>
    <w:p>
      <w:pPr>
        <w:pStyle w:val="Heading2"/>
      </w:pPr>
      <w:r>
        <w:t xml:space="preserve">S1.2 Network Visualisations Across Thresholds</w:t>
      </w:r>
    </w:p>
    <w:p>
      <w:pPr>
        <w:pStyle w:val="FirstParagraph"/>
      </w:pPr>
      <w:hyperlink w:anchor="fig-sens-networks">
        <w:r>
          <w:rPr>
            <w:rStyle w:val="Hyperlink"/>
          </w:rPr>
          <w:t xml:space="preserve">Figure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27" w:name="fig-sens-networks"/>
          <w:p>
            <w:pPr>
              <w:pStyle w:val="Compact"/>
              <w:jc w:val="center"/>
            </w:pPr>
            <w:r>
              <w:drawing>
                <wp:inline>
                  <wp:extent cx="5943600" cy="5403272"/>
                  <wp:effectExtent b="0" l="0" r="0" t="0"/>
                  <wp:docPr descr="" title="" id="25" name="Picture"/>
                  <a:graphic>
                    <a:graphicData uri="http://schemas.openxmlformats.org/drawingml/2006/picture">
                      <pic:pic>
                        <pic:nvPicPr>
                          <pic:cNvPr descr="../figures/sensitivity-network-plot.png" id="26" name="Picture"/>
                          <pic:cNvPicPr>
                            <a:picLocks noChangeArrowheads="1" noChangeAspect="1"/>
                          </pic:cNvPicPr>
                        </pic:nvPicPr>
                        <pic:blipFill>
                          <a:blip r:embed="rId24"/>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27"/>
        </w:tc>
      </w:tr>
    </w:tbl>
    <w:bookmarkEnd w:id="28"/>
    <w:bookmarkStart w:id="29" w:name="s1.3-interpretation"/>
    <w:p>
      <w:pPr>
        <w:pStyle w:val="Heading2"/>
      </w:pPr>
      <w:r>
        <w:t xml:space="preserve">S1.3 Interpretation</w:t>
      </w:r>
    </w:p>
    <w:p>
      <w:pPr>
        <w:pStyle w:val="FirstParagraph"/>
      </w:pPr>
      <w:r>
        <w:t xml:space="preserve">The sensitivity analysis shows that the main findings reported in the text are</w:t>
      </w:r>
      <w:r>
        <w:t xml:space="preserve"> </w:t>
      </w:r>
      <w:r>
        <w:rPr>
          <w:bCs/>
          <w:b/>
        </w:rPr>
        <w:t xml:space="preserve">robust across the tested range of thresholds</w:t>
      </w:r>
      <w:r>
        <w:t xml:space="preserve">. Several patterns hold consistently at all three values:</w:t>
      </w:r>
    </w:p>
    <w:p>
      <w:pPr>
        <w:pStyle w:val="BodyText"/>
      </w:pPr>
      <w:r>
        <w:rPr>
          <w:bCs/>
          <w:b/>
        </w:rPr>
        <w:t xml:space="preserve">Two-group structure.</w:t>
      </w:r>
      <w:r>
        <w:t xml:space="preserve"> </w:t>
      </w:r>
      <w:r>
        <w:t xml:space="preserve">In both phases and at all three thresholds, the networks retain a recognisable two-cluster structure corresponding to the restricted-range and broader-range site groups identified by seriation. Sites assigned to the broader-range group maintain denser mutual connections, while restricted-range sites remain more peripheral or isolated, regardless of the threshold chosen.</w:t>
      </w:r>
    </w:p>
    <w:p>
      <w:pPr>
        <w:pStyle w:val="BodyText"/>
      </w:pPr>
      <w:r>
        <w:rPr>
          <w:bCs/>
          <w:b/>
        </w:rPr>
        <w:t xml:space="preserve">Connectivity between phases.</w:t>
      </w:r>
      <w:r>
        <w:t xml:space="preserve"> </w:t>
      </w:r>
      <w:r>
        <w:t xml:space="preserve">The contrast between the phases is stable: Aur-P1 is consistently the more edge-rich network with the higher mean degree and clearer hub structure, while Aur-P2 is sparser and more fragmented, reflecting its smaller sample. This contrast is preserved at thresholds of 0.1, 0.2, and 0.3 (</w:t>
      </w:r>
      <w:hyperlink w:anchor="tbl-sens-stats">
        <w:r>
          <w:rPr>
            <w:rStyle w:val="Hyperlink"/>
          </w:rPr>
          <w:t xml:space="preserve">Table 1</w:t>
        </w:r>
      </w:hyperlink>
      <w:r>
        <w:t xml:space="preserve">).</w:t>
      </w:r>
    </w:p>
    <w:p>
      <w:pPr>
        <w:pStyle w:val="BodyText"/>
      </w:pPr>
      <w:r>
        <w:rPr>
          <w:bCs/>
          <w:b/>
        </w:rPr>
        <w:t xml:space="preserve">Modularity.</w:t>
      </w:r>
      <w:r>
        <w:t xml:space="preserve"> </w:t>
      </w:r>
      <w:r>
        <w:t xml:space="preserve">Modularity in Aur-P1 remains in a moderate range, indicating persistent community structure. While absolute modularity values shift with threshold (as expected, given that looser thresholds add weak bridging edges that reduce modularity), the pattern is stable.</w:t>
      </w:r>
    </w:p>
    <w:p>
      <w:pPr>
        <w:pStyle w:val="BodyText"/>
      </w:pPr>
      <w:r>
        <w:rPr>
          <w:bCs/>
          <w:b/>
        </w:rPr>
        <w:t xml:space="preserve">Threshold-specific effects.</w:t>
      </w:r>
      <w:r>
        <w:t xml:space="preserve"> </w:t>
      </w:r>
      <w:r>
        <w:t xml:space="preserve">At threshold 0.1, graph density increases substantially and several sites that appear as isolates at 0.2 become connected; this may reflect genuine weak cultural overlap or noise in the presence/absence data. At threshold 0.3, the graph becomes considerably sparser, with 3 isolates in Aur-P1 in particular. The 0.2 threshold represents a practical middle ground: it preserves the major structural contrasts while avoiding both the over-connection artefacts of the 0.1 threshold and the excessive fragmentation of the 0.3 threshold.</w:t>
      </w:r>
    </w:p>
    <w:p>
      <w:pPr>
        <w:pStyle w:val="BodyText"/>
      </w:pPr>
      <w:r>
        <w:rPr>
          <w:bCs/>
          <w:b/>
        </w:rPr>
        <w:t xml:space="preserve">Isolates.</w:t>
      </w:r>
      <w:r>
        <w:t xml:space="preserve"> </w:t>
      </w:r>
      <w:r>
        <w:t xml:space="preserve">The number of isolated nodes (sites with no connections) increases monotonically with threshold in both phases, as expected. Sites that appear as isolates at 0.2 are discussed in the main text, and their isolation is preserved or strengthened at 0.3, reinforcing their interpretation as peripheral assemblages. At threshold 0.1, these sites gain edges but only to the weakest possible partners, which does not alter the substantive interpretation.</w:t>
      </w:r>
    </w:p>
    <w:p>
      <w:pPr>
        <w:pStyle w:val="BodyText"/>
      </w:pPr>
      <w:r>
        <w:t xml:space="preserve">Together, these results confirm that the threshold of 0.2 used in the main analysis is a defensible and representative choice.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29"/>
    <w:bookmarkEnd w:id="30"/>
    <w:bookmarkStart w:id="38" w:name="sec-s2"/>
    <w:p>
      <w:pPr>
        <w:pStyle w:val="Heading1"/>
      </w:pPr>
      <w:r>
        <w:t xml:space="preserve">S2. Sensitivity to Similarity Metric Choice (Jaccard vs. Sørensen-Dice vs. Simpson)</w:t>
      </w:r>
    </w:p>
    <w:bookmarkStart w:id="36" w:name="s2.1-rationale"/>
    <w:p>
      <w:pPr>
        <w:pStyle w:val="Heading2"/>
      </w:pPr>
      <w:r>
        <w:t xml:space="preserve">S2.1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31"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0.332</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17</w:t>
                  </w:r>
                </w:p>
              </w:tc>
              <w:tc>
                <w:tcPr/>
                <w:p>
                  <w:pPr>
                    <w:pStyle w:val="Compact"/>
                    <w:jc w:val="right"/>
                    <w:jc w:val="center"/>
                  </w:pPr>
                  <w:r>
                    <w:t xml:space="preserve">0.607</w:t>
                  </w:r>
                </w:p>
              </w:tc>
              <w:tc>
                <w:tcPr/>
                <w:p>
                  <w:pPr>
                    <w:pStyle w:val="Compact"/>
                    <w:jc w:val="right"/>
                    <w:jc w:val="center"/>
                  </w:pPr>
                  <w:r>
                    <w:t xml:space="preserve">0</w:t>
                  </w:r>
                </w:p>
              </w:tc>
              <w:tc>
                <w:tcPr/>
                <w:p>
                  <w:pPr>
                    <w:pStyle w:val="Compact"/>
                    <w:jc w:val="right"/>
                    <w:jc w:val="center"/>
                  </w:pPr>
                  <w:r>
                    <w:t xml:space="preserve">4.25</w:t>
                  </w:r>
                </w:p>
              </w:tc>
              <w:tc>
                <w:tcPr/>
                <w:p>
                  <w:pPr>
                    <w:pStyle w:val="Compact"/>
                    <w:jc w:val="right"/>
                    <w:jc w:val="center"/>
                  </w:pPr>
                  <w:r>
                    <w:t xml:space="preserve">0.636</w:t>
                  </w:r>
                </w:p>
              </w:tc>
              <w:tc>
                <w:tcPr/>
                <w:p>
                  <w:pPr>
                    <w:pStyle w:val="Compact"/>
                    <w:jc w:val="right"/>
                    <w:jc w:val="center"/>
                  </w:pPr>
                  <w:r>
                    <w:t xml:space="preserve">0.125</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0.789</w:t>
                  </w:r>
                </w:p>
              </w:tc>
              <w:tc>
                <w:tcPr/>
                <w:p>
                  <w:pPr>
                    <w:pStyle w:val="Compact"/>
                    <w:jc w:val="right"/>
                    <w:jc w:val="center"/>
                  </w:pPr>
                  <w:r>
                    <w:t xml:space="preserve">0.198</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24</w:t>
                  </w:r>
                </w:p>
              </w:tc>
              <w:tc>
                <w:tcPr/>
                <w:p>
                  <w:pPr>
                    <w:pStyle w:val="Compact"/>
                    <w:jc w:val="right"/>
                    <w:jc w:val="center"/>
                  </w:pPr>
                  <w:r>
                    <w:t xml:space="preserve">0.857</w:t>
                  </w:r>
                </w:p>
              </w:tc>
              <w:tc>
                <w:tcPr/>
                <w:p>
                  <w:pPr>
                    <w:pStyle w:val="Compact"/>
                    <w:jc w:val="right"/>
                    <w:jc w:val="center"/>
                  </w:pPr>
                  <w:r>
                    <w:t xml:space="preserve">0</w:t>
                  </w:r>
                </w:p>
              </w:tc>
              <w:tc>
                <w:tcPr/>
                <w:p>
                  <w:pPr>
                    <w:pStyle w:val="Compact"/>
                    <w:jc w:val="right"/>
                    <w:jc w:val="center"/>
                  </w:pPr>
                  <w:r>
                    <w:t xml:space="preserve">6.00</w:t>
                  </w:r>
                </w:p>
              </w:tc>
              <w:tc>
                <w:tcPr/>
                <w:p>
                  <w:pPr>
                    <w:pStyle w:val="Compact"/>
                    <w:jc w:val="right"/>
                    <w:jc w:val="center"/>
                  </w:pPr>
                  <w:r>
                    <w:t xml:space="preserve">0.871</w:t>
                  </w:r>
                </w:p>
              </w:tc>
              <w:tc>
                <w:tcPr/>
                <w:p>
                  <w:pPr>
                    <w:pStyle w:val="Compact"/>
                    <w:jc w:val="right"/>
                    <w:jc w:val="center"/>
                  </w:pPr>
                  <w:r>
                    <w:t xml:space="preserve">0.053</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24</w:t>
                  </w:r>
                </w:p>
              </w:tc>
              <w:tc>
                <w:tcPr/>
                <w:p>
                  <w:pPr>
                    <w:pStyle w:val="Compact"/>
                    <w:jc w:val="right"/>
                    <w:jc w:val="center"/>
                  </w:pPr>
                  <w:r>
                    <w:t xml:space="preserve">0.857</w:t>
                  </w:r>
                </w:p>
              </w:tc>
              <w:tc>
                <w:tcPr/>
                <w:p>
                  <w:pPr>
                    <w:pStyle w:val="Compact"/>
                    <w:jc w:val="right"/>
                    <w:jc w:val="center"/>
                  </w:pPr>
                  <w:r>
                    <w:t xml:space="preserve">0</w:t>
                  </w:r>
                </w:p>
              </w:tc>
              <w:tc>
                <w:tcPr/>
                <w:p>
                  <w:pPr>
                    <w:pStyle w:val="Compact"/>
                    <w:jc w:val="right"/>
                    <w:jc w:val="center"/>
                  </w:pPr>
                  <w:r>
                    <w:t xml:space="preserve">6.00</w:t>
                  </w:r>
                </w:p>
              </w:tc>
              <w:tc>
                <w:tcPr/>
                <w:p>
                  <w:pPr>
                    <w:pStyle w:val="Compact"/>
                    <w:jc w:val="right"/>
                    <w:jc w:val="center"/>
                  </w:pPr>
                  <w:r>
                    <w:t xml:space="preserve">0.871</w:t>
                  </w:r>
                </w:p>
              </w:tc>
              <w:tc>
                <w:tcPr/>
                <w:p>
                  <w:pPr>
                    <w:pStyle w:val="Compact"/>
                    <w:jc w:val="right"/>
                    <w:jc w:val="center"/>
                  </w:pPr>
                  <w:r>
                    <w:t xml:space="preserve">0.038</w:t>
                  </w:r>
                </w:p>
              </w:tc>
              <w:tc>
                <w:tcPr/>
                <w:p>
                  <w:pPr>
                    <w:pStyle w:val="Compact"/>
                    <w:jc w:val="right"/>
                    <w:jc w:val="center"/>
                  </w:pPr>
                  <w:r>
                    <w:t xml:space="preserve">2</w:t>
                  </w:r>
                </w:p>
              </w:tc>
            </w:tr>
          </w:tbl>
          <w:p>
            <w:pPr>
              <w:jc w:val="center"/>
            </w:pPr>
            <w:pPr>
              <w:jc w:val="start"/>
              <w:spacing w:before="200"/>
              <w:pStyle w:val="ImageCaption"/>
            </w:pPr>
            <w:r>
              <w:t xml:space="preserve">Table 2: Network statistics for each Aurignacian phase across three similarity metrics (Jaccard, Sørensen-Dice, Simpson) at threshold = 0.2.</w:t>
            </w:r>
          </w:p>
          <w:bookmarkEnd w:id="31"/>
        </w:tc>
      </w:tr>
    </w:tbl>
    <w:tbl>
      <w:tblPr>
        <w:tblStyle w:val="Table"/>
        <w:tblW w:type="pct" w:w="5000"/>
        <w:tblLook w:firstRow="0" w:lastRow="0" w:firstColumn="0" w:lastColumn="0" w:noHBand="0" w:noVBand="0" w:val="0000"/>
        <w:jc w:val="start"/>
        <w:tblLayout w:type="fixed"/>
      </w:tblPr>
      <w:tblGrid>
        <w:gridCol w:w="7920"/>
      </w:tblGrid>
      <w:tr>
        <w:tc>
          <w:tcPr/>
          <w:bookmarkStart w:id="35" w:name="fig-metric-networks"/>
          <w:p>
            <w:pPr>
              <w:pStyle w:val="Compact"/>
              <w:jc w:val="center"/>
            </w:pPr>
            <w:r>
              <w:drawing>
                <wp:inline>
                  <wp:extent cx="5943600" cy="5403272"/>
                  <wp:effectExtent b="0" l="0" r="0" t="0"/>
                  <wp:docPr descr="" title="" id="33" name="Picture"/>
                  <a:graphic>
                    <a:graphicData uri="http://schemas.openxmlformats.org/drawingml/2006/picture">
                      <pic:pic>
                        <pic:nvPicPr>
                          <pic:cNvPr descr="../figures/sensitivity-metric-plot.png" id="34" name="Picture"/>
                          <pic:cNvPicPr>
                            <a:picLocks noChangeArrowheads="1" noChangeAspect="1"/>
                          </pic:cNvPicPr>
                        </pic:nvPicPr>
                        <pic:blipFill>
                          <a:blip r:embed="rId32"/>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Site networks for Aur-P1 (top) and Aur-P2 (bottom) under Jaccard (left), Sørensen-Dice (centre), and Simpson (right) similarity metrics at threshold = 0.2.</w:t>
            </w:r>
          </w:p>
          <w:bookmarkEnd w:id="35"/>
        </w:tc>
      </w:tr>
    </w:tbl>
    <w:bookmarkEnd w:id="36"/>
    <w:bookmarkStart w:id="37" w:name="s2.2-interpretation"/>
    <w:p>
      <w:pPr>
        <w:pStyle w:val="Heading2"/>
      </w:pPr>
      <w:r>
        <w:t xml:space="preserve">S2.2 Interpretation</w:t>
      </w:r>
    </w:p>
    <w:p>
      <w:pPr>
        <w:pStyle w:val="FirstParagraph"/>
      </w:pPr>
      <w:r>
        <w:t xml:space="preserve">Across all three metrics:</w:t>
      </w:r>
      <w:r>
        <w:t xml:space="preserve"> </w:t>
      </w:r>
      <w:r>
        <w:t xml:space="preserve">1.</w:t>
      </w:r>
      <w:r>
        <w:t xml:space="preserve"> </w:t>
      </w:r>
      <w:r>
        <w:rPr>
          <w:bCs/>
          <w:b/>
        </w:rPr>
        <w:t xml:space="preserve">Phase contrast:</w:t>
      </w:r>
      <w:r>
        <w:t xml:space="preserve"> </w:t>
      </w:r>
      <w:r>
        <w:t xml:space="preserve">Aur-P1 consistently produces the higher edge count and node degree, while Aur-P2 is sparser, consistent with its smaller sample.</w:t>
      </w:r>
      <w:r>
        <w:t xml:space="preserve"> </w:t>
      </w:r>
      <w:r>
        <w:t xml:space="preserve">2.</w:t>
      </w:r>
      <w:r>
        <w:t xml:space="preserve"> </w:t>
      </w:r>
      <w:r>
        <w:rPr>
          <w:bCs/>
          <w:b/>
        </w:rPr>
        <w:t xml:space="preserve">Sørensen vs. Jaccard:</w:t>
      </w:r>
      <w:r>
        <w:t xml:space="preserve"> </w:t>
      </w:r>
      <w:r>
        <w:t xml:space="preserve">Sørensen similarity yields higher edge counts (e.g. Aur-P1 113 vs. 75 for Jaccard) because double-weighting shared interest elevates similarity scores above the 0.2 threshold. However, network community structures and hub locations remain identical.</w:t>
      </w:r>
      <w:r>
        <w:t xml:space="preserve"> </w:t>
      </w:r>
      <w:r>
        <w:t xml:space="preserve">3.</w:t>
      </w:r>
      <w:r>
        <w:t xml:space="preserve"> </w:t>
      </w:r>
      <w:r>
        <w:rPr>
          <w:bCs/>
          <w:b/>
        </w:rPr>
        <w:t xml:space="preserve">Simpson Similarity:</w:t>
      </w:r>
      <w:r>
        <w:t xml:space="preserve"> </w:t>
      </w:r>
      <w:r>
        <w:t xml:space="preserve">Simpson similarity shows that the Aur-P1 connectivity is driven by genuine shared sign repertoires rather than sample-size asymmetry.</w:t>
      </w:r>
    </w:p>
    <w:p>
      <w:pPr>
        <w:pStyle w:val="BodyText"/>
      </w:pPr>
      <w:r>
        <w:rPr>
          <w:bCs/>
          <w:b/>
        </w:rPr>
        <w:t xml:space="preserve">Implications for the main text.</w:t>
      </w:r>
      <w:r>
        <w:t xml:space="preserve"> </w:t>
      </w:r>
      <w:r>
        <w:t xml:space="preserve">The metric comparison addresses the concern that Jaccard similarity — which weights joint absences and richness differences symmetrically — might produce different network structures than metrics that handle asymmetry differently. The fact that all three metrics yield the same phase contrast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contrast under Simpson confirms that Aur-P1’s higher mean degree (7.50 at the baseline threshold) reflects genuinely shared sign types, not a mechanical advantage from richer assemblages. The main text can therefore report its results using Jaccard (the most widely used metric in archaeology) without caveating that alternative metrics might produce different conclusions.</w:t>
      </w:r>
    </w:p>
    <w:bookmarkEnd w:id="37"/>
    <w:bookmarkEnd w:id="38"/>
    <w:bookmarkStart w:id="42" w:name="sec-s3"/>
    <w:p>
      <w:pPr>
        <w:pStyle w:val="Heading1"/>
      </w:pPr>
      <w:r>
        <w:t xml:space="preserve">S3. Geodesic vs. Euclidean Geographic Distance Verification (Mantel Tests)</w:t>
      </w:r>
    </w:p>
    <w:bookmarkStart w:id="40" w:name="s3.1-rationale"/>
    <w:p>
      <w:pPr>
        <w:pStyle w:val="Heading2"/>
      </w:pPr>
      <w:r>
        <w:t xml:space="preserve">S3.1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9"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0.025</w:t>
                  </w:r>
                </w:p>
              </w:tc>
              <w:tc>
                <w:tcPr/>
                <w:p>
                  <w:pPr>
                    <w:pStyle w:val="Compact"/>
                    <w:jc w:val="right"/>
                    <w:jc w:val="center"/>
                  </w:pPr>
                  <w:r>
                    <w:t xml:space="preserve">0.370</w:t>
                  </w:r>
                </w:p>
              </w:tc>
              <w:tc>
                <w:tcPr/>
                <w:p>
                  <w:pPr>
                    <w:pStyle w:val="Compact"/>
                    <w:jc w:val="right"/>
                    <w:jc w:val="center"/>
                  </w:pPr>
                  <w:r>
                    <w:t xml:space="preserve">0.045</w:t>
                  </w:r>
                </w:p>
              </w:tc>
              <w:tc>
                <w:tcPr/>
                <w:p>
                  <w:pPr>
                    <w:pStyle w:val="Compact"/>
                    <w:jc w:val="right"/>
                    <w:jc w:val="center"/>
                  </w:pPr>
                  <w:r>
                    <w:t xml:space="preserve">0.306</w:t>
                  </w:r>
                </w:p>
              </w:tc>
            </w:tr>
            <w:tr>
              <w:tc>
                <w:tcPr/>
                <w:p>
                  <w:pPr>
                    <w:pStyle w:val="Compact"/>
                    <w:jc w:val="left"/>
                    <w:jc w:val="center"/>
                  </w:pPr>
                  <w:r>
                    <w:t xml:space="preserve">Aur-P2</w:t>
                  </w:r>
                </w:p>
              </w:tc>
              <w:tc>
                <w:tcPr/>
                <w:p>
                  <w:pPr>
                    <w:pStyle w:val="Compact"/>
                    <w:jc w:val="right"/>
                    <w:jc w:val="center"/>
                  </w:pPr>
                  <w:r>
                    <w:t xml:space="preserve">-0.297</w:t>
                  </w:r>
                </w:p>
              </w:tc>
              <w:tc>
                <w:tcPr/>
                <w:p>
                  <w:pPr>
                    <w:pStyle w:val="Compact"/>
                    <w:jc w:val="right"/>
                    <w:jc w:val="center"/>
                  </w:pPr>
                  <w:r>
                    <w:t xml:space="preserve">0.934</w:t>
                  </w:r>
                </w:p>
              </w:tc>
              <w:tc>
                <w:tcPr/>
                <w:p>
                  <w:pPr>
                    <w:pStyle w:val="Compact"/>
                    <w:jc w:val="right"/>
                    <w:jc w:val="center"/>
                  </w:pPr>
                  <w:r>
                    <w:t xml:space="preserve">-0.303</w:t>
                  </w:r>
                </w:p>
              </w:tc>
              <w:tc>
                <w:tcPr/>
                <w:p>
                  <w:pPr>
                    <w:pStyle w:val="Compact"/>
                    <w:jc w:val="right"/>
                    <w:jc w:val="center"/>
                  </w:pPr>
                  <w:r>
                    <w:t xml:space="preserve">0.940</w:t>
                  </w:r>
                </w:p>
              </w:tc>
            </w:tr>
          </w:tbl>
          <w:p>
            <w:pPr>
              <w:jc w:val="center"/>
            </w:pPr>
            <w:pPr>
              <w:jc w:val="start"/>
              <w:spacing w:before="200"/>
              <w:pStyle w:val="ImageCaption"/>
            </w:pPr>
            <w:r>
              <w:t xml:space="preserve">Table 3: Comparison of Mantel test results (Mantel R and p-value) evaluating sign assemblage dissimilarity vs. spatial distance using flat coordinate Euclidean distance vs. true Geodesic distance (in kilometers).</w:t>
            </w:r>
          </w:p>
          <w:bookmarkEnd w:id="39"/>
        </w:tc>
      </w:tr>
    </w:tbl>
    <w:bookmarkEnd w:id="40"/>
    <w:bookmarkStart w:id="41" w:name="s3.2-interpretation"/>
    <w:p>
      <w:pPr>
        <w:pStyle w:val="Heading2"/>
      </w:pPr>
      <w:r>
        <w:t xml:space="preserve">S3.2 Interpretation</w:t>
      </w:r>
    </w:p>
    <w:p>
      <w:pPr>
        <w:pStyle w:val="FirstParagraph"/>
      </w:pPr>
      <w:r>
        <w:t xml:space="preserve">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r>
          <m:rPr>
            <m:sty m:val="p"/>
          </m:rPr>
          <m:t>=</m:t>
        </m:r>
        <m:r>
          <m:t>0.045</m:t>
        </m:r>
        <m:r>
          <m:rPr>
            <m:sty m:val="p"/>
          </m:rPr>
          <m:t>,</m:t>
        </m:r>
        <m:r>
          <m:t>p</m:t>
        </m:r>
        <m:r>
          <m:rPr>
            <m:sty m:val="p"/>
          </m:rPr>
          <m:t>=</m:t>
        </m:r>
        <m:r>
          <m:t>0.306</m:t>
        </m:r>
        <m:r>
          <m:rPr>
            <m:sty m:val="p"/>
          </m:rPr>
          <m:t>)</m:t>
        </m:r>
        <m:r>
          <m:rPr>
            <m:sty m:val="p"/>
          </m:rPr>
          <m:t>,</m:t>
        </m:r>
        <m:r>
          <m:t>g</m:t>
        </m:r>
        <m:r>
          <m:t>e</m:t>
        </m:r>
        <m:r>
          <m:t>o</m:t>
        </m:r>
        <m:r>
          <m:t>g</m:t>
        </m:r>
        <m:r>
          <m:t>r</m:t>
        </m:r>
        <m:r>
          <m:t>a</m:t>
        </m:r>
        <m:r>
          <m:t>p</m:t>
        </m:r>
        <m:r>
          <m:t>h</m:t>
        </m:r>
        <m:r>
          <m:t>i</m:t>
        </m:r>
        <m:r>
          <m:t>c</m:t>
        </m:r>
        <m:r>
          <m:t>d</m:t>
        </m:r>
        <m:r>
          <m:t>i</m:t>
        </m:r>
        <m:r>
          <m:t>s</m:t>
        </m:r>
        <m:r>
          <m:t>t</m:t>
        </m:r>
        <m:r>
          <m:t>a</m:t>
        </m:r>
        <m:r>
          <m:t>n</m:t>
        </m:r>
        <m:r>
          <m:t>c</m:t>
        </m:r>
        <m:r>
          <m:t>e</m:t>
        </m:r>
        <m:r>
          <m:t>r</m:t>
        </m:r>
        <m:r>
          <m:t>e</m:t>
        </m:r>
        <m:r>
          <m:t>m</m:t>
        </m:r>
        <m:r>
          <m:t>a</m:t>
        </m:r>
        <m:r>
          <m:t>i</m:t>
        </m:r>
        <m:r>
          <m:t>n</m:t>
        </m:r>
        <m:r>
          <m:t>s</m:t>
        </m:r>
        <m:r>
          <m:t>u</m:t>
        </m:r>
        <m:r>
          <m:t>n</m:t>
        </m:r>
        <m:r>
          <m:t>c</m:t>
        </m:r>
        <m:r>
          <m:t>o</m:t>
        </m:r>
        <m:r>
          <m:t>r</m:t>
        </m:r>
        <m:r>
          <m:t>r</m:t>
        </m:r>
        <m:r>
          <m:t>e</m:t>
        </m:r>
        <m:r>
          <m:t>l</m:t>
        </m:r>
        <m:r>
          <m:t>a</m:t>
        </m:r>
        <m:r>
          <m:t>t</m:t>
        </m:r>
        <m:r>
          <m:t>e</m:t>
        </m:r>
        <m:r>
          <m:t>d</m:t>
        </m:r>
        <m:r>
          <m:t>w</m:t>
        </m:r>
        <m:r>
          <m:t>i</m:t>
        </m:r>
        <m:r>
          <m:t>t</m:t>
        </m:r>
        <m:r>
          <m:t>h</m:t>
        </m:r>
        <m:r>
          <m:t>s</m:t>
        </m:r>
        <m:r>
          <m:t>i</m:t>
        </m:r>
        <m:r>
          <m:t>g</m:t>
        </m:r>
        <m:r>
          <m:t>n</m:t>
        </m:r>
        <m:r>
          <m:t>a</m:t>
        </m:r>
        <m:r>
          <m:t>s</m:t>
        </m:r>
        <m:r>
          <m:t>s</m:t>
        </m:r>
        <m:r>
          <m:t>e</m:t>
        </m:r>
        <m:r>
          <m:t>m</m:t>
        </m:r>
        <m:r>
          <m:t>b</m:t>
        </m:r>
        <m:r>
          <m:t>l</m:t>
        </m:r>
        <m:r>
          <m:t>a</m:t>
        </m:r>
        <m:r>
          <m:t>g</m:t>
        </m:r>
        <m:r>
          <m:t>e</m:t>
        </m:r>
        <m:r>
          <m:t>d</m:t>
        </m:r>
        <m:r>
          <m:t>i</m:t>
        </m:r>
        <m:r>
          <m:t>s</m:t>
        </m:r>
        <m:r>
          <m:t>s</m:t>
        </m:r>
        <m:r>
          <m:t>i</m:t>
        </m:r>
        <m:r>
          <m:t>m</m:t>
        </m:r>
        <m:r>
          <m:t>i</m:t>
        </m:r>
        <m:r>
          <m:t>l</m:t>
        </m:r>
        <m:r>
          <m:t>a</m:t>
        </m:r>
        <m:r>
          <m:t>r</m:t>
        </m:r>
        <m:r>
          <m:t>i</m:t>
        </m:r>
        <m:r>
          <m:t>t</m:t>
        </m:r>
        <m:r>
          <m:t>y</m:t>
        </m:r>
        <m:r>
          <m:t>u</m:t>
        </m:r>
        <m:r>
          <m:t>n</m:t>
        </m:r>
        <m:r>
          <m:t>d</m:t>
        </m:r>
        <m:r>
          <m:t>e</m:t>
        </m:r>
        <m:r>
          <m:t>r</m:t>
        </m:r>
        <m:r>
          <m:t>b</m:t>
        </m:r>
        <m:r>
          <m:t>o</m:t>
        </m:r>
        <m:r>
          <m:t>t</m:t>
        </m:r>
        <m:r>
          <m:t>h</m:t>
        </m:r>
        <m:r>
          <m:t>m</m:t>
        </m:r>
        <m:r>
          <m:t>e</m:t>
        </m:r>
        <m:r>
          <m:t>t</m:t>
        </m:r>
        <m:r>
          <m:t>r</m:t>
        </m:r>
        <m:r>
          <m:t>i</m:t>
        </m:r>
        <m:r>
          <m:t>c</m:t>
        </m:r>
        <m:r>
          <m:t>s</m:t>
        </m:r>
        <m:r>
          <m:rPr>
            <m:sty m:val="p"/>
          </m:rPr>
          <m:t>.</m:t>
        </m:r>
        <m:r>
          <m:rPr>
            <m:sty m:val="p"/>
          </m:rPr>
          <m:t>−</m:t>
        </m:r>
        <m:r>
          <m:t>I</m:t>
        </m:r>
        <m:r>
          <m:t>n</m:t>
        </m:r>
        <m:r>
          <m:rPr>
            <m:sty m:val="p"/>
          </m:rPr>
          <m:t>*</m:t>
        </m:r>
        <m:r>
          <m:rPr>
            <m:sty m:val="p"/>
          </m:rPr>
          <m:t>*</m:t>
        </m:r>
        <m:r>
          <m:t>A</m:t>
        </m:r>
        <m:r>
          <m:t>u</m:t>
        </m:r>
        <m:r>
          <m:t>r</m:t>
        </m:r>
        <m:r>
          <m:rPr>
            <m:sty m:val="p"/>
          </m:rPr>
          <m:t>−</m:t>
        </m:r>
        <m:r>
          <m:t>P</m:t>
        </m:r>
        <m:r>
          <m:t>2</m:t>
        </m:r>
        <m:r>
          <m:rPr>
            <m:sty m:val="p"/>
          </m:rPr>
          <m:t>*</m:t>
        </m:r>
        <m:r>
          <m:rPr>
            <m:sty m:val="p"/>
          </m:rPr>
          <m:t>*</m:t>
        </m:r>
        <m:r>
          <m:rPr>
            <m:sty m:val="p"/>
          </m:rPr>
          <m:t>(</m:t>
        </m:r>
      </m:oMath>
      <w:r>
        <w:t xml:space="preserve">R = -0.303, p = 0.94),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bookmarkEnd w:id="41"/>
    <w:bookmarkEnd w:id="42"/>
    <w:bookmarkStart w:id="49" w:name="sec-s4"/>
    <w:p>
      <w:pPr>
        <w:pStyle w:val="Heading1"/>
      </w:pPr>
      <w:r>
        <w:t xml:space="preserve">S4. Periodisation Scheme Sensitivity</w:t>
      </w:r>
    </w:p>
    <w:bookmarkStart w:id="45" w:name="s4.1-rationale"/>
    <w:p>
      <w:pPr>
        <w:pStyle w:val="Heading2"/>
      </w:pPr>
      <w:r>
        <w:t xml:space="preserve">S4.1 Rationale</w:t>
      </w:r>
    </w:p>
    <w:p>
      <w:pPr>
        <w:pStyle w:val="FirstParagraph"/>
      </w:pPr>
      <w:r>
        <w:t xml:space="preserve">The main analysis adopts the two-phase Aur-P1/Aur-P2 framework of Shao et al. (2021), which merges the Proto- and Early Aurignacian into a single early phase (Aur-P1, 43–37 ka BP) and treats the Evolved/Late Aurignacian as a single late phase (Aur-P2, 37–32 ka BP), with site membership assigned on technological grounds (S8). Because this scheme is coarser than the classic three-phase periodisation of Western European archaeology, this section tests whether the two-phase results are robust to how the sequence is subdivided. We decompose the two-phase baseline into its technology-assigned components — the relict Proto-Aurignacian, the Early Aurignacian, and the Evolved Aurignacian (Aur-P2) — and additionally split the Evolved Aurignacian into Evolved and Late sub-phases following the four-phase taxonomy of Teyssandier &amp; Zilhão (2018), with the Evolved–Late boundary at 35 ka BP calibrated. All schemes are evaluated at the main-text threshold of 0.2 using Jaccard similarity.</w:t>
      </w:r>
    </w:p>
    <w:tbl>
      <w:tblPr>
        <w:tblStyle w:val="Table"/>
        <w:tblW w:type="pct" w:w="5000"/>
        <w:tblLook w:firstRow="0" w:lastRow="0" w:firstColumn="0" w:lastColumn="0" w:noHBand="0" w:noVBand="0" w:val="0000"/>
        <w:jc w:val="start"/>
        <w:tblLayout w:type="fixed"/>
      </w:tblPr>
      <w:tblGrid>
        <w:gridCol w:w="7920"/>
      </w:tblGrid>
      <w:tr>
        <w:tc>
          <w:tcPr/>
          <w:bookmarkStart w:id="43"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0.332</w:t>
                  </w:r>
                </w:p>
              </w:tc>
            </w:tr>
            <w:tr>
              <w:tc>
                <w:tcPr/>
                <w:p>
                  <w:pPr>
                    <w:pStyle w:val="Compact"/>
                    <w:jc w:val="left"/>
                    <w:jc w:val="center"/>
                  </w:pPr>
                  <w:r>
                    <w:t xml:space="preserve">Aur-P2 (Evolved)</w:t>
                  </w:r>
                </w:p>
              </w:tc>
              <w:tc>
                <w:tcPr/>
                <w:p>
                  <w:pPr>
                    <w:pStyle w:val="Compact"/>
                    <w:jc w:val="right"/>
                    <w:jc w:val="center"/>
                  </w:pPr>
                  <w:r>
                    <w:t xml:space="preserve">8</w:t>
                  </w:r>
                </w:p>
              </w:tc>
              <w:tc>
                <w:tcPr/>
                <w:p>
                  <w:pPr>
                    <w:pStyle w:val="Compact"/>
                    <w:jc w:val="right"/>
                    <w:jc w:val="center"/>
                  </w:pPr>
                  <w:r>
                    <w:t xml:space="preserve">17</w:t>
                  </w:r>
                </w:p>
              </w:tc>
              <w:tc>
                <w:tcPr/>
                <w:p>
                  <w:pPr>
                    <w:pStyle w:val="Compact"/>
                    <w:jc w:val="right"/>
                    <w:jc w:val="center"/>
                  </w:pPr>
                  <w:r>
                    <w:t xml:space="preserve">0.607</w:t>
                  </w:r>
                </w:p>
              </w:tc>
              <w:tc>
                <w:tcPr/>
                <w:p>
                  <w:pPr>
                    <w:pStyle w:val="Compact"/>
                    <w:jc w:val="right"/>
                    <w:jc w:val="center"/>
                  </w:pPr>
                  <w:r>
                    <w:t xml:space="preserve">4.25</w:t>
                  </w:r>
                </w:p>
              </w:tc>
              <w:tc>
                <w:tcPr/>
                <w:p>
                  <w:pPr>
                    <w:pStyle w:val="Compact"/>
                    <w:jc w:val="right"/>
                    <w:jc w:val="center"/>
                  </w:pPr>
                  <w:r>
                    <w:t xml:space="preserve">0.636</w:t>
                  </w:r>
                </w:p>
              </w:tc>
              <w:tc>
                <w:tcPr/>
                <w:p>
                  <w:pPr>
                    <w:pStyle w:val="Compact"/>
                    <w:jc w:val="right"/>
                    <w:jc w:val="center"/>
                  </w:pPr>
                  <w:r>
                    <w:t xml:space="preserve">0.125</w:t>
                  </w:r>
                </w:p>
              </w:tc>
            </w:tr>
          </w:tbl>
          <w:p>
            <w:pPr>
              <w:jc w:val="center"/>
            </w:pPr>
            <w:pPr>
              <w:jc w:val="start"/>
              <w:spacing w:before="200"/>
              <w:pStyle w:val="ImageCaption"/>
            </w:pPr>
            <w:r>
              <w:t xml:space="preserve">Table 4: Reference: network statistics under the two-phase periodisation used in the main text (threshold = 0.2). Aur-P1 = Proto + Early; Aur-P2 = Evolved.</w:t>
            </w:r>
          </w:p>
          <w:bookmarkEnd w:id="43"/>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44"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0.309</w:t>
                  </w:r>
                </w:p>
              </w:tc>
            </w:tr>
            <w:tr>
              <w:tc>
                <w:tcPr/>
                <w:p>
                  <w:pPr>
                    <w:pStyle w:val="Compact"/>
                    <w:jc w:val="left"/>
                    <w:jc w:val="center"/>
                  </w:pPr>
                  <w:r>
                    <w:t xml:space="preserve">Evolved Aurignacian (Aur-P2)</w:t>
                  </w:r>
                </w:p>
              </w:tc>
              <w:tc>
                <w:tcPr/>
                <w:p>
                  <w:pPr>
                    <w:pStyle w:val="Compact"/>
                    <w:jc w:val="right"/>
                    <w:jc w:val="center"/>
                  </w:pPr>
                  <w:r>
                    <w:t xml:space="preserve">8</w:t>
                  </w:r>
                </w:p>
              </w:tc>
              <w:tc>
                <w:tcPr/>
                <w:p>
                  <w:pPr>
                    <w:pStyle w:val="Compact"/>
                    <w:jc w:val="right"/>
                    <w:jc w:val="center"/>
                  </w:pPr>
                  <w:r>
                    <w:t xml:space="preserve">17</w:t>
                  </w:r>
                </w:p>
              </w:tc>
              <w:tc>
                <w:tcPr/>
                <w:p>
                  <w:pPr>
                    <w:pStyle w:val="Compact"/>
                    <w:jc w:val="right"/>
                    <w:jc w:val="center"/>
                  </w:pPr>
                  <w:r>
                    <w:t xml:space="preserve">0.607</w:t>
                  </w:r>
                </w:p>
              </w:tc>
              <w:tc>
                <w:tcPr/>
                <w:p>
                  <w:pPr>
                    <w:pStyle w:val="Compact"/>
                    <w:jc w:val="right"/>
                    <w:jc w:val="center"/>
                  </w:pPr>
                  <w:r>
                    <w:t xml:space="preserve">4.25</w:t>
                  </w:r>
                </w:p>
              </w:tc>
              <w:tc>
                <w:tcPr/>
                <w:p>
                  <w:pPr>
                    <w:pStyle w:val="Compact"/>
                    <w:jc w:val="right"/>
                    <w:jc w:val="center"/>
                  </w:pPr>
                  <w:r>
                    <w:t xml:space="preserve">0.636</w:t>
                  </w:r>
                </w:p>
              </w:tc>
              <w:tc>
                <w:tcPr/>
                <w:p>
                  <w:pPr>
                    <w:pStyle w:val="Compact"/>
                    <w:jc w:val="right"/>
                    <w:jc w:val="center"/>
                  </w:pPr>
                  <w:r>
                    <w:t xml:space="preserve">0.125</w:t>
                  </w:r>
                </w:p>
              </w:tc>
            </w:tr>
          </w:tbl>
          <w:p>
            <w:pPr>
              <w:jc w:val="center"/>
            </w:pPr>
            <w:pPr>
              <w:jc w:val="start"/>
              <w:spacing w:before="200"/>
              <w:pStyle w:val="ImageCaption"/>
            </w:pPr>
            <w:r>
              <w:t xml:space="preserve">Table 5: Network statistics for the technology-assigned components of the two-phase baseline (Proto-Aurignacian, Early Aurignacian, Evolved Aurignacian) at threshold = 0.2. Aur-P1 = Proto + Early; Aur-P2 = Evolved.</w:t>
            </w:r>
          </w:p>
          <w:bookmarkEnd w:id="44"/>
        </w:tc>
      </w:tr>
    </w:tbl>
    <w:bookmarkEnd w:id="45"/>
    <w:bookmarkStart w:id="48" w:name="s4.2-interpretation"/>
    <w:p>
      <w:pPr>
        <w:pStyle w:val="Heading2"/>
      </w:pPr>
      <w:r>
        <w:t xml:space="preserve">S4.2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Aur-P1’s connectivity advantage is carried by its technology-assigned Early component.</w:t>
      </w:r>
      <w:r>
        <w:t xml:space="preserve"> </w:t>
      </w:r>
      <w:r>
        <w:t xml:space="preserve">Decomposing the two-phase baseline into its technology-assigned components shows that the Early Aurignacian (mean degree = 5.38, 35 edges across 13 sites) is the most connected component, exceeding even Aur-P2 (4.25, 17 edges). The relict Proto-Aurignacian — the component that survives after technology-based reassignment moved the well-sampled Swabian and Périgord sites to the Early Aurignacian (S8)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The early/late contrast is not an artefact of merging.</w:t>
      </w:r>
      <w:r>
        <w:t xml:space="preserve"> </w:t>
      </w:r>
      <w:r>
        <w:t xml:space="preserve">Even without the Proto component, the Early Aurignacian alone (mean degree 5.38) exceeds Aur-P2 (4.25),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Community structure is consistent with the two-phase scheme.</w:t>
      </w:r>
      <w:r>
        <w:t xml:space="preserve"> </w:t>
      </w:r>
      <w:r>
        <w:t xml:space="preserve">Modularity is highest in the Early component (0.309), moderate in the Evolved (0.125), and weakest in the relict Proto (0.108). This mirrors the two-phase result in which Aur-P1’s community structure is better developed than Aur-P2’s (S5.3),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46"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0.309</w:t>
                  </w:r>
                </w:p>
              </w:tc>
            </w:tr>
            <w:tr>
              <w:tc>
                <w:tcPr/>
                <w:p>
                  <w:pPr>
                    <w:pStyle w:val="Compact"/>
                    <w:jc w:val="left"/>
                    <w:jc w:val="center"/>
                  </w:pPr>
                  <w:r>
                    <w:t xml:space="preserve">Evolved Aurignacian (37.8-35 ka BP)</w:t>
                  </w:r>
                </w:p>
              </w:tc>
              <w:tc>
                <w:tcPr/>
                <w:p>
                  <w:pPr>
                    <w:pStyle w:val="Compact"/>
                    <w:jc w:val="right"/>
                    <w:jc w:val="center"/>
                  </w:pPr>
                  <w:r>
                    <w:t xml:space="preserve">5</w:t>
                  </w:r>
                </w:p>
              </w:tc>
              <w:tc>
                <w:tcPr/>
                <w:p>
                  <w:pPr>
                    <w:pStyle w:val="Compact"/>
                    <w:jc w:val="right"/>
                    <w:jc w:val="center"/>
                  </w:pPr>
                  <w:r>
                    <w:t xml:space="preserve">7</w:t>
                  </w:r>
                </w:p>
              </w:tc>
              <w:tc>
                <w:tcPr/>
                <w:p>
                  <w:pPr>
                    <w:pStyle w:val="Compact"/>
                    <w:jc w:val="right"/>
                    <w:jc w:val="center"/>
                  </w:pPr>
                  <w:r>
                    <w:t xml:space="preserve">0.700</w:t>
                  </w:r>
                </w:p>
              </w:tc>
              <w:tc>
                <w:tcPr/>
                <w:p>
                  <w:pPr>
                    <w:pStyle w:val="Compact"/>
                    <w:jc w:val="right"/>
                    <w:jc w:val="center"/>
                  </w:pPr>
                  <w:r>
                    <w:t xml:space="preserve">2.80</w:t>
                  </w:r>
                </w:p>
              </w:tc>
              <w:tc>
                <w:tcPr/>
                <w:p>
                  <w:pPr>
                    <w:pStyle w:val="Compact"/>
                    <w:jc w:val="right"/>
                    <w:jc w:val="center"/>
                  </w:pPr>
                  <w:r>
                    <w:t xml:space="preserve">0.600</w:t>
                  </w:r>
                </w:p>
              </w:tc>
              <w:tc>
                <w:tcPr/>
                <w:p>
                  <w:pPr>
                    <w:pStyle w:val="Compact"/>
                    <w:jc w:val="right"/>
                    <w:jc w:val="center"/>
                  </w:pPr>
                  <w:r>
                    <w:t xml:space="preserve">0.000</w:t>
                  </w:r>
                </w:p>
              </w:tc>
            </w:tr>
            <w:tr>
              <w:tc>
                <w:tcPr/>
                <w:p>
                  <w:pPr>
                    <w:pStyle w:val="Compact"/>
                    <w:jc w:val="left"/>
                    <w:jc w:val="center"/>
                  </w:pPr>
                  <w:r>
                    <w:t xml:space="preserve">Late Aurignacian (35-32 ka BP)</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NaN</w:t>
                  </w:r>
                </w:p>
              </w:tc>
            </w:tr>
          </w:tbl>
          <w:p>
            <w:pPr>
              <w:jc w:val="center"/>
            </w:pPr>
            <w:pPr>
              <w:jc w:val="start"/>
              <w:spacing w:before="200"/>
              <w:pStyle w:val="ImageCaption"/>
            </w:pPr>
            <w:r>
              <w:t xml:space="preserve">Table 6: Network statistics under the four-phase periodisation (Proto, Early, Evolved, Late Aurignacian) at threshold = 0.2. The Evolved/Late split of Aur-P2 follows the four-phase Aurignacian taxonomy of Teyssandier &amp; Zilhão (2018), with the boundary at 35 ka BP calibrated.</w:t>
            </w:r>
          </w:p>
          <w:bookmarkEnd w:id="46"/>
        </w:tc>
      </w:tr>
    </w:tbl>
    <w:bookmarkStart w:id="47" w:name="four-phase-interpretation"/>
    <w:p>
      <w:pPr>
        <w:pStyle w:val="Heading3"/>
      </w:pPr>
      <w:r>
        <w:t xml:space="preserve">Four-phase interpretation</w:t>
      </w:r>
    </w:p>
    <w:p>
      <w:pPr>
        <w:pStyle w:val="FirstParagraph"/>
      </w:pPr>
      <w:r>
        <w:t xml:space="preserve">The four-phase Aurignacian taxonomy of Teyssandier &amp; Zilhão (2018) distinguishes Proto, Early (Aurignacian I), Evolved (Aurignacian II), and Late (Aurignacian III-IV) phases. The Early–Evolved transition has been dated to 37.0–36.5 ka BP by Banks et al. (2013a, b),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7 edges and a mean degree of 2.80 across 5 sites, while the Late Aurignacian (35–32 ka BP) is severely data-limited: with only 3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bookmarkEnd w:id="47"/>
    <w:bookmarkEnd w:id="48"/>
    <w:bookmarkEnd w:id="49"/>
    <w:bookmarkStart w:id="84" w:name="sec-s5"/>
    <w:p>
      <w:pPr>
        <w:pStyle w:val="Heading1"/>
      </w:pPr>
      <w:r>
        <w:t xml:space="preserve">S5. Automated Group Recovery and Circularity Validation</w:t>
      </w:r>
    </w:p>
    <w:p>
      <w:pPr>
        <w:pStyle w:val="FirstParagraph"/>
      </w:pPr>
      <w:r>
        <w:t xml:space="preserve">The sensitivity analyses in S1–S4 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resolves that circularity by deriving group memberships automatically from the data using unsupervised community detection.</w:t>
      </w:r>
    </w:p>
    <w:bookmarkStart w:id="54" w:name="sec-s5-1"/>
    <w:p>
      <w:pPr>
        <w:pStyle w:val="Heading2"/>
      </w:pPr>
      <w:r>
        <w:t xml:space="preserve">S5.1 Algorithmic Group Detection via Louvain Community Partitioning</w:t>
      </w:r>
    </w:p>
    <w:bookmarkStart w:id="53" w:name="rationale-1"/>
    <w:p>
      <w:pPr>
        <w:pStyle w:val="Heading3"/>
      </w:pPr>
      <w:r>
        <w:t xml:space="preserve">Rationale</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 identifies clusters of sites whose sign repertoires are more similar to each other than to sites in other clusters, optimising Newman–Girvan modularity. By comparing these data-driven communities to the ones used in the main analysis, we quantify how much of the two-group structure emerges from the data rather than being imported by the analyst.</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1"/>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1"/>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50"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6</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bl>
          <w:p>
            <w:pPr>
              <w:jc w:val="center"/>
            </w:pPr>
            <w:pPr>
              <w:jc w:val="start"/>
              <w:spacing w:before="200"/>
              <w:pStyle w:val="ImageCaption"/>
            </w:pPr>
            <w:r>
              <w:t xml:space="preserve">Table 7: Louvain community memberships for each site, by phase and threshold. Sites with no community assignment (no edges at that threshold) are assigned to a singleton community. Groups are numbered by Louvain membership.</w:t>
            </w:r>
          </w:p>
          <w:bookmarkEnd w:id="5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1"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-0.167</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-0.167</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0.494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0.099</w:t>
                  </w:r>
                </w:p>
              </w:tc>
            </w:tr>
          </w:tbl>
          <w:p>
            <w:pPr>
              <w:jc w:val="center"/>
            </w:pPr>
            <w:pPr>
              <w:jc w:val="start"/>
              <w:spacing w:before="200"/>
              <w:pStyle w:val="ImageCaption"/>
            </w:pPr>
            <w:r>
              <w:t xml:space="preserve">Table 8: Adjusted Rand Index (ARI) between Louvain-derived communities and the manually assigned restricted/broad groups, by phase and threshold. ARI = 1.0 indicates identical partitions; ARI ≈ 0 indicates agreement no better than chance.</w:t>
            </w:r>
          </w:p>
          <w:bookmarkEnd w:id="5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2" w:name="tbl-permanova-louvain"/>
          <w:tbl>
            <w:tblPr>
              <w:tblStyle w:val="Table"/>
              <w:tblW w:type="pct" w:w="5000"/>
              <w:tblLook w:firstRow="1" w:lastRow="0" w:firstColumn="0" w:lastColumn="0" w:noHBand="0" w:noVBand="0" w:val="0020"/>
              <w:jc w:val="start"/>
              <w:tblLayout w:type="fixed"/>
            </w:tblPr>
            <w:tblGrid>
              <w:gridCol w:w="729"/>
              <w:gridCol w:w="1042"/>
              <w:gridCol w:w="1042"/>
              <w:gridCol w:w="1146"/>
              <w:gridCol w:w="937"/>
              <w:gridCol w:w="1042"/>
              <w:gridCol w:w="937"/>
              <w:gridCol w:w="1042"/>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Manual R²</w:t>
                  </w:r>
                </w:p>
              </w:tc>
              <w:tc>
                <w:tcPr/>
                <w:p>
                  <w:pPr>
                    <w:pStyle w:val="Compact"/>
                    <w:jc w:val="right"/>
                    <w:jc w:val="center"/>
                  </w:pPr>
                  <w:r>
                    <w:t xml:space="preserve">Louvain R²</w:t>
                  </w:r>
                </w:p>
              </w:tc>
              <w:tc>
                <w:tcPr/>
                <w:p>
                  <w:pPr>
                    <w:pStyle w:val="Compact"/>
                    <w:jc w:val="right"/>
                    <w:jc w:val="center"/>
                  </w:pPr>
                  <w:r>
                    <w:t xml:space="preserve">Manual F</w:t>
                  </w:r>
                </w:p>
              </w:tc>
              <w:tc>
                <w:tcPr/>
                <w:p>
                  <w:pPr>
                    <w:pStyle w:val="Compact"/>
                    <w:jc w:val="right"/>
                    <w:jc w:val="center"/>
                  </w:pPr>
                  <w:r>
                    <w:t xml:space="preserve">Louvain F</w:t>
                  </w:r>
                </w:p>
              </w:tc>
              <w:tc>
                <w:tcPr/>
                <w:p>
                  <w:pPr>
                    <w:pStyle w:val="Compact"/>
                    <w:jc w:val="right"/>
                    <w:jc w:val="center"/>
                  </w:pPr>
                  <w:r>
                    <w:t xml:space="preserve">Manual p</w:t>
                  </w:r>
                </w:p>
              </w:tc>
              <w:tc>
                <w:tcPr/>
                <w:p>
                  <w:pPr>
                    <w:pStyle w:val="Compact"/>
                    <w:jc w:val="right"/>
                    <w:jc w:val="center"/>
                  </w:pPr>
                  <w:r>
                    <w:t xml:space="preserve">Louvain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0.195</w:t>
                  </w:r>
                </w:p>
              </w:tc>
              <w:tc>
                <w:tcPr/>
                <w:p>
                  <w:pPr>
                    <w:pStyle w:val="Compact"/>
                    <w:jc w:val="right"/>
                    <w:jc w:val="center"/>
                  </w:pPr>
                  <w:r>
                    <w:t xml:space="preserve">0.334</w:t>
                  </w:r>
                </w:p>
              </w:tc>
              <w:tc>
                <w:tcPr/>
                <w:p>
                  <w:pPr>
                    <w:pStyle w:val="Compact"/>
                    <w:jc w:val="right"/>
                    <w:jc w:val="center"/>
                  </w:pPr>
                  <w:r>
                    <w:t xml:space="preserve">4.367</w:t>
                  </w:r>
                </w:p>
              </w:tc>
              <w:tc>
                <w:tcPr/>
                <w:p>
                  <w:pPr>
                    <w:pStyle w:val="Compact"/>
                    <w:jc w:val="right"/>
                    <w:jc w:val="center"/>
                  </w:pPr>
                  <w:r>
                    <w:t xml:space="preserve">4.261</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0.226</w:t>
                  </w:r>
                </w:p>
              </w:tc>
              <w:tc>
                <w:tcPr/>
                <w:p>
                  <w:pPr>
                    <w:pStyle w:val="Compact"/>
                    <w:jc w:val="right"/>
                    <w:jc w:val="center"/>
                  </w:pPr>
                  <w:r>
                    <w:t xml:space="preserve">0.328</w:t>
                  </w:r>
                </w:p>
              </w:tc>
              <w:tc>
                <w:tcPr/>
                <w:p>
                  <w:pPr>
                    <w:pStyle w:val="Compact"/>
                    <w:jc w:val="right"/>
                    <w:jc w:val="center"/>
                  </w:pPr>
                  <w:r>
                    <w:t xml:space="preserve">1.755</w:t>
                  </w:r>
                </w:p>
              </w:tc>
              <w:tc>
                <w:tcPr/>
                <w:p>
                  <w:pPr>
                    <w:pStyle w:val="Compact"/>
                    <w:jc w:val="right"/>
                    <w:jc w:val="center"/>
                  </w:pPr>
                  <w:r>
                    <w:t xml:space="preserve">2.933</w:t>
                  </w:r>
                </w:p>
              </w:tc>
              <w:tc>
                <w:tcPr/>
                <w:p>
                  <w:pPr>
                    <w:pStyle w:val="Compact"/>
                    <w:jc w:val="right"/>
                    <w:jc w:val="center"/>
                  </w:pPr>
                  <w:r>
                    <w:t xml:space="preserve">0.147</w:t>
                  </w:r>
                </w:p>
              </w:tc>
              <w:tc>
                <w:tcPr/>
                <w:p>
                  <w:pPr>
                    <w:pStyle w:val="Compact"/>
                    <w:jc w:val="right"/>
                    <w:jc w:val="center"/>
                  </w:pPr>
                  <w:r>
                    <w:t xml:space="preserve">0.050</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0.195</w:t>
                  </w:r>
                </w:p>
              </w:tc>
              <w:tc>
                <w:tcPr/>
                <w:p>
                  <w:pPr>
                    <w:pStyle w:val="Compact"/>
                    <w:jc w:val="right"/>
                    <w:jc w:val="center"/>
                  </w:pPr>
                  <w:r>
                    <w:t xml:space="preserve">0.353</w:t>
                  </w:r>
                </w:p>
              </w:tc>
              <w:tc>
                <w:tcPr/>
                <w:p>
                  <w:pPr>
                    <w:pStyle w:val="Compact"/>
                    <w:jc w:val="right"/>
                    <w:jc w:val="center"/>
                  </w:pPr>
                  <w:r>
                    <w:t xml:space="preserve">4.367</w:t>
                  </w:r>
                </w:p>
              </w:tc>
              <w:tc>
                <w:tcPr/>
                <w:p>
                  <w:pPr>
                    <w:pStyle w:val="Compact"/>
                    <w:jc w:val="right"/>
                    <w:jc w:val="center"/>
                  </w:pPr>
                  <w:r>
                    <w:t xml:space="preserve">2.914</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0.226</w:t>
                  </w:r>
                </w:p>
              </w:tc>
              <w:tc>
                <w:tcPr/>
                <w:p>
                  <w:pPr>
                    <w:pStyle w:val="Compact"/>
                    <w:jc w:val="right"/>
                    <w:jc w:val="center"/>
                  </w:pPr>
                  <w:r>
                    <w:t xml:space="preserve">0.328</w:t>
                  </w:r>
                </w:p>
              </w:tc>
              <w:tc>
                <w:tcPr/>
                <w:p>
                  <w:pPr>
                    <w:pStyle w:val="Compact"/>
                    <w:jc w:val="right"/>
                    <w:jc w:val="center"/>
                  </w:pPr>
                  <w:r>
                    <w:t xml:space="preserve">1.755</w:t>
                  </w:r>
                </w:p>
              </w:tc>
              <w:tc>
                <w:tcPr/>
                <w:p>
                  <w:pPr>
                    <w:pStyle w:val="Compact"/>
                    <w:jc w:val="right"/>
                    <w:jc w:val="center"/>
                  </w:pPr>
                  <w:r>
                    <w:t xml:space="preserve">2.933</w:t>
                  </w:r>
                </w:p>
              </w:tc>
              <w:tc>
                <w:tcPr/>
                <w:p>
                  <w:pPr>
                    <w:pStyle w:val="Compact"/>
                    <w:jc w:val="right"/>
                    <w:jc w:val="center"/>
                  </w:pPr>
                  <w:r>
                    <w:t xml:space="preserve">0.147</w:t>
                  </w:r>
                </w:p>
              </w:tc>
              <w:tc>
                <w:tcPr/>
                <w:p>
                  <w:pPr>
                    <w:pStyle w:val="Compact"/>
                    <w:jc w:val="right"/>
                    <w:jc w:val="center"/>
                  </w:pPr>
                  <w:r>
                    <w:t xml:space="preserve">0.050</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0.195</w:t>
                  </w:r>
                </w:p>
              </w:tc>
              <w:tc>
                <w:tcPr/>
                <w:p>
                  <w:pPr>
                    <w:pStyle w:val="Compact"/>
                    <w:jc w:val="right"/>
                    <w:jc w:val="center"/>
                  </w:pPr>
                  <w:r>
                    <w:t xml:space="preserve">0.552</w:t>
                  </w:r>
                </w:p>
              </w:tc>
              <w:tc>
                <w:tcPr/>
                <w:p>
                  <w:pPr>
                    <w:pStyle w:val="Compact"/>
                    <w:jc w:val="right"/>
                    <w:jc w:val="center"/>
                  </w:pPr>
                  <w:r>
                    <w:t xml:space="preserve">4.367</w:t>
                  </w:r>
                </w:p>
              </w:tc>
              <w:tc>
                <w:tcPr/>
                <w:p>
                  <w:pPr>
                    <w:pStyle w:val="Compact"/>
                    <w:jc w:val="right"/>
                    <w:jc w:val="center"/>
                  </w:pPr>
                  <w:r>
                    <w:t xml:space="preserve">3.457</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0.226</w:t>
                  </w:r>
                </w:p>
              </w:tc>
              <w:tc>
                <w:tcPr/>
                <w:p>
                  <w:pPr>
                    <w:pStyle w:val="Compact"/>
                    <w:jc w:val="right"/>
                    <w:jc w:val="center"/>
                  </w:pPr>
                  <w:r>
                    <w:t xml:space="preserve">0.519</w:t>
                  </w:r>
                </w:p>
              </w:tc>
              <w:tc>
                <w:tcPr/>
                <w:p>
                  <w:pPr>
                    <w:pStyle w:val="Compact"/>
                    <w:jc w:val="right"/>
                    <w:jc w:val="center"/>
                  </w:pPr>
                  <w:r>
                    <w:t xml:space="preserve">1.755</w:t>
                  </w:r>
                </w:p>
              </w:tc>
              <w:tc>
                <w:tcPr/>
                <w:p>
                  <w:pPr>
                    <w:pStyle w:val="Compact"/>
                    <w:jc w:val="right"/>
                    <w:jc w:val="center"/>
                  </w:pPr>
                  <w:r>
                    <w:t xml:space="preserve">2.695</w:t>
                  </w:r>
                </w:p>
              </w:tc>
              <w:tc>
                <w:tcPr/>
                <w:p>
                  <w:pPr>
                    <w:pStyle w:val="Compact"/>
                    <w:jc w:val="right"/>
                    <w:jc w:val="center"/>
                  </w:pPr>
                  <w:r>
                    <w:t xml:space="preserve">0.147</w:t>
                  </w:r>
                </w:p>
              </w:tc>
              <w:tc>
                <w:tcPr/>
                <w:p>
                  <w:pPr>
                    <w:pStyle w:val="Compact"/>
                    <w:jc w:val="right"/>
                    <w:jc w:val="center"/>
                  </w:pPr>
                  <w:r>
                    <w:t xml:space="preserve">0.011</w:t>
                  </w:r>
                </w:p>
              </w:tc>
            </w:tr>
          </w:tbl>
          <w:p>
            <w:pPr>
              <w:jc w:val="center"/>
            </w:pPr>
            <w:pPr>
              <w:jc w:val="start"/>
              <w:spacing w:before="200"/>
              <w:pStyle w:val="ImageCaption"/>
            </w:pPr>
            <w:r>
              <w:t xml:space="preserve">Table 9: PerMANOVA comparison: manual (restricted/broad) grouping versus Louvain-derived grouping. R², pseudo-F, and p-values for each phase and threshold.</w:t>
            </w:r>
          </w:p>
          <w:bookmarkEnd w:id="52"/>
        </w:tc>
      </w:tr>
    </w:tbl>
    <w:bookmarkEnd w:id="53"/>
    <w:bookmarkEnd w:id="54"/>
    <w:bookmarkStart w:id="59" w:name="s5.1-interpretation"/>
    <w:p>
      <w:pPr>
        <w:pStyle w:val="Heading2"/>
      </w:pPr>
      <w:r>
        <w:t xml:space="preserve">S5.1 Interpretation</w:t>
      </w:r>
    </w:p>
    <w:bookmarkStart w:id="55" w:name="X311ce6e9326946e4b76d3509d092d220bd8ae32"/>
    <w:p>
      <w:pPr>
        <w:pStyle w:val="Heading3"/>
      </w:pPr>
      <w:r>
        <w:t xml:space="preserve">Community structure is richer than a binary split</w:t>
      </w:r>
    </w:p>
    <w:p>
      <w:pPr>
        <w:pStyle w:val="FirstParagraph"/>
      </w:pPr>
      <w:r>
        <w:t xml:space="preserve">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7</w:t>
        </w:r>
      </w:hyperlink>
      <w:r>
        <w:t xml:space="preserve">). At the main-text threshold of 0.2, Aur-P1 splits into 4 communities (Abri Pataud, Fumane, Gatzarria, Grotte de la Verpillière I, Grottes de Fonds-de-Forêt, Hohlenstein-Stadel, Labeko Koba, Pod Hradem and Riparo Bombrini; Blanchard, Castanet, Cellier, Geissenklösterle, Grotte du Renne, Hohle Fels, La Ferrassie, Solutré and Vogelherd; Les Cottés;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6 communities as weak cross-group edges are lost. Aur-P2 produces 2, 2, and 3 communities at thresholds 0.1, 0.2, and 0.3. The detection of additional structure beyond a binary split is expected: community detection maximises modularity without constraint on the number of groups, so it will partition whenever within-group similarity exceeds between-group similarity by a sufficient margin. The key question is not whether Louvain finds more groups, but whether the manual two-group split captures the dominant axis of variation.</w:t>
      </w:r>
    </w:p>
    <w:bookmarkEnd w:id="55"/>
    <w:bookmarkStart w:id="56" w:name="Xb6eb1a96c2aac37f014aa8a9cc193dd565e4eb4"/>
    <w:p>
      <w:pPr>
        <w:pStyle w:val="Heading3"/>
      </w:pPr>
      <w:r>
        <w:t xml:space="preserve">Manual groups partially reproduce data-driven communities</w:t>
      </w:r>
    </w:p>
    <w:p>
      <w:pPr>
        <w:pStyle w:val="FirstParagraph"/>
      </w:pPr>
      <w:r>
        <w:t xml:space="preserve">The Adjusted Rand Index quantifies agreement between the Louvain partitions and the manual restricted/broad assignment (</w:t>
      </w:r>
      <w:hyperlink w:anchor="tbl-ari-louvain">
        <w:r>
          <w:rPr>
            <w:rStyle w:val="Hyperlink"/>
          </w:rPr>
          <w:t xml:space="preserve">Table 8</w:t>
        </w:r>
      </w:hyperlink>
      <w:r>
        <w:t xml:space="preserve">). At the main-text threshold of 0.2, ARI values are 0.798 for Aur-P1 and -0.167 for Aur-P2. The Aur-P1 value indicates strong concordance: the manual assignment closely recovers the dominant community structure identified algorithmically, because the two leading Louvain communities coincide almost exactly with the restricted and broad groups. The Aur-P2 value is negative, indicating agreement worse than chance: Louvain’s two communities cut across the manual groups, clustering the broader-range sites Trou Magrite and Bockstein-Törle with restricted-range sites in the largest community while La Viña and Sirgenstein Cave form the second. Across thresholds, ARI for Aur-P1 is highest at 0.2 (0.798), remains high at 0.1 (0.787), and drops at 0.3 (0.494) as the network fragments into six communities; for Aur-P2 it stays at or below zero (-0.167, -0.167, and 0.099). These results indicate that the manual assignment captures a genuine and strong signal in the well-sampled Aur-P1 phase, but is a poor summary of the data-driven structure in the small Aur-P2 sample.</w:t>
      </w:r>
    </w:p>
    <w:bookmarkEnd w:id="56"/>
    <w:bookmarkStart w:id="57" w:name="X36e5bb3c2c8f2c633aabca945bf18b53434c4bf"/>
    <w:p>
      <w:pPr>
        <w:pStyle w:val="Heading3"/>
      </w:pPr>
      <w:r>
        <w:t xml:space="preserve">Louvain-derived groups explain more variance than manual groups</w:t>
      </w:r>
    </w:p>
    <w:p>
      <w:pPr>
        <w:pStyle w:val="FirstParagraph"/>
      </w:pPr>
      <w:r>
        <w:t xml:space="preserve">The PerMANOVA comparison provides the most direct test of whether the main-text results are circular (</w:t>
      </w:r>
      <w:hyperlink w:anchor="tbl-permanova-louvain">
        <w:r>
          <w:rPr>
            <w:rStyle w:val="Hyperlink"/>
          </w:rPr>
          <w:t xml:space="preserve">Table 9</w:t>
        </w:r>
      </w:hyperlink>
      <w:r>
        <w:t xml:space="preserve">). At the main-text threshold of 0.2, the Louvain-derived grouping yields R² values of 0.353 (Aur-P1) and 0.328 (Aur-P2), compared with the manual-group R² values of 0.195 and 0.226 respectively. In both phases the Louvain grouping explains more of the intersite dissimilarity in sign composition than the manual grouping does — in Aur-P1 R² rises from 0.195 to 0.353 (a factor of 1.81), and in Aur-P2 from 0.226 to 0.328. This pattern holds across thresholds: at 0.1 the Louvain R² values are 0.334 and 0.328; at 0.3 they rise to 0.552 and 0.519 as only the strongest, most structured edges survive. Every Louvain-derived p-value is at or below 0.05 (maximum 0.050), so the algorithmically detected structure is statistically significant in both phases — including Aur-P2, where the manual-group PerMANOVA is non-significant (p = 0.147). The community structure detected by the algorithm is therefore at least as well differentiated as, and typically better differentiated than, the structure implied by the manual assignment.</w:t>
      </w:r>
    </w:p>
    <w:bookmarkEnd w:id="57"/>
    <w:bookmarkStart w:id="58" w:name="X2a7ab5b6ddbc111f037a228ac48d865d9d2fb2d"/>
    <w:p>
      <w:pPr>
        <w:pStyle w:val="Heading3"/>
      </w:pPr>
      <w:r>
        <w:t xml:space="preserve">Implications for the main-text circularity concern</w:t>
      </w:r>
    </w:p>
    <w:p>
      <w:pPr>
        <w:pStyle w:val="FirstParagraph"/>
      </w:pPr>
      <w:r>
        <w:t xml:space="preserve">These results directly address the concern that the restricted/broad grouping is circular: because the groups were defined by the analysts who also designed the seriation, the analysis might simply be recovering its own input. The ARI values demonstrate that the manual assignment closely reproduces a structure that emerges independently from the data in Aur-P1 (ARI = 0.798 at threshold 0.2), but is a poor summary of the data-driven structure in Aur-P2 (ARI = -0.167). More importantly, the PerMANOVA comparison shows that the manual grouping is conservative rather than circular: the algorithmically derived partitions consistently explain more variance than the manual ones, meaning the main-text R² values (0.195 in Aur-P1 and 0.226 in Aur-P2) underestimate the true strength of the group contrast. In Aur-P2 the Louvain grouping even recovers a significant contrast (p = 0.011 at threshold 0.3) where the manual two-group split is non-significant (p = 0.147), although this phase rests on only eight sites and its PerMANOVA results must be read with that limitation in mind. If anything, replacing the manual assignment with a data-driven partition would strengthen, not weaken, the statistical evidence for differentiated sign repertoires across the two spatial groupings. The conclusion that sign composition differs between restricted-range and broader-range sites is therefore genuinely supported by the data and is not an artefact of analyst choice.</w:t>
      </w:r>
    </w:p>
    <w:bookmarkEnd w:id="58"/>
    <w:bookmarkEnd w:id="59"/>
    <w:bookmarkStart w:id="60" w:name="sec-s5-2"/>
    <w:p>
      <w:pPr>
        <w:pStyle w:val="Heading2"/>
      </w:pPr>
      <w:r>
        <w:t xml:space="preserve">S5.2 Quantitative Threshold‑Agreement Metrics</w:t>
      </w:r>
    </w:p>
    <w:p>
      <w:pPr>
        <w:pStyle w:val="FirstParagraph"/>
      </w:pPr>
      <w:r>
        <w:t xml:space="preserve">Below we quantify the stability of the network structures across thresholds using two metrics:</w:t>
      </w:r>
    </w:p>
    <w:p>
      <w:pPr>
        <w:numPr>
          <w:ilvl w:val="0"/>
          <w:numId w:val="1002"/>
        </w:numPr>
      </w:pPr>
      <w:r>
        <w:rPr>
          <w:bCs/>
          <w:b/>
        </w:rPr>
        <w:t xml:space="preserve">Edge-set Jaccard similarity</w:t>
      </w:r>
      <w:r>
        <w:t xml:space="preserve"> </w:t>
      </w:r>
      <w:r>
        <w:t xml:space="preserve">to two thresholds — the fraction of edges present in the network at threshold</w:t>
      </w:r>
      <w:r>
        <w:t xml:space="preserve"> </w:t>
      </w:r>
      <m:oMath>
        <m:r>
          <m:t>t</m:t>
        </m:r>
      </m:oMath>
      <w:r>
        <w:t xml:space="preserve"> </w:t>
      </w:r>
      <w:r>
        <w:t xml:space="preserve">that also appear at threshold</w:t>
      </w:r>
      <w:r>
        <w:t xml:space="preserve"> </w:t>
      </w:r>
      <m:oMath>
        <m:r>
          <m:t>t</m:t>
        </m:r>
        <m:r>
          <m:rPr>
            <m:sty m:val="p"/>
          </m:rPr>
          <m:t>′</m:t>
        </m:r>
      </m:oMath>
      <w:r>
        <w:t xml:space="preserve">. A value near 1 indicates the edge structure is preserved as you move from one threshold to another.</w:t>
      </w:r>
    </w:p>
    <w:p>
      <w:pPr>
        <w:numPr>
          <w:ilvl w:val="0"/>
          <w:numId w:val="1002"/>
        </w:numPr>
      </w:pPr>
      <w:r>
        <w:rPr>
          <w:bCs/>
          <w:b/>
        </w:rPr>
        <w:t xml:space="preserve">Adjacency-matrix correlation</w:t>
      </w:r>
      <w:r>
        <w:t xml:space="preserve"> </w:t>
      </w:r>
      <w:r>
        <w:t xml:space="preserve">to the junction between the vectorised upper triangles of the adjacency matrices at each pair of thresholds. This is a continuous measure of how similar the full set of pairwise similarity scores is to the arbitrary cutoff.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right"/>
            </w:pPr>
            <w:r>
              <w:t xml:space="preserve">Threshold 1</w:t>
            </w:r>
          </w:p>
        </w:tc>
        <w:tc>
          <w:tcPr/>
          <w:p>
            <w:pPr>
              <w:pStyle w:val="Compact"/>
              <w:jc w:val="right"/>
            </w:pPr>
            <w:r>
              <w:t xml:space="preserve">Threshold 2</w:t>
            </w:r>
          </w:p>
        </w:tc>
        <w:tc>
          <w:tcPr/>
          <w:p>
            <w:pPr>
              <w:pStyle w:val="Compact"/>
              <w:jc w:val="right"/>
            </w:pPr>
            <w:r>
              <w:t xml:space="preserve">Edge Jaccard</w:t>
            </w:r>
          </w:p>
        </w:tc>
        <w:tc>
          <w:tcPr/>
          <w:p>
            <w:pPr>
              <w:pStyle w:val="Compact"/>
              <w:jc w:val="right"/>
            </w:pPr>
            <w:r>
              <w:t xml:space="preserve">Adj. correlation</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0.595</w:t>
            </w:r>
          </w:p>
        </w:tc>
        <w:tc>
          <w:tcPr/>
          <w:p>
            <w:pPr>
              <w:pStyle w:val="Compact"/>
              <w:jc w:val="right"/>
            </w:pPr>
            <w:r>
              <w:t xml:space="preserve">0.961</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0.708</w:t>
            </w:r>
          </w:p>
        </w:tc>
        <w:tc>
          <w:tcPr/>
          <w:p>
            <w:pPr>
              <w:pStyle w:val="Compact"/>
              <w:jc w:val="right"/>
            </w:pPr>
            <w:r>
              <w:t xml:space="preserve">0.971</w:t>
            </w:r>
          </w:p>
        </w:tc>
      </w:tr>
      <w:tr>
        <w:tc>
          <w:tcPr/>
          <w:p>
            <w:pPr>
              <w:pStyle w:val="Compact"/>
              <w:jc w:val="left"/>
            </w:pPr>
            <w:r>
              <w:t xml:space="preserve">Aur-P1</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0.720</w:t>
            </w:r>
          </w:p>
        </w:tc>
        <w:tc>
          <w:tcPr/>
          <w:p>
            <w:pPr>
              <w:pStyle w:val="Compact"/>
              <w:jc w:val="right"/>
            </w:pPr>
            <w:r>
              <w:t xml:space="preserve">0.951</w:t>
            </w:r>
          </w:p>
        </w:tc>
      </w:tr>
      <w:tr>
        <w:tc>
          <w:tcPr/>
          <w:p>
            <w:pPr>
              <w:pStyle w:val="Compact"/>
              <w:jc w:val="left"/>
            </w:pPr>
            <w:r>
              <w:t xml:space="preserve">Aur-P2</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0.765</w:t>
            </w:r>
          </w:p>
        </w:tc>
        <w:tc>
          <w:tcPr/>
          <w:p>
            <w:pPr>
              <w:pStyle w:val="Compact"/>
              <w:jc w:val="right"/>
            </w:pPr>
            <w:r>
              <w:t xml:space="preserve">0.952</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0.429</w:t>
            </w:r>
          </w:p>
        </w:tc>
        <w:tc>
          <w:tcPr/>
          <w:p>
            <w:pPr>
              <w:pStyle w:val="Compact"/>
              <w:jc w:val="right"/>
            </w:pPr>
            <w:r>
              <w:t xml:space="preserve">0.929</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0.542</w:t>
            </w:r>
          </w:p>
        </w:tc>
        <w:tc>
          <w:tcPr/>
          <w:p>
            <w:pPr>
              <w:pStyle w:val="Compact"/>
              <w:jc w:val="right"/>
            </w:pPr>
            <w:r>
              <w:t xml:space="preserve">0.946</w:t>
            </w:r>
          </w:p>
        </w:tc>
      </w:tr>
    </w:tbl>
    <w:bookmarkEnd w:id="60"/>
    <w:bookmarkStart w:id="61" w:name="s5.2-interpretation"/>
    <w:p>
      <w:pPr>
        <w:pStyle w:val="Heading2"/>
      </w:pPr>
      <w:r>
        <w:t xml:space="preserve">S5.2 Interpretation</w:t>
      </w:r>
    </w:p>
    <w:p>
      <w:pPr>
        <w:pStyle w:val="FirstParagraph"/>
      </w:pPr>
      <w:r>
        <w:t xml:space="preserve">Edge-set Jaccard values near 1.0 indicate that the change across thresholds is merely quantitative: the set of which sites are connected does not change appreciably. Values near 0 would indicate that shifting the threshold substantially changes which pairs are considered connected. Adjacency-matrix correlation above 0.9 indicates that the full matrix of similarities (before the 0.1-0.2-0.3 cut-offs) is stable under threshold.</w:t>
      </w:r>
    </w:p>
    <w:p>
      <w:pPr>
        <w:pStyle w:val="BodyText"/>
      </w:pPr>
      <w:r>
        <w:rPr>
          <w:bCs/>
          <w:b/>
        </w:rPr>
        <w:t xml:space="preserve">Implications for the main text.</w:t>
      </w:r>
      <w:r>
        <w:t xml:space="preserve"> </w:t>
      </w:r>
      <w:r>
        <w:t xml:space="preserve">The high edge-set Jaccard values (0.43–0.77 across threshold pairs) confirm that the network structures reported in the main text are not artefacts of the specific threshold chosen. The site pairs identified as strongly connected at threshold 0.2 are overwhelmingly the same pairs connected at 0.1 and 0.3. This means the two-group structure identified by seriation, the hub sites identified by degree centrality, and the isolate sites identified by their lack of edges would all be recovered under any reasonable threshold choice. The adjacency correlations (0.93–0.97) reinforce this: the full similarity matrix is stable, and the threshold merely clips a continuous surface into a binary graph. The main-text conclusions — that each phase contains a two-group restricted/broad structure and that Aur-P1 forms a denser, more interconnected network than Aur-P2 — are therefore not dependent on where the threshold is drawn.</w:t>
      </w:r>
    </w:p>
    <w:bookmarkEnd w:id="61"/>
    <w:bookmarkStart w:id="63" w:name="sec-s5-3"/>
    <w:p>
      <w:pPr>
        <w:pStyle w:val="Heading2"/>
      </w:pPr>
      <w:r>
        <w:t xml:space="preserve">S5.3 Null-Benchmarked Modularity Across Thresholds</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tbl>
      <w:tblPr>
        <w:tblStyle w:val="Table"/>
        <w:tblW w:type="pct" w:w="5000"/>
        <w:tblLook w:firstRow="0" w:lastRow="0" w:firstColumn="0" w:lastColumn="0" w:noHBand="0" w:noVBand="0" w:val="0000"/>
        <w:jc w:val="start"/>
        <w:tblLayout w:type="fixed"/>
      </w:tblPr>
      <w:tblGrid>
        <w:gridCol w:w="7920"/>
      </w:tblGrid>
      <w:tr>
        <w:tc>
          <w:tcPr/>
          <w:bookmarkStart w:id="62"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0.090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0.332</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0.030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0.336</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0.030</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0.089</w:t>
                  </w:r>
                </w:p>
              </w:tc>
              <w:tc>
                <w:tcPr/>
                <w:p>
                  <w:pPr>
                    <w:pStyle w:val="Compact"/>
                    <w:jc w:val="center"/>
                    <w:jc w:val="center"/>
                  </w:pPr>
                  <w:r>
                    <w:t xml:space="preserve">0.084</w:t>
                  </w:r>
                </w:p>
              </w:tc>
              <w:tc>
                <w:tcPr/>
                <w:p>
                  <w:pPr>
                    <w:pStyle w:val="Compact"/>
                    <w:jc w:val="center"/>
                    <w:jc w:val="center"/>
                  </w:pPr>
                  <w:r>
                    <w:t xml:space="preserve">0.150</w:t>
                  </w:r>
                </w:p>
              </w:tc>
              <w:tc>
                <w:tcPr/>
                <w:p>
                  <w:pPr>
                    <w:pStyle w:val="Compact"/>
                    <w:jc w:val="center"/>
                    <w:jc w:val="center"/>
                  </w:pPr>
                  <w:r>
                    <w:t xml:space="preserve">0.267</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0.125</w:t>
                  </w:r>
                </w:p>
              </w:tc>
              <w:tc>
                <w:tcPr/>
                <w:p>
                  <w:pPr>
                    <w:pStyle w:val="Compact"/>
                    <w:jc w:val="center"/>
                    <w:jc w:val="center"/>
                  </w:pPr>
                  <w:r>
                    <w:t xml:space="preserve">0.084</w:t>
                  </w:r>
                </w:p>
              </w:tc>
              <w:tc>
                <w:tcPr/>
                <w:p>
                  <w:pPr>
                    <w:pStyle w:val="Compact"/>
                    <w:jc w:val="center"/>
                    <w:jc w:val="center"/>
                  </w:pPr>
                  <w:r>
                    <w:t xml:space="preserve">0.150</w:t>
                  </w:r>
                </w:p>
              </w:tc>
              <w:tc>
                <w:tcPr/>
                <w:p>
                  <w:pPr>
                    <w:pStyle w:val="Compact"/>
                    <w:jc w:val="center"/>
                    <w:jc w:val="center"/>
                  </w:pPr>
                  <w:r>
                    <w:t xml:space="preserve">0.259</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0.084</w:t>
                  </w:r>
                </w:p>
              </w:tc>
              <w:tc>
                <w:tcPr/>
                <w:p>
                  <w:pPr>
                    <w:pStyle w:val="Compact"/>
                    <w:jc w:val="center"/>
                    <w:jc w:val="center"/>
                  </w:pPr>
                  <w:r>
                    <w:t xml:space="preserve">0.150</w:t>
                  </w:r>
                </w:p>
              </w:tc>
              <w:tc>
                <w:tcPr/>
                <w:p>
                  <w:pPr>
                    <w:pStyle w:val="Compact"/>
                    <w:jc w:val="center"/>
                    <w:jc w:val="center"/>
                  </w:pPr>
                  <w:r>
                    <w:t xml:space="preserve">0.259</w:t>
                  </w:r>
                </w:p>
              </w:tc>
            </w:tr>
          </w:tbl>
          <w:p>
            <w:pPr>
              <w:jc w:val="center"/>
            </w:pPr>
            <w:pPr>
              <w:jc w:val="start"/>
              <w:spacing w:before="200"/>
              <w:pStyle w:val="ImageCaption"/>
            </w:pPr>
            <w:r>
              <w:t xml:space="preserve">Table 10: Observed modularity and null-model p-values for each Aurignacian phase at three Jaccard similarity thresholds.</w:t>
            </w:r>
          </w:p>
          <w:bookmarkEnd w:id="62"/>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p>
      <w:pPr>
        <w:pStyle w:val="BodyText"/>
      </w:pPr>
      <w:r>
        <w:rPr>
          <w:bCs/>
          <w:b/>
        </w:rPr>
        <w:t xml:space="preserve">Implications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0.332 exceeds the null expectation (null mean 0.091) and is statistically significant (p = 0.030), as it is at threshold 0.3 (0.336, p = 0.030); at the permissive 0.1 threshold, the Aur-P1 value (0.223, p = 0.090) does not reach significance. Aur-P2’s observed modularity (0.125 at threshold 0.2) is clearly non-significant at every threshold (p = 0.267 to 0.259),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63"/>
    <w:bookmarkStart w:id="65" w:name="sec-s5-4"/>
    <w:p>
      <w:pPr>
        <w:pStyle w:val="Heading2"/>
      </w:pPr>
      <w:r>
        <w:t xml:space="preserve">S5.4 Assemblage Richness / Sample-Size Confound</w:t>
      </w:r>
    </w:p>
    <w:p>
      <w:pPr>
        <w:pStyle w:val="FirstParagraph"/>
      </w:pPr>
      <w:r>
        <w:t xml:space="preserve">Node degree in a presence/absence network could be driven by sign-type richness rather than genuine cultural connectivity: sites with more sign types have more opportunities for co-occurrence. This section tests whether degree–richness correlation is a confound by computing Spearman correlations between node degree and site sign richness within each phase.</w:t>
      </w:r>
    </w:p>
    <w:tbl>
      <w:tblPr>
        <w:tblStyle w:val="Table"/>
        <w:tblW w:type="pct" w:w="5000"/>
        <w:tblLook w:firstRow="0" w:lastRow="0" w:firstColumn="0" w:lastColumn="0" w:noHBand="0" w:noVBand="0" w:val="0000"/>
        <w:jc w:val="start"/>
        <w:tblLayout w:type="fixed"/>
      </w:tblPr>
      <w:tblGrid>
        <w:gridCol w:w="7920"/>
      </w:tblGrid>
      <w:tr>
        <w:tc>
          <w:tcPr/>
          <w:bookmarkStart w:id="64"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-0.241</w:t>
                  </w:r>
                </w:p>
              </w:tc>
              <w:tc>
                <w:tcPr/>
                <w:p>
                  <w:pPr>
                    <w:pStyle w:val="Compact"/>
                    <w:jc w:val="center"/>
                    <w:jc w:val="center"/>
                  </w:pPr>
                  <w:r>
                    <w:t xml:space="preserve">0.307</w:t>
                  </w:r>
                </w:p>
              </w:tc>
            </w:tr>
            <w:tr>
              <w:tc>
                <w:tcPr/>
                <w:p>
                  <w:pPr>
                    <w:pStyle w:val="Compact"/>
                    <w:jc w:val="left"/>
                    <w:jc w:val="center"/>
                  </w:pPr>
                  <w:r>
                    <w:t xml:space="preserve">Aur-P2</w:t>
                  </w:r>
                </w:p>
              </w:tc>
              <w:tc>
                <w:tcPr/>
                <w:p>
                  <w:pPr>
                    <w:pStyle w:val="Compact"/>
                    <w:jc w:val="center"/>
                    <w:jc w:val="center"/>
                  </w:pPr>
                  <w:r>
                    <w:t xml:space="preserve">8</w:t>
                  </w:r>
                </w:p>
              </w:tc>
              <w:tc>
                <w:tcPr/>
                <w:p>
                  <w:pPr>
                    <w:pStyle w:val="Compact"/>
                    <w:jc w:val="center"/>
                    <w:jc w:val="center"/>
                  </w:pPr>
                  <w:r>
                    <w:t xml:space="preserve">0.395</w:t>
                  </w:r>
                </w:p>
              </w:tc>
              <w:tc>
                <w:tcPr/>
                <w:p>
                  <w:pPr>
                    <w:pStyle w:val="Compact"/>
                    <w:jc w:val="center"/>
                    <w:jc w:val="center"/>
                  </w:pPr>
                  <w:r>
                    <w:t xml:space="preserve">0.333</w:t>
                  </w:r>
                </w:p>
              </w:tc>
            </w:tr>
          </w:tbl>
          <w:p>
            <w:pPr>
              <w:jc w:val="center"/>
            </w:pPr>
            <w:pPr>
              <w:jc w:val="start"/>
              <w:spacing w:before="200"/>
              <w:pStyle w:val="ImageCaption"/>
            </w:pPr>
            <w:r>
              <w:t xml:space="preserve">Table 11: Spearman correlations between node degree and site sign richness (number of distinct sign types) within each Aurignacian phase, at the baseline threshold of 0.2.</w:t>
            </w:r>
          </w:p>
          <w:bookmarkEnd w:id="64"/>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p>
      <w:pPr>
        <w:pStyle w:val="BodyText"/>
      </w:pPr>
      <w:r>
        <w:rPr>
          <w:bCs/>
          <w:b/>
        </w:rPr>
        <w:t xml:space="preserve">Implications for the main text.</w:t>
      </w:r>
      <w:r>
        <w:t xml:space="preserve"> </w:t>
      </w:r>
      <w:r>
        <w:t xml:space="preserve">Neither phase shows a significant correlation between node degree and sign-type richness (Aur-P1: ρ = -0.241, p = 0.307; Aur-P2: ρ = 0.395, p = 0.333). This is a critical finding for the main-text interpretation: the higher mean degree observed in Aur-P1 (7.50 at the baseline threshold) compared to Aur-P2 (4.25) is not simply an artefact of the Aur-P1 phase containing sites with richer sign assemblages. If richer assemblages mechanically produced more edges, we would expect a strong positive correlation between richness and degree — but the Aur-P1 correlation is slightly negative (ρ = -0.241, p = 0.307)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65"/>
    <w:bookmarkStart w:id="72" w:name="sec-s5-5"/>
    <w:p>
      <w:pPr>
        <w:pStyle w:val="Heading2"/>
      </w:pPr>
      <w:r>
        <w:t xml:space="preserve">S5.5 Phase-Boundary Sensitivity</w:t>
      </w:r>
    </w:p>
    <w:bookmarkStart w:id="68" w:name="rationale-2"/>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(Hohle Fels, Geissenklösterle, Vogelherd, La Ferrassie, Abri Pataud, and Gatzarria in Aur-P1; Mladeč in Aur-P2; Spy and El Castillo excluded), so the test isolates the effect of the date-based cutoff.</w:t>
      </w:r>
    </w:p>
    <w:tbl>
      <w:tblPr>
        <w:tblStyle w:val="Table"/>
        <w:tblW w:type="pct" w:w="5000"/>
        <w:tblLook w:firstRow="0" w:lastRow="0" w:firstColumn="0" w:lastColumn="0" w:noHBand="0" w:noVBand="0" w:val="0000"/>
        <w:jc w:val="start"/>
        <w:tblLayout w:type="fixed"/>
      </w:tblPr>
      <w:tblGrid>
        <w:gridCol w:w="7920"/>
      </w:tblGrid>
      <w:tr>
        <w:tc>
          <w:tcPr/>
          <w:bookmarkStart w:id="66"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63</w:t>
                  </w:r>
                </w:p>
              </w:tc>
              <w:tc>
                <w:tcPr/>
                <w:p>
                  <w:pPr>
                    <w:pStyle w:val="Compact"/>
                    <w:jc w:val="right"/>
                    <w:jc w:val="center"/>
                  </w:pPr>
                  <w:r>
                    <w:t xml:space="preserve">6</w:t>
                  </w:r>
                </w:p>
              </w:tc>
            </w:tr>
          </w:tbl>
          <w:p>
            <w:pPr>
              <w:jc w:val="center"/>
            </w:pPr>
            <w:pPr>
              <w:jc w:val="start"/>
              <w:spacing w:before="200"/>
              <w:pStyle w:val="ImageCaption"/>
            </w:pPr>
            <w:r>
              <w:t xml:space="preserve">Table 12: Number of objects and sites within ±500 and ±1000 calibrated years of the single periodisation boundary at 37799 BP separating Aur-P1 from Aur-P2.</w:t>
            </w:r>
          </w:p>
          <w:bookmarkEnd w:id="6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67"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0.332</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17</w:t>
                  </w:r>
                </w:p>
              </w:tc>
              <w:tc>
                <w:tcPr/>
                <w:p>
                  <w:pPr>
                    <w:pStyle w:val="Compact"/>
                    <w:jc w:val="right"/>
                    <w:jc w:val="center"/>
                  </w:pPr>
                  <w:r>
                    <w:t xml:space="preserve">4.25</w:t>
                  </w:r>
                </w:p>
              </w:tc>
              <w:tc>
                <w:tcPr/>
                <w:p>
                  <w:pPr>
                    <w:pStyle w:val="Compact"/>
                    <w:jc w:val="right"/>
                    <w:jc w:val="center"/>
                  </w:pPr>
                  <w:r>
                    <w:t xml:space="preserve">0.125</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0.340</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12</w:t>
                  </w:r>
                </w:p>
              </w:tc>
              <w:tc>
                <w:tcPr/>
                <w:p>
                  <w:pPr>
                    <w:pStyle w:val="Compact"/>
                    <w:jc w:val="right"/>
                    <w:jc w:val="center"/>
                  </w:pPr>
                  <w:r>
                    <w:t xml:space="preserve">29</w:t>
                  </w:r>
                </w:p>
              </w:tc>
              <w:tc>
                <w:tcPr/>
                <w:p>
                  <w:pPr>
                    <w:pStyle w:val="Compact"/>
                    <w:jc w:val="right"/>
                    <w:jc w:val="center"/>
                  </w:pPr>
                  <w:r>
                    <w:t xml:space="preserve">4.83</w:t>
                  </w:r>
                </w:p>
              </w:tc>
              <w:tc>
                <w:tcPr/>
                <w:p>
                  <w:pPr>
                    <w:pStyle w:val="Compact"/>
                    <w:jc w:val="right"/>
                    <w:jc w:val="center"/>
                  </w:pPr>
                  <w:r>
                    <w:t xml:space="preserve">0.179</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0.327</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21</w:t>
                  </w:r>
                </w:p>
              </w:tc>
              <w:tc>
                <w:tcPr/>
                <w:p>
                  <w:pPr>
                    <w:pStyle w:val="Compact"/>
                    <w:jc w:val="right"/>
                    <w:jc w:val="center"/>
                  </w:pPr>
                  <w:r>
                    <w:t xml:space="preserve">4.67</w:t>
                  </w:r>
                </w:p>
              </w:tc>
              <w:tc>
                <w:tcPr/>
                <w:p>
                  <w:pPr>
                    <w:pStyle w:val="Compact"/>
                    <w:jc w:val="right"/>
                    <w:jc w:val="center"/>
                  </w:pPr>
                  <w:r>
                    <w:t xml:space="preserve">0.124</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0.330</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3.71</w:t>
                  </w:r>
                </w:p>
              </w:tc>
              <w:tc>
                <w:tcPr/>
                <w:p>
                  <w:pPr>
                    <w:pStyle w:val="Compact"/>
                    <w:jc w:val="right"/>
                    <w:jc w:val="center"/>
                  </w:pPr>
                  <w:r>
                    <w:t xml:space="preserve">0.119</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3.71</w:t>
                  </w:r>
                </w:p>
              </w:tc>
              <w:tc>
                <w:tcPr/>
                <w:p>
                  <w:pPr>
                    <w:pStyle w:val="Compact"/>
                    <w:jc w:val="right"/>
                    <w:jc w:val="center"/>
                  </w:pPr>
                  <w:r>
                    <w:t xml:space="preserve">0.119</w:t>
                  </w:r>
                </w:p>
              </w:tc>
            </w:tr>
          </w:tbl>
          <w:p>
            <w:pPr>
              <w:jc w:val="center"/>
            </w:pPr>
            <w:pPr>
              <w:jc w:val="start"/>
              <w:spacing w:before="200"/>
              <w:pStyle w:val="ImageCaption"/>
            </w:pPr>
            <w:r>
              <w:t xml:space="preserve">Table 13: Network statistics at the baseline threshold of 0.2 under shifts of the single Aur-P1/Aur-P2 boundary. Positive shifts move the boundary later (older objects reassigned to Aur-P2); negative shifts move it earlier (younger Aur-P2 objects reassigned to Aur-P1).</w:t>
            </w:r>
          </w:p>
          <w:bookmarkEnd w:id="67"/>
        </w:tc>
      </w:tr>
    </w:tbl>
    <w:bookmarkEnd w:id="68"/>
    <w:bookmarkStart w:id="69" w:name="diagnostic-interpretation"/>
    <w:p>
      <w:pPr>
        <w:pStyle w:val="Heading3"/>
      </w:pPr>
      <w:r>
        <w:t xml:space="preserve">Diagnostic interpretation</w:t>
      </w:r>
    </w:p>
    <w:p>
      <w:pPr>
        <w:pStyle w:val="FirstParagraph"/>
      </w:pPr>
      <w:r>
        <w:t xml:space="preserve">63 objects from 6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is held in Aur-P1 by the technology-based override, so it does not change phase under any shift. The boundary-sensitive sites are therefore few and, apart from Cellier (28 objects) and Blanchard (18 objects), small.</w:t>
      </w:r>
    </w:p>
    <w:bookmarkEnd w:id="69"/>
    <w:bookmarkStart w:id="70" w:name="independent-shift-interpretation"/>
    <w:p>
      <w:pPr>
        <w:pStyle w:val="Heading3"/>
      </w:pPr>
      <w:r>
        <w:t xml:space="preserve">Independent-shift interpretation</w:t>
      </w:r>
    </w:p>
    <w:p>
      <w:pPr>
        <w:pStyle w:val="FirstParagraph"/>
      </w:pPr>
      <w:r>
        <w:t xml:space="preserve">The independent-shift analysis shifts the single P1/P2 boundary while holding the technology-based overrides fixed. Across the four shifts tested, the Aur-P1 mean degree ranges from 6.62–7.81 and Aur-P2 from 3.71–4.83. The Aur-P1 &gt; Aur-P2 connectivity ordering is preserved in all 4 shifts: a downward shift adds Vindija Cave to Aur-P1, raising its mean degree to 7.81 (82 edges) while shrinking Aur-P2 to 7 sites (mean degree 3.71); an upward shift transfers sites the other way, with Aur-P1 at 16 sites after the ±1000 year shift yet still averaging 6.62, above Aur-P2’s 4.83. Modularity is stable: Aur-P1 ranges from 0.327 to 0.340 across shifts (baseline 0.332) and Aur-P2 from 0.119 to 0.179 (baseline 0.125), indicating that the community structure in both phases is not sensitive to boundary placement.</w:t>
      </w:r>
    </w:p>
    <w:bookmarkEnd w:id="70"/>
    <w:bookmarkStart w:id="71" w:name="conclusion"/>
    <w:p>
      <w:pPr>
        <w:pStyle w:val="Heading3"/>
      </w:pPr>
      <w:r>
        <w:t xml:space="preserve">Conclusion</w:t>
      </w:r>
    </w:p>
    <w:p>
      <w:pPr>
        <w:pStyle w:val="FirstParagraph"/>
      </w:pP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71"/>
    <w:bookmarkEnd w:id="72"/>
    <w:bookmarkStart w:id="77" w:name="sec-s5-6"/>
    <w:p>
      <w:pPr>
        <w:pStyle w:val="Heading2"/>
      </w:pPr>
      <w:r>
        <w:t xml:space="preserve">S5.6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76" w:name="fig-threshold-sweep"/>
          <w:p>
            <w:pPr>
              <w:pStyle w:val="Compact"/>
              <w:jc w:val="center"/>
            </w:pPr>
            <w:r>
              <w:drawing>
                <wp:inline>
                  <wp:extent cx="5943600" cy="2971800"/>
                  <wp:effectExtent b="0" l="0" r="0" t="0"/>
                  <wp:docPr descr="" title="" id="74" name="Picture"/>
                  <a:graphic>
                    <a:graphicData uri="http://schemas.openxmlformats.org/drawingml/2006/picture">
                      <pic:pic>
                        <pic:nvPicPr>
                          <pic:cNvPr descr="supplement-sensitivity_files/figure-docx/fig-threshold-sweep-1.png" id="75" name="Picture"/>
                          <pic:cNvPicPr>
                            <a:picLocks noChangeArrowheads="1" noChangeAspect="1"/>
                          </pic:cNvPicPr>
                        </pic:nvPicPr>
                        <pic:blipFill>
                          <a:blip r:embed="rId73"/>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Mean degree (left) and modularity (right) for each Aurignacian phase across a continuous range of Jaccard similarity thresholds. The vertical dashed line marks the baseline threshold of 0.2.</w:t>
            </w:r>
          </w:p>
          <w:bookmarkEnd w:id="76"/>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2.25–6.00 across thresholds of 0.05–0.50, and the ordering is preserved throughout. At very low thresholds both networks are densely connected and the relative contrast compresses; at high thresholds both fragment as edges drop out, but Aur-P2 retains a mean degree of at least 2.25 even at the coarsest threshold (0.50), so the contrast never collapses.</w:t>
      </w:r>
    </w:p>
    <w:p>
      <w:pPr>
        <w:pStyle w:val="BodyText"/>
      </w:pPr>
      <w:r>
        <w:rPr>
          <w:bCs/>
          <w:b/>
        </w:rPr>
        <w:t xml:space="preserve">Implications for the main text.</w:t>
      </w:r>
      <w:r>
        <w:t xml:space="preserve"> </w:t>
      </w:r>
      <w:r>
        <w:t xml:space="preserve">The continuous sweep confirms that the main-text threshold of 0.2 is not a cherry-picked value that produces a desired result. The Aur-P1 &gt; Aur-P2 mean-degree ordering is preserved across the entire informative threshold range (0.05–0.50). In contrast to a three-phase periodisation, in which the intermediate phase could be compressed into statistical collapse at high thresholds, the two-phase comparison is stable: Aur-P2, though small, never fragments below a mean degree of 2.25. The modularity sweep shows a parallel pattern: Aur-P1’s modularity ranges from 0.205–0.434 across thresholds and consistently exceeds Aur-P2’s (0.089–0.125) at every threshold, reinforcing the conclusion that the larger, earlier phase has a stronger community structure. The baseline threshold of 0.2 sits in the middle of this stable plateau, where both phases retain sufficient edges for meaningful comparison.</w:t>
      </w:r>
    </w:p>
    <w:bookmarkEnd w:id="77"/>
    <w:bookmarkStart w:id="79" w:name="sec-s5-7"/>
    <w:p>
      <w:pPr>
        <w:pStyle w:val="Heading2"/>
      </w:pPr>
      <w:r>
        <w:t xml:space="preserve">S5.7 Bootstrap Confidence Intervals</w:t>
      </w:r>
    </w:p>
    <w:p>
      <w:pPr>
        <w:pStyle w:val="FirstParagraph"/>
      </w:pPr>
      <w:r>
        <w:t xml:space="preserve">Point estimates of network statistics are sensitive to individual sites. This section uses within-phase bootstrap resampling (resampling sites with replacement) to construct 95% percentile confidence intervals for mean degree and modularity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78" w:name="tbl-bootstrap-ci"/>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Phase</w:t>
                  </w:r>
                </w:p>
              </w:tc>
              <w:tc>
                <w:tcPr/>
                <w:p>
                  <w:pPr>
                    <w:pStyle w:val="Compact"/>
                    <w:jc w:val="center"/>
                    <w:jc w:val="center"/>
                  </w:pPr>
                  <w:r>
                    <w:t xml:space="preserve">Mean°</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Q</w:t>
                  </w:r>
                </w:p>
              </w:tc>
              <w:tc>
                <w:tcPr/>
                <w:p>
                  <w:pPr>
                    <w:pStyle w:val="Compact"/>
                    <w:jc w:val="center"/>
                    <w:jc w:val="center"/>
                  </w:pPr>
                  <w:r>
                    <w:t xml:space="preserve">2.5%</w:t>
                  </w:r>
                </w:p>
              </w:tc>
              <w:tc>
                <w:tcPr/>
                <w:p>
                  <w:pPr>
                    <w:pStyle w:val="Compact"/>
                    <w:jc w:val="center"/>
                    <w:jc w:val="center"/>
                  </w:pPr>
                  <w:r>
                    <w:t xml:space="preserve">97.5%</w:t>
                  </w:r>
                </w:p>
              </w:tc>
            </w:tr>
            <w:tr>
              <w:tc>
                <w:tcPr/>
                <w:p>
                  <w:pPr>
                    <w:pStyle w:val="Compact"/>
                    <w:jc w:val="left"/>
                    <w:jc w:val="center"/>
                  </w:pPr>
                  <w:r>
                    <w:t xml:space="preserve">Aur-P1</w:t>
                  </w:r>
                </w:p>
              </w:tc>
              <w:tc>
                <w:tcPr/>
                <w:p>
                  <w:pPr>
                    <w:pStyle w:val="Compact"/>
                    <w:jc w:val="center"/>
                    <w:jc w:val="center"/>
                  </w:pPr>
                  <w:r>
                    <w:t xml:space="preserve">8.10</w:t>
                  </w:r>
                </w:p>
              </w:tc>
              <w:tc>
                <w:tcPr/>
                <w:p>
                  <w:pPr>
                    <w:pStyle w:val="Compact"/>
                    <w:jc w:val="center"/>
                    <w:jc w:val="center"/>
                  </w:pPr>
                  <w:r>
                    <w:t xml:space="preserve">5.30</w:t>
                  </w:r>
                </w:p>
              </w:tc>
              <w:tc>
                <w:tcPr/>
                <w:p>
                  <w:pPr>
                    <w:pStyle w:val="Compact"/>
                    <w:jc w:val="center"/>
                    <w:jc w:val="center"/>
                  </w:pPr>
                  <w:r>
                    <w:t xml:space="preserve">11.4</w:t>
                  </w:r>
                </w:p>
              </w:tc>
              <w:tc>
                <w:tcPr/>
                <w:p>
                  <w:pPr>
                    <w:pStyle w:val="Compact"/>
                    <w:jc w:val="center"/>
                    <w:jc w:val="center"/>
                  </w:pPr>
                  <w:r>
                    <w:t xml:space="preserve">0.363</w:t>
                  </w:r>
                </w:p>
              </w:tc>
              <w:tc>
                <w:tcPr/>
                <w:p>
                  <w:pPr>
                    <w:pStyle w:val="Compact"/>
                    <w:jc w:val="center"/>
                    <w:jc w:val="center"/>
                  </w:pPr>
                  <w:r>
                    <w:t xml:space="preserve">0.199</w:t>
                  </w:r>
                </w:p>
              </w:tc>
              <w:tc>
                <w:tcPr/>
                <w:p>
                  <w:pPr>
                    <w:pStyle w:val="Compact"/>
                    <w:jc w:val="center"/>
                    <w:jc w:val="center"/>
                  </w:pPr>
                  <w:r>
                    <w:t xml:space="preserve">0.539</w:t>
                  </w:r>
                </w:p>
              </w:tc>
            </w:tr>
            <w:tr>
              <w:tc>
                <w:tcPr/>
                <w:p>
                  <w:pPr>
                    <w:pStyle w:val="Compact"/>
                    <w:jc w:val="left"/>
                    <w:jc w:val="center"/>
                  </w:pPr>
                  <w:r>
                    <w:t xml:space="preserve">Aur-P2</w:t>
                  </w:r>
                </w:p>
              </w:tc>
              <w:tc>
                <w:tcPr/>
                <w:p>
                  <w:pPr>
                    <w:pStyle w:val="Compact"/>
                    <w:jc w:val="center"/>
                    <w:jc w:val="center"/>
                  </w:pPr>
                  <w:r>
                    <w:t xml:space="preserve">4.62</w:t>
                  </w:r>
                </w:p>
              </w:tc>
              <w:tc>
                <w:tcPr/>
                <w:p>
                  <w:pPr>
                    <w:pStyle w:val="Compact"/>
                    <w:jc w:val="center"/>
                    <w:jc w:val="center"/>
                  </w:pPr>
                  <w:r>
                    <w:t xml:space="preserve">2.25</w:t>
                  </w:r>
                </w:p>
              </w:tc>
              <w:tc>
                <w:tcPr/>
                <w:p>
                  <w:pPr>
                    <w:pStyle w:val="Compact"/>
                    <w:jc w:val="center"/>
                    <w:jc w:val="center"/>
                  </w:pPr>
                  <w:r>
                    <w:t xml:space="preserve">6.5</w:t>
                  </w:r>
                </w:p>
              </w:tc>
              <w:tc>
                <w:tcPr/>
                <w:p>
                  <w:pPr>
                    <w:pStyle w:val="Compact"/>
                    <w:jc w:val="center"/>
                    <w:jc w:val="center"/>
                  </w:pPr>
                  <w:r>
                    <w:t xml:space="preserve">0.192</w:t>
                  </w:r>
                </w:p>
              </w:tc>
              <w:tc>
                <w:tcPr/>
                <w:p>
                  <w:pPr>
                    <w:pStyle w:val="Compact"/>
                    <w:jc w:val="center"/>
                    <w:jc w:val="center"/>
                  </w:pPr>
                  <w:r>
                    <w:t xml:space="preserve">0.013</w:t>
                  </w:r>
                </w:p>
              </w:tc>
              <w:tc>
                <w:tcPr/>
                <w:p>
                  <w:pPr>
                    <w:pStyle w:val="Compact"/>
                    <w:jc w:val="center"/>
                    <w:jc w:val="center"/>
                  </w:pPr>
                  <w:r>
                    <w:t xml:space="preserve">0.496</w:t>
                  </w:r>
                </w:p>
              </w:tc>
            </w:tr>
          </w:tbl>
          <w:p>
            <w:pPr>
              <w:jc w:val="center"/>
            </w:pPr>
            <w:pPr>
              <w:jc w:val="start"/>
              <w:spacing w:before="200"/>
              <w:pStyle w:val="ImageCaption"/>
            </w:pPr>
            <w:r>
              <w:t xml:space="preserve">Table 14: Bootstrap 95% confidence intervals for mean degree and modularity at threshold = 0.2, based on 999 within-phase resamples.</w:t>
            </w:r>
          </w:p>
          <w:bookmarkEnd w:id="78"/>
        </w:tc>
      </w:tr>
    </w:tbl>
    <w:p>
      <w:pPr>
        <w:pStyle w:val="BodyText"/>
      </w:pPr>
      <w:r>
        <w:t xml:space="preserve">The confidence intervals quantify sampling uncertainty: narrow intervals indicate that the point estimate is stable across resamples, while wide intervals signal that individual sites exert disproportionate influence on the statistic. Non-overlapping intervals between phases indicate that the observed differences are unlikely to be artefacts of site sampling.</w:t>
      </w:r>
    </w:p>
    <w:p>
      <w:pPr>
        <w:pStyle w:val="BodyText"/>
      </w:pPr>
      <w:r>
        <w:rPr>
          <w:bCs/>
          <w:b/>
        </w:rPr>
        <w:t xml:space="preserve">Implications for the main text.</w:t>
      </w:r>
      <w:r>
        <w:t xml:space="preserve"> </w:t>
      </w:r>
      <w:r>
        <w:t xml:space="preserve">The bootstrap CIs reveal which main-text comparisons are robust and which are uncertain. For mean degree, the Aur-P1 CI [5.30, 11.40] and the Aur-P2 CI [2.25, 6.50] overlap. Because the intervals overlap, the bootstrap does not formally separate the two phases by the strict non-overlap criterion; the Aur-P1–Aur-P2 contrast is supported at the point-estimate level (Aur-P1 8.10 vs Aur-P2 4.62) but is not statistically decisive. For modularity, the two CIs overlap substantially (Aur-P1 [0.199, 0.539], Aur-P2 [0.013, 0.496]), meaning the phase-by-phase difference in modularity is not statistically distinguishable given the current sample sizes. This reinforces the S5.3 finding that modularity should be treated cautiously: the point estimate is higher for Aur-P1 (0.363 vs 0.192), but the wide intervals — driven by Aur-P2’s small sample (8 sites) — overlap. The mean-degree contrast, by contrast, is robust in direction: the point estimates are clearly separated (8.1 vs 4.6), yet the sampling uncertainty reflected in the bootstrap intervals means the two phases are not formally distinguished by the strict non-overlap criterion.</w:t>
      </w:r>
    </w:p>
    <w:bookmarkEnd w:id="79"/>
    <w:bookmarkStart w:id="81" w:name="sec-s5-8"/>
    <w:p>
      <w:pPr>
        <w:pStyle w:val="Heading2"/>
      </w:pPr>
      <w:r>
        <w:t xml:space="preserve">S5.8 Multiple‑Testing Correction for Mantel Results</w:t>
      </w:r>
    </w:p>
    <w:p>
      <w:pPr>
        <w:pStyle w:val="FirstParagraph"/>
      </w:pPr>
      <w:r>
        <w:t xml:space="preserve">The Mantel tests reported in</w:t>
      </w:r>
      <w:r>
        <w:t xml:space="preserve"> </w:t>
      </w:r>
      <w:hyperlink w:anchor="tbl-geodesic-mantel">
        <w:r>
          <w:rPr>
            <w:rStyle w:val="Hyperlink"/>
          </w:rPr>
          <w:t xml:space="preserve">Table 3</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tbl>
      <w:tblPr>
        <w:tblStyle w:val="Table"/>
        <w:tblW w:type="pct" w:w="5000"/>
        <w:tblLook w:firstRow="0" w:lastRow="0" w:firstColumn="0" w:lastColumn="0" w:noHBand="0" w:noVBand="0" w:val="0000"/>
        <w:jc w:val="start"/>
        <w:tblLayout w:type="fixed"/>
      </w:tblPr>
      <w:tblGrid>
        <w:gridCol w:w="7920"/>
      </w:tblGrid>
      <w:tr>
        <w:tc>
          <w:tcPr/>
          <w:bookmarkStart w:id="80"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0.025</w:t>
                  </w:r>
                </w:p>
              </w:tc>
              <w:tc>
                <w:tcPr/>
                <w:p>
                  <w:pPr>
                    <w:pStyle w:val="Compact"/>
                    <w:jc w:val="center"/>
                    <w:jc w:val="center"/>
                  </w:pPr>
                  <w:r>
                    <w:t xml:space="preserve">0.370</w:t>
                  </w:r>
                </w:p>
              </w:tc>
              <w:tc>
                <w:tcPr/>
                <w:p>
                  <w:pPr>
                    <w:pStyle w:val="Compact"/>
                    <w:jc w:val="center"/>
                    <w:jc w:val="center"/>
                  </w:pPr>
                  <w:r>
                    <w:t xml:space="preserve">0.74</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-0.297</w:t>
                  </w:r>
                </w:p>
              </w:tc>
              <w:tc>
                <w:tcPr/>
                <w:p>
                  <w:pPr>
                    <w:pStyle w:val="Compact"/>
                    <w:jc w:val="center"/>
                    <w:jc w:val="center"/>
                  </w:pPr>
                  <w:r>
                    <w:t xml:space="preserve">0.934</w:t>
                  </w:r>
                </w:p>
              </w:tc>
              <w:tc>
                <w:tcPr/>
                <w:p>
                  <w:pPr>
                    <w:pStyle w:val="Compact"/>
                    <w:jc w:val="center"/>
                    <w:jc w:val="center"/>
                  </w:pPr>
                  <w:r>
                    <w:t xml:space="preserve">0.94</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0.045</w:t>
                  </w:r>
                </w:p>
              </w:tc>
              <w:tc>
                <w:tcPr/>
                <w:p>
                  <w:pPr>
                    <w:pStyle w:val="Compact"/>
                    <w:jc w:val="center"/>
                    <w:jc w:val="center"/>
                  </w:pPr>
                  <w:r>
                    <w:t xml:space="preserve">0.306</w:t>
                  </w:r>
                </w:p>
              </w:tc>
              <w:tc>
                <w:tcPr/>
                <w:p>
                  <w:pPr>
                    <w:pStyle w:val="Compact"/>
                    <w:jc w:val="center"/>
                    <w:jc w:val="center"/>
                  </w:pPr>
                  <w:r>
                    <w:t xml:space="preserve">0.74</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-0.303</w:t>
                  </w:r>
                </w:p>
              </w:tc>
              <w:tc>
                <w:tcPr/>
                <w:p>
                  <w:pPr>
                    <w:pStyle w:val="Compact"/>
                    <w:jc w:val="center"/>
                    <w:jc w:val="center"/>
                  </w:pPr>
                  <w:r>
                    <w:t xml:space="preserve">0.940</w:t>
                  </w:r>
                </w:p>
              </w:tc>
              <w:tc>
                <w:tcPr/>
                <w:p>
                  <w:pPr>
                    <w:pStyle w:val="Compact"/>
                    <w:jc w:val="center"/>
                    <w:jc w:val="center"/>
                  </w:pPr>
                  <w:r>
                    <w:t xml:space="preserve">0.94</w:t>
                  </w:r>
                </w:p>
              </w:tc>
              <w:tc>
                <w:tcPr/>
                <w:p>
                  <w:pPr>
                    <w:pStyle w:val="Compact"/>
                    <w:jc w:val="center"/>
                    <w:jc w:val="center"/>
                  </w:pPr>
                  <w:r>
                    <w:t xml:space="preserve">No</w:t>
                  </w:r>
                </w:p>
              </w:tc>
            </w:tr>
          </w:tbl>
          <w:p>
            <w:pPr>
              <w:jc w:val="center"/>
            </w:pPr>
            <w:pPr>
              <w:jc w:val="start"/>
              <w:spacing w:before="200"/>
              <w:pStyle w:val="ImageCaption"/>
            </w:pPr>
            <w:r>
              <w:t xml:space="preserve">Table 15: Mantel test p-values before and after Benjamini–Hochberg correction for multiple testing across 2 phases × 2 distance measures (4 tests total). Results with adjusted p &lt; 0.05 are highlighted.</w:t>
            </w:r>
          </w:p>
          <w:bookmarkEnd w:id="80"/>
        </w:tc>
      </w:tr>
    </w:tbl>
    <w:p>
      <w:pPr>
        <w:pStyle w:val="BodyText"/>
      </w:pPr>
      <w:r>
        <w:t xml:space="preserve">Of the 4 tests, none approaches nominal significance: the smallest raw</w:t>
      </w:r>
      <w:r>
        <w:t xml:space="preserve"> </w:t>
      </w:r>
      <m:oMath>
        <m:r>
          <m:t>p</m:t>
        </m:r>
      </m:oMath>
      <w:r>
        <w:t xml:space="preserve">-value is Geodesic – Aur-P1 (</w:t>
      </w:r>
      <m:oMath>
        <m:r>
          <m:t>R</m:t>
        </m:r>
        <m:r>
          <m:rPr>
            <m:sty m:val="p"/>
          </m:rPr>
          <m:t>=</m:t>
        </m:r>
        <m:r>
          <m:t>0.045</m:t>
        </m:r>
      </m:oMath>
      <w:r>
        <w:t xml:space="preserve">, raw</w:t>
      </w:r>
      <w:r>
        <w:t xml:space="preserve"> </w:t>
      </w:r>
      <m:oMath>
        <m:r>
          <m:t>p</m:t>
        </m:r>
        <m:r>
          <m:rPr>
            <m:sty m:val="p"/>
          </m:rPr>
          <m:t>=</m:t>
        </m:r>
        <m:r>
          <m:t>0.306</m:t>
        </m:r>
      </m:oMath>
      <w:r>
        <w:t xml:space="preserve">), well above the 0.05 threshold. After Benjamini–Hochberg correction this adjusts to</w:t>
      </w:r>
      <w:r>
        <w:t xml:space="preserve"> </w:t>
      </w:r>
      <m:oMath>
        <m:r>
          <m:t>p</m:t>
        </m:r>
        <m:r>
          <m:rPr>
            <m:sty m:val="p"/>
          </m:rPr>
          <m:t>=</m:t>
        </m:r>
        <m:r>
          <m:t>0.740</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bookmarkEnd w:id="81"/>
    <w:bookmarkStart w:id="83" w:name="sec-s5-9"/>
    <w:p>
      <w:pPr>
        <w:pStyle w:val="Heading2"/>
      </w:pPr>
      <w:r>
        <w:t xml:space="preserve">S5.9 Network-Size Normalised Comparison</w:t>
      </w:r>
    </w:p>
    <w:p>
      <w:pPr>
        <w:pStyle w:val="FirstParagraph"/>
      </w:pPr>
      <w:r>
        <w:t xml:space="preserve">Modularity and mean degree are not invariant to the number of nodes: larger networks tend to have higher modularity even under random assignment. Aur-P1 (20 sites) has 150% more nodes than Aur-P2 (8 sites). This section normalises each metric by its expected value under a size-matched Erdos-Renyi random graph, producing an effect-size ratio that is comparable across phases.</w:t>
      </w:r>
    </w:p>
    <w:tbl>
      <w:tblPr>
        <w:tblStyle w:val="Table"/>
        <w:tblW w:type="pct" w:w="5000"/>
        <w:tblLook w:firstRow="0" w:lastRow="0" w:firstColumn="0" w:lastColumn="0" w:noHBand="0" w:noVBand="0" w:val="0000"/>
        <w:jc w:val="start"/>
        <w:tblLayout w:type="fixed"/>
      </w:tblPr>
      <w:tblGrid>
        <w:gridCol w:w="7920"/>
      </w:tblGrid>
      <w:tr>
        <w:tc>
          <w:tcPr/>
          <w:bookmarkStart w:id="82"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7.54</w:t>
                  </w:r>
                </w:p>
              </w:tc>
              <w:tc>
                <w:tcPr/>
                <w:p>
                  <w:pPr>
                    <w:pStyle w:val="Compact"/>
                    <w:jc w:val="center"/>
                    <w:jc w:val="center"/>
                  </w:pPr>
                  <w:r>
                    <w:t xml:space="preserve">1</w:t>
                  </w:r>
                </w:p>
              </w:tc>
              <w:tc>
                <w:tcPr/>
                <w:p>
                  <w:pPr>
                    <w:pStyle w:val="Compact"/>
                    <w:jc w:val="center"/>
                    <w:jc w:val="center"/>
                  </w:pPr>
                  <w:r>
                    <w:t xml:space="preserve">0.33</w:t>
                  </w:r>
                </w:p>
              </w:tc>
              <w:tc>
                <w:tcPr/>
                <w:p>
                  <w:pPr>
                    <w:pStyle w:val="Compact"/>
                    <w:jc w:val="center"/>
                    <w:jc w:val="center"/>
                  </w:pPr>
                  <w:r>
                    <w:t xml:space="preserve">0.17</w:t>
                  </w:r>
                </w:p>
              </w:tc>
              <w:tc>
                <w:tcPr/>
                <w:p>
                  <w:pPr>
                    <w:pStyle w:val="Compact"/>
                    <w:jc w:val="center"/>
                    <w:jc w:val="center"/>
                  </w:pPr>
                  <w:r>
                    <w:t xml:space="preserve">1.92</w:t>
                  </w:r>
                </w:p>
              </w:tc>
            </w:tr>
            <w:tr>
              <w:tc>
                <w:tcPr/>
                <w:p>
                  <w:pPr>
                    <w:pStyle w:val="Compact"/>
                    <w:jc w:val="left"/>
                    <w:jc w:val="center"/>
                  </w:pPr>
                  <w:r>
                    <w:t xml:space="preserve">Aur-P2</w:t>
                  </w:r>
                </w:p>
              </w:tc>
              <w:tc>
                <w:tcPr/>
                <w:p>
                  <w:pPr>
                    <w:pStyle w:val="Compact"/>
                    <w:jc w:val="center"/>
                    <w:jc w:val="center"/>
                  </w:pPr>
                  <w:r>
                    <w:t xml:space="preserve">8</w:t>
                  </w:r>
                </w:p>
              </w:tc>
              <w:tc>
                <w:tcPr/>
                <w:p>
                  <w:pPr>
                    <w:pStyle w:val="Compact"/>
                    <w:jc w:val="center"/>
                    <w:jc w:val="center"/>
                  </w:pPr>
                  <w:r>
                    <w:t xml:space="preserve">4.25</w:t>
                  </w:r>
                </w:p>
              </w:tc>
              <w:tc>
                <w:tcPr/>
                <w:p>
                  <w:pPr>
                    <w:pStyle w:val="Compact"/>
                    <w:jc w:val="center"/>
                    <w:jc w:val="center"/>
                  </w:pPr>
                  <w:r>
                    <w:t xml:space="preserve">4.23</w:t>
                  </w:r>
                </w:p>
              </w:tc>
              <w:tc>
                <w:tcPr/>
                <w:p>
                  <w:pPr>
                    <w:pStyle w:val="Compact"/>
                    <w:jc w:val="center"/>
                    <w:jc w:val="center"/>
                  </w:pPr>
                  <w:r>
                    <w:t xml:space="preserve">1</w:t>
                  </w:r>
                </w:p>
              </w:tc>
              <w:tc>
                <w:tcPr/>
                <w:p>
                  <w:pPr>
                    <w:pStyle w:val="Compact"/>
                    <w:jc w:val="center"/>
                    <w:jc w:val="center"/>
                  </w:pPr>
                  <w:r>
                    <w:t xml:space="preserve">0.12</w:t>
                  </w:r>
                </w:p>
              </w:tc>
              <w:tc>
                <w:tcPr/>
                <w:p>
                  <w:pPr>
                    <w:pStyle w:val="Compact"/>
                    <w:jc w:val="center"/>
                    <w:jc w:val="center"/>
                  </w:pPr>
                  <w:r>
                    <w:t xml:space="preserve">0.10</w:t>
                  </w:r>
                </w:p>
              </w:tc>
              <w:tc>
                <w:tcPr/>
                <w:p>
                  <w:pPr>
                    <w:pStyle w:val="Compact"/>
                    <w:jc w:val="center"/>
                    <w:jc w:val="center"/>
                  </w:pPr>
                  <w:r>
                    <w:t xml:space="preserve">1.26</w:t>
                  </w:r>
                </w:p>
              </w:tc>
            </w:tr>
          </w:tbl>
          <w:p>
            <w:pPr>
              <w:jc w:val="center"/>
            </w:pPr>
            <w:pPr>
              <w:jc w:val="start"/>
              <w:spacing w:before="200"/>
              <w:pStyle w:val="ImageCaption"/>
            </w:pPr>
            <w:r>
              <w:t xml:space="preserve">Table 16: Network metrics normalised by size-matched Erdos-Renyi expectation. Ratio &gt; 1 indicates the observed value exceeds the random expectation for a network of the same size. ER mean and SD are based on 100 random graphs per phase.</w:t>
            </w:r>
          </w:p>
          <w:bookmarkEnd w:id="82"/>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p>
      <w:pPr>
        <w:pStyle w:val="BodyText"/>
      </w:pPr>
      <w:r>
        <w:rPr>
          <w:bCs/>
          <w:b/>
        </w:rPr>
        <w:t xml:space="preserve">Implications for the main text.</w:t>
      </w:r>
      <w:r>
        <w:t xml:space="preserve"> </w:t>
      </w:r>
      <w:r>
        <w:t xml:space="preserve">The size-normalised results address a potential confound: Aur-P1 (20 sites) has 150% more sites than Aur-P2 (8 sites), and larger networks mechanically produce higher mean degree and modularity even under random wiring. The Erdos-Renyi normalisation shows that this confound does not drive the main-text results. Mean degree ratios are reported for both phases (Aur-P1 1.00, Aur-P2 1.00), confirming whether the observed mean degrees are consistent with random expectation for networks of these sizes — noting that Erdos-Renyi preserves edge density, so a ratio near 1 does not mean the networks lack structure. The modularity ratios tell the real story: Aur-P1 (1.92) and Aur-P2 (1.26) are compared against the random expectation for a network of the same size, so any main-text claim that one phase is more internally structured than the other is evaluated net of the 20-versus-8 site asymmetry rather than as an artefact of it.</w:t>
      </w:r>
    </w:p>
    <w:bookmarkEnd w:id="83"/>
    <w:bookmarkEnd w:id="84"/>
    <w:bookmarkStart w:id="141" w:name="sec-s6"/>
    <w:p>
      <w:pPr>
        <w:pStyle w:val="Heading1"/>
      </w:pPr>
      <w:r>
        <w:t xml:space="preserve">S6. Robustness of the Two-Group Structure: Bootstrap Consensus and Stochastic Block Models</w:t>
      </w:r>
    </w:p>
    <w:bookmarkStart w:id="85" w:name="sec-s6-1"/>
    <w:p>
      <w:pPr>
        <w:pStyle w:val="Heading2"/>
      </w:pPr>
      <w:r>
        <w:t xml:space="preserve">S6.1 Rationale</w:t>
      </w:r>
    </w:p>
    <w:p>
      <w:pPr>
        <w:pStyle w:val="FirstParagraph"/>
      </w:pPr>
      <w:r>
        <w:t xml:space="preserve">The main-text claim that each phase resolves into two cultural groups — restricted-range versus broader-range sign repertoires — rests on a single Brower-Kile seriation run followed by manual block assignment (see S5). Two limitations remain unaddressed by S1–S5.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 S6.2 we use bootstrap resampling of sites within each phase to build a</w:t>
      </w:r>
      <w:r>
        <w:t xml:space="preserve"> </w:t>
      </w:r>
      <w:r>
        <w:rPr>
          <w:bCs/>
          <w:b/>
        </w:rPr>
        <w:t xml:space="preserve">consensus co-clustering matrix</w:t>
      </w:r>
      <w:r>
        <w:t xml:space="preserve"> </w:t>
      </w:r>
      <w:r>
        <w:t xml:space="preserve">(Monti et al. 2003), quantifying the stability of the two-group partition as a whole and of each site’s assignment. In S6.3 we fit</w:t>
      </w:r>
      <w:r>
        <w:t xml:space="preserve"> </w:t>
      </w:r>
      <w:r>
        <w:rPr>
          <w:bCs/>
          <w:b/>
        </w:rPr>
        <w:t xml:space="preserve">stochastic block models (SBM)</w:t>
      </w:r>
      <w:r>
        <w:t xml:space="preserve">, which treat block membership as a latent variable, select the number of blocks via the Integrated Classification Likelihood (ICL), and return posterior membership probabilities for every site. In S6.4 we cross-validate the bootstrap and SBM assignments against the main-text restricted/broad groups using the Adjusted Rand Index (ARI).</w:t>
      </w:r>
    </w:p>
    <w:bookmarkEnd w:id="85"/>
    <w:bookmarkStart w:id="94" w:name="sec-s6-2"/>
    <w:p>
      <w:pPr>
        <w:pStyle w:val="Heading2"/>
      </w:pPr>
      <w:r>
        <w:t xml:space="preserve">S6.2 Bootstrap Consensus Analysis</w:t>
      </w:r>
    </w:p>
    <w:bookmarkStart w:id="92" w:name="rationale-3"/>
    <w:p>
      <w:pPr>
        <w:pStyle w:val="Heading3"/>
      </w:pPr>
      <w:r>
        <w:t xml:space="preserve">Rationale</w:t>
      </w:r>
    </w:p>
    <w:p>
      <w:pPr>
        <w:pStyle w:val="FirstParagraph"/>
      </w:pPr>
      <w:r>
        <w:t xml:space="preserve">For each phase we resample the site-by-sign presence/absence matrix</w:t>
      </w:r>
      <w:r>
        <w:t xml:space="preserve"> </w:t>
      </w:r>
      <w:r>
        <w:rPr>
          <w:bCs/>
          <w:b/>
        </w:rPr>
        <w:t xml:space="preserve">with replacement</w:t>
      </w:r>
      <w:r>
        <w:t xml:space="preserve"> </w:t>
      </w:r>
      <w:r>
        <w:t xml:space="preserve">(n = 1000 replicates), recompute Jaccard dissimilarity, and partition the resampled sites into two clusters by Ward-linkage hierarchical clustering on the Jaccard distance. For every pair of original sites we record the proportion of replicates in which the two fall in the same cluster — the</w:t>
      </w:r>
      <w:r>
        <w:t xml:space="preserve"> </w:t>
      </w:r>
      <w:r>
        <w:rPr>
          <w:iCs/>
          <w:i/>
        </w:rPr>
        <w:t xml:space="preserve">consensus co-clustering probability</w:t>
      </w:r>
      <w:r>
        <w:t xml:space="preserve">. If the two-group structure identified in the main text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 Low within-block co-clustering identifies sites whose group assignment is not robust to sampling.</w:t>
      </w:r>
    </w:p>
    <w:tbl>
      <w:tblPr>
        <w:tblStyle w:val="Table"/>
        <w:tblW w:type="pct" w:w="5000"/>
        <w:tblLook w:firstRow="0" w:lastRow="0" w:firstColumn="0" w:lastColumn="0" w:noHBand="0" w:noVBand="0" w:val="0000"/>
        <w:jc w:val="start"/>
        <w:tblLayout w:type="fixed"/>
      </w:tblPr>
      <w:tblGrid>
        <w:gridCol w:w="7920"/>
      </w:tblGrid>
      <w:tr>
        <w:tc>
          <w:tcPr/>
          <w:bookmarkStart w:id="86"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0.79</w:t>
                  </w:r>
                </w:p>
              </w:tc>
              <w:tc>
                <w:tcPr/>
                <w:p>
                  <w:pPr>
                    <w:pStyle w:val="Compact"/>
                    <w:jc w:val="center"/>
                    <w:jc w:val="center"/>
                  </w:pPr>
                  <w:r>
                    <w:t xml:space="preserve">0.89</w:t>
                  </w:r>
                </w:p>
              </w:tc>
              <w:tc>
                <w:tcPr/>
                <w:p>
                  <w:pPr>
                    <w:pStyle w:val="Compact"/>
                    <w:jc w:val="center"/>
                    <w:jc w:val="center"/>
                  </w:pPr>
                  <w:r>
                    <w:t xml:space="preserve">0.85</w:t>
                  </w:r>
                </w:p>
              </w:tc>
              <w:tc>
                <w:tcPr/>
                <w:p>
                  <w:pPr>
                    <w:pStyle w:val="Compact"/>
                    <w:jc w:val="center"/>
                    <w:jc w:val="center"/>
                  </w:pPr>
                  <w:r>
                    <w:t xml:space="preserve">0.27</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2</w:t>
                  </w:r>
                </w:p>
              </w:tc>
              <w:tc>
                <w:tcPr/>
                <w:p>
                  <w:pPr>
                    <w:pStyle w:val="Compact"/>
                    <w:jc w:val="center"/>
                    <w:jc w:val="center"/>
                  </w:pPr>
                  <w:r>
                    <w:t xml:space="preserve">0.51</w:t>
                  </w:r>
                </w:p>
              </w:tc>
              <w:tc>
                <w:tcPr/>
                <w:p>
                  <w:pPr>
                    <w:pStyle w:val="Compact"/>
                    <w:jc w:val="center"/>
                    <w:jc w:val="center"/>
                  </w:pPr>
                  <w:r>
                    <w:t xml:space="preserve">0.81</w:t>
                  </w:r>
                </w:p>
              </w:tc>
              <w:tc>
                <w:tcPr/>
                <w:p>
                  <w:pPr>
                    <w:pStyle w:val="Compact"/>
                    <w:jc w:val="center"/>
                    <w:jc w:val="center"/>
                  </w:pPr>
                  <w:r>
                    <w:t xml:space="preserve">0.53</w:t>
                  </w:r>
                </w:p>
              </w:tc>
              <w:tc>
                <w:tcPr/>
                <w:p>
                  <w:pPr>
                    <w:pStyle w:val="Compact"/>
                    <w:jc w:val="center"/>
                    <w:jc w:val="center"/>
                  </w:pPr>
                  <w:r>
                    <w:t xml:space="preserve">0.45</w:t>
                  </w:r>
                </w:p>
              </w:tc>
            </w:tr>
          </w:tbl>
          <w:p>
            <w:pPr>
              <w:jc w:val="center"/>
            </w:pPr>
            <w:pPr>
              <w:jc w:val="start"/>
              <w:spacing w:before="200"/>
              <w:pStyle w:val="ImageCaption"/>
            </w:pPr>
            <w:r>
              <w:t xml:space="preserve">Table 17: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8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7"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0.85</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0.85</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0.78</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0.71</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0.92</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0.71</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0.87</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0.51</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0.98</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0.94</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0.56</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0.72</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0.99</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0.72</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0.76</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0.92</w:t>
                  </w:r>
                </w:p>
              </w:tc>
            </w:tr>
          </w:tbl>
          <w:p>
            <w:pPr>
              <w:jc w:val="center"/>
            </w:pPr>
            <w:pPr>
              <w:jc w:val="start"/>
              <w:spacing w:before="200"/>
              <w:pStyle w:val="ImageCaption"/>
            </w:pPr>
            <w:r>
              <w:t xml:space="preserve">Table 18: Per-site bootstrap consistency: proportion of 1000 resamples in which each site is assigned to its modal (most frequent) block. Consistency near 1 indicates robust assignment; values near 0.5 indicate sites whose group membership flips across resamples.</w:t>
            </w:r>
          </w:p>
          <w:bookmarkEnd w:id="87"/>
        </w:tc>
      </w:tr>
    </w:tbl>
    <w:tbl>
      <w:tblPr>
        <w:tblStyle w:val="Table"/>
        <w:tblW w:type="pct" w:w="5000"/>
        <w:tblLook w:firstRow="0" w:lastRow="0" w:firstColumn="0" w:lastColumn="0" w:noHBand="0" w:noVBand="0" w:val="0000"/>
        <w:jc w:val="start"/>
        <w:tblLayout w:type="fixed"/>
      </w:tblPr>
      <w:tblGrid>
        <w:gridCol w:w="7920"/>
      </w:tblGrid>
      <w:tr>
        <w:tc>
          <w:tcPr/>
          <w:bookmarkStart w:id="91" w:name="fig-bootstrap-consensus"/>
          <w:p>
            <w:pPr>
              <w:pStyle w:val="Compact"/>
              <w:jc w:val="center"/>
            </w:pPr>
            <w:r>
              <w:drawing>
                <wp:inline>
                  <wp:extent cx="5943600" cy="6604000"/>
                  <wp:effectExtent b="0" l="0" r="0" t="0"/>
                  <wp:docPr descr="" title="" id="89" name="Picture"/>
                  <a:graphic>
                    <a:graphicData uri="http://schemas.openxmlformats.org/drawingml/2006/picture">
                      <pic:pic>
                        <pic:nvPicPr>
                          <pic:cNvPr descr="../figures/bootstrap-consensus-plot.png" id="90" name="Picture"/>
                          <pic:cNvPicPr>
                            <a:picLocks noChangeArrowheads="1" noChangeAspect="1"/>
                          </pic:cNvPicPr>
                        </pic:nvPicPr>
                        <pic:blipFill>
                          <a:blip r:embed="rId88"/>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91"/>
        </w:tc>
      </w:tr>
    </w:tbl>
    <w:bookmarkEnd w:id="92"/>
    <w:bookmarkStart w:id="93" w:name="interpretation"/>
    <w:p>
      <w:pPr>
        <w:pStyle w:val="Heading3"/>
      </w:pPr>
      <w:r>
        <w:t xml:space="preserve">Interpretation</w:t>
      </w:r>
    </w:p>
    <w:p>
      <w:pPr>
        <w:pStyle w:val="FirstParagraph"/>
      </w:pP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0.79 for the restricted-range block and 0.89 for the broader-range block, against 0.27 across the two blocks — a strong signal that both groups are internally coherent and sharply separated. In</w:t>
      </w:r>
      <w:r>
        <w:t xml:space="preserve"> </w:t>
      </w:r>
      <w:r>
        <w:rPr>
          <w:bCs/>
          <w:b/>
        </w:rPr>
        <w:t xml:space="preserve">Aur-P2</w:t>
      </w:r>
      <w:r>
        <w:t xml:space="preserve">, the pattern is 0.51 within the restricted block and 0.81 within the broader block, against 0.45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18</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18</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4</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Implications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main text should therefore present the two groups as a robust but not invariant partition, with per-site confidence available in</w:t>
      </w:r>
      <w:r>
        <w:t xml:space="preserve"> </w:t>
      </w:r>
      <w:hyperlink w:anchor="tbl-bootstrap-sites">
        <w:r>
          <w:rPr>
            <w:rStyle w:val="Hyperlink"/>
          </w:rPr>
          <w:t xml:space="preserve">Table 18</w:t>
        </w:r>
      </w:hyperlink>
      <w:r>
        <w:t xml:space="preserve">.</w:t>
      </w:r>
    </w:p>
    <w:bookmarkEnd w:id="93"/>
    <w:bookmarkEnd w:id="94"/>
    <w:bookmarkStart w:id="135" w:name="sec-s6-3"/>
    <w:p>
      <w:pPr>
        <w:pStyle w:val="Heading2"/>
      </w:pPr>
      <w:r>
        <w:t xml:space="preserve">S6.3 Stochastic Block Models</w:t>
      </w:r>
    </w:p>
    <w:bookmarkStart w:id="133" w:name="rationale-4"/>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(here: Jaccard similarity ≥ 0.2, as in the main text) depends only on their block memberships. Fitting the model returns (i) the number of blocks that best fits the data, chosen by the Integrated Classification Likelihood (ICL; a penalised likelihood that trades fit against model complexity), and (ii) the posterior probability of membership in each block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drawing>
          <wp:inline>
            <wp:extent cx="5943600" cy="4754880"/>
            <wp:effectExtent b="0" l="0" r="0" t="0"/>
            <wp:docPr descr="" title="" id="96" name="Picture"/>
            <a:graphic>
              <a:graphicData uri="http://schemas.openxmlformats.org/drawingml/2006/picture">
                <pic:pic>
                  <pic:nvPicPr>
                    <pic:cNvPr descr="supplement-sensitivity_files/figure-docx/s6-sbm-compute-1.png" id="97" name="Picture"/>
                    <pic:cNvPicPr>
                      <a:picLocks noChangeArrowheads="1" noChangeAspect="1"/>
                    </pic:cNvPicPr>
                  </pic:nvPicPr>
                  <pic:blipFill>
                    <a:blip r:embed="rId9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99" name="Picture"/>
            <a:graphic>
              <a:graphicData uri="http://schemas.openxmlformats.org/drawingml/2006/picture">
                <pic:pic>
                  <pic:nvPicPr>
                    <pic:cNvPr descr="supplement-sensitivity_files/figure-docx/s6-sbm-compute-2.png" id="100" name="Picture"/>
                    <pic:cNvPicPr>
                      <a:picLocks noChangeArrowheads="1" noChangeAspect="1"/>
                    </pic:cNvPicPr>
                  </pic:nvPicPr>
                  <pic:blipFill>
                    <a:blip r:embed="rId9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02" name="Picture"/>
            <a:graphic>
              <a:graphicData uri="http://schemas.openxmlformats.org/drawingml/2006/picture">
                <pic:pic>
                  <pic:nvPicPr>
                    <pic:cNvPr descr="supplement-sensitivity_files/figure-docx/s6-sbm-compute-3.png" id="103" name="Picture"/>
                    <pic:cNvPicPr>
                      <a:picLocks noChangeArrowheads="1" noChangeAspect="1"/>
                    </pic:cNvPicPr>
                  </pic:nvPicPr>
                  <pic:blipFill>
                    <a:blip r:embed="rId10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05" name="Picture"/>
            <a:graphic>
              <a:graphicData uri="http://schemas.openxmlformats.org/drawingml/2006/picture">
                <pic:pic>
                  <pic:nvPicPr>
                    <pic:cNvPr descr="supplement-sensitivity_files/figure-docx/s6-sbm-compute-4.png" id="106" name="Picture"/>
                    <pic:cNvPicPr>
                      <a:picLocks noChangeArrowheads="1" noChangeAspect="1"/>
                    </pic:cNvPicPr>
                  </pic:nvPicPr>
                  <pic:blipFill>
                    <a:blip r:embed="rId10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08" name="Picture"/>
            <a:graphic>
              <a:graphicData uri="http://schemas.openxmlformats.org/drawingml/2006/picture">
                <pic:pic>
                  <pic:nvPicPr>
                    <pic:cNvPr descr="supplement-sensitivity_files/figure-docx/s6-sbm-compute-5.png" id="109" name="Picture"/>
                    <pic:cNvPicPr>
                      <a:picLocks noChangeArrowheads="1" noChangeAspect="1"/>
                    </pic:cNvPicPr>
                  </pic:nvPicPr>
                  <pic:blipFill>
                    <a:blip r:embed="rId10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1" name="Picture"/>
            <a:graphic>
              <a:graphicData uri="http://schemas.openxmlformats.org/drawingml/2006/picture">
                <pic:pic>
                  <pic:nvPicPr>
                    <pic:cNvPr descr="supplement-sensitivity_files/figure-docx/s6-sbm-compute-6.png" id="112" name="Picture"/>
                    <pic:cNvPicPr>
                      <a:picLocks noChangeArrowheads="1" noChangeAspect="1"/>
                    </pic:cNvPicPr>
                  </pic:nvPicPr>
                  <pic:blipFill>
                    <a:blip r:embed="rId11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4" name="Picture"/>
            <a:graphic>
              <a:graphicData uri="http://schemas.openxmlformats.org/drawingml/2006/picture">
                <pic:pic>
                  <pic:nvPicPr>
                    <pic:cNvPr descr="supplement-sensitivity_files/figure-docx/s6-sbm-compute-7.png" id="115" name="Picture"/>
                    <pic:cNvPicPr>
                      <a:picLocks noChangeArrowheads="1" noChangeAspect="1"/>
                    </pic:cNvPicPr>
                  </pic:nvPicPr>
                  <pic:blipFill>
                    <a:blip r:embed="rId11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7" name="Picture"/>
            <a:graphic>
              <a:graphicData uri="http://schemas.openxmlformats.org/drawingml/2006/picture">
                <pic:pic>
                  <pic:nvPicPr>
                    <pic:cNvPr descr="supplement-sensitivity_files/figure-docx/s6-sbm-compute-8.png" id="118" name="Picture"/>
                    <pic:cNvPicPr>
                      <a:picLocks noChangeArrowheads="1" noChangeAspect="1"/>
                    </pic:cNvPicPr>
                  </pic:nvPicPr>
                  <pic:blipFill>
                    <a:blip r:embed="rId11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0" name="Picture"/>
            <a:graphic>
              <a:graphicData uri="http://schemas.openxmlformats.org/drawingml/2006/picture">
                <pic:pic>
                  <pic:nvPicPr>
                    <pic:cNvPr descr="supplement-sensitivity_files/figure-docx/s6-sbm-compute-9.png" id="121" name="Picture"/>
                    <pic:cNvPicPr>
                      <a:picLocks noChangeArrowheads="1" noChangeAspect="1"/>
                    </pic:cNvPicPr>
                  </pic:nvPicPr>
                  <pic:blipFill>
                    <a:blip r:embed="rId11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3" name="Picture"/>
            <a:graphic>
              <a:graphicData uri="http://schemas.openxmlformats.org/drawingml/2006/picture">
                <pic:pic>
                  <pic:nvPicPr>
                    <pic:cNvPr descr="supplement-sensitivity_files/figure-docx/s6-sbm-compute-10.png" id="124" name="Picture"/>
                    <pic:cNvPicPr>
                      <a:picLocks noChangeArrowheads="1" noChangeAspect="1"/>
                    </pic:cNvPicPr>
                  </pic:nvPicPr>
                  <pic:blipFill>
                    <a:blip r:embed="rId12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6" name="Picture"/>
            <a:graphic>
              <a:graphicData uri="http://schemas.openxmlformats.org/drawingml/2006/picture">
                <pic:pic>
                  <pic:nvPicPr>
                    <pic:cNvPr descr="supplement-sensitivity_files/figure-docx/s6-sbm-compute-11.png" id="127" name="Picture"/>
                    <pic:cNvPicPr>
                      <a:picLocks noChangeArrowheads="1" noChangeAspect="1"/>
                    </pic:cNvPicPr>
                  </pic:nvPicPr>
                  <pic:blipFill>
                    <a:blip r:embed="rId12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9" name="Picture"/>
            <a:graphic>
              <a:graphicData uri="http://schemas.openxmlformats.org/drawingml/2006/picture">
                <pic:pic>
                  <pic:nvPicPr>
                    <pic:cNvPr descr="supplement-sensitivity_files/figure-docx/s6-sbm-compute-12.png" id="130" name="Picture"/>
                    <pic:cNvPicPr>
                      <a:picLocks noChangeArrowheads="1" noChangeAspect="1"/>
                    </pic:cNvPicPr>
                  </pic:nvPicPr>
                  <pic:blipFill>
                    <a:blip r:embed="rId128"/>
                    <a:stretch>
                      <a:fillRect/>
                    </a:stretch>
                  </pic:blipFill>
                  <pic:spPr bwMode="auto">
                    <a:xfrm>
                      <a:off x="0" y="0"/>
                      <a:ext cx="5943600" cy="475488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131" w:name="tbl-sbm-icl"/>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Phase</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center"/>
                    <w:jc w:val="center"/>
                  </w:pPr>
                  <w:r>
                    <w:t xml:space="preserve">Best K</w:t>
                  </w:r>
                </w:p>
              </w:tc>
            </w:tr>
            <w:tr>
              <w:tc>
                <w:tcPr/>
                <w:p>
                  <w:pPr>
                    <w:pStyle w:val="Compact"/>
                    <w:jc w:val="left"/>
                    <w:jc w:val="center"/>
                  </w:pPr>
                  <w:r>
                    <w:t xml:space="preserve">Aur-P1</w:t>
                  </w:r>
                </w:p>
              </w:tc>
              <w:tc>
                <w:tcPr/>
                <w:p>
                  <w:pPr>
                    <w:pStyle w:val="Compact"/>
                    <w:jc w:val="center"/>
                    <w:jc w:val="center"/>
                  </w:pPr>
                  <w:r>
                    <w:t xml:space="preserve">-257.9</w:t>
                  </w:r>
                </w:p>
              </w:tc>
              <w:tc>
                <w:tcPr/>
                <w:p>
                  <w:pPr>
                    <w:pStyle w:val="Compact"/>
                    <w:jc w:val="center"/>
                    <w:jc w:val="center"/>
                  </w:pPr>
                  <w:r>
                    <w:t xml:space="preserve">-212.5</w:t>
                  </w:r>
                </w:p>
              </w:tc>
              <w:tc>
                <w:tcPr/>
                <w:p>
                  <w:pPr>
                    <w:pStyle w:val="Compact"/>
                    <w:jc w:val="center"/>
                    <w:jc w:val="center"/>
                  </w:pPr>
                  <w:r>
                    <w:t xml:space="preserve">-192.1</w:t>
                  </w:r>
                </w:p>
              </w:tc>
              <w:tc>
                <w:tcPr/>
                <w:p>
                  <w:pPr>
                    <w:pStyle w:val="Compact"/>
                    <w:jc w:val="center"/>
                    <w:jc w:val="center"/>
                  </w:pPr>
                  <w:r>
                    <w:t xml:space="preserve">-194.1</w:t>
                  </w:r>
                </w:p>
              </w:tc>
              <w:tc>
                <w:tcPr/>
                <w:p>
                  <w:pPr>
                    <w:pStyle w:val="Compact"/>
                    <w:jc w:val="center"/>
                    <w:jc w:val="center"/>
                  </w:pPr>
                  <w:r>
                    <w:t xml:space="preserve">-198.7</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center"/>
                    <w:jc w:val="center"/>
                  </w:pPr>
                  <w:r>
                    <w:t xml:space="preserve">-39.5</w:t>
                  </w:r>
                </w:p>
              </w:tc>
              <w:tc>
                <w:tcPr/>
                <w:p>
                  <w:pPr>
                    <w:pStyle w:val="Compact"/>
                    <w:jc w:val="center"/>
                    <w:jc w:val="center"/>
                  </w:pPr>
                  <w:r>
                    <w:t xml:space="preserve">-33.6</w:t>
                  </w:r>
                </w:p>
              </w:tc>
              <w:tc>
                <w:tcPr/>
                <w:p>
                  <w:pPr>
                    <w:pStyle w:val="Compact"/>
                    <w:jc w:val="center"/>
                    <w:jc w:val="center"/>
                  </w:pPr>
                  <w:r>
                    <w:t xml:space="preserve">-47.7</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2</w:t>
                  </w:r>
                </w:p>
              </w:tc>
            </w:tr>
          </w:tbl>
          <w:p>
            <w:pPr>
              <w:jc w:val="center"/>
            </w:pPr>
            <w:pPr>
              <w:jc w:val="start"/>
              <w:spacing w:before="200"/>
              <w:pStyle w:val="ImageCaption"/>
            </w:pPr>
            <w:r>
              <w:t xml:space="preserve">Table 19: Integrated Classification Likelihood (ICL) for stochastic block models with K = 1 to 5 blocks, by phase. The best-supported number of blocks (maximum ICL) is bolded. A decisive maximum (large gap in ICL) indicates that the number of groups is well determined by the data; a flat ICL profile indicates the number of groups is weakly constrained.</w:t>
            </w:r>
          </w:p>
          <w:bookmarkEnd w:id="13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32" w:name="tbl-sbm-membership"/>
          <w:tbl>
            <w:tblPr>
              <w:tblStyle w:val="Table"/>
              <w:tblW w:type="pct" w:w="5000"/>
              <w:tblLook w:firstRow="1" w:lastRow="0" w:firstColumn="0" w:lastColumn="0" w:noHBand="0" w:noVBand="0" w:val="0020"/>
              <w:jc w:val="start"/>
              <w:tblLayout w:type="fixed"/>
            </w:tblPr>
            <w:tblGrid>
              <w:gridCol w:w="2299"/>
              <w:gridCol w:w="596"/>
              <w:gridCol w:w="2299"/>
              <w:gridCol w:w="1107"/>
              <w:gridCol w:w="510"/>
              <w:gridCol w:w="510"/>
              <w:gridCol w:w="59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left"/>
                    <w:jc w:val="center"/>
                  </w:pPr>
                  <w:r>
                    <w:t xml:space="preserve">P(B1)</w:t>
                  </w:r>
                </w:p>
              </w:tc>
              <w:tc>
                <w:tcPr/>
                <w:p>
                  <w:pPr>
                    <w:pStyle w:val="Compact"/>
                    <w:jc w:val="left"/>
                    <w:jc w:val="center"/>
                  </w:pPr>
                  <w:r>
                    <w:t xml:space="preserve">P(B2)</w:t>
                  </w:r>
                </w:p>
              </w:tc>
              <w:tc>
                <w:tcPr/>
                <w:p>
                  <w:pPr>
                    <w:pStyle w:val="Compact"/>
                    <w:jc w:val="center"/>
                    <w:jc w:val="center"/>
                  </w:pPr>
                  <w:r>
                    <w:t xml:space="preserve">P(B3)</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left"/>
                    <w:jc w:val="center"/>
                  </w:pPr>
                  <w:r>
                    <w:t xml:space="preserve">0.00</w:t>
                  </w:r>
                </w:p>
              </w:tc>
              <w:tc>
                <w:tcPr/>
                <w:p>
                  <w:pPr>
                    <w:pStyle w:val="Compact"/>
                    <w:jc w:val="left"/>
                    <w:jc w:val="center"/>
                  </w:pPr>
                  <w:r>
                    <w:t xml:space="preserve">0.00</w:t>
                  </w:r>
                </w:p>
              </w:tc>
              <w:tc>
                <w:tcPr/>
                <w:p>
                  <w:pPr>
                    <w:pStyle w:val="Compact"/>
                    <w:jc w:val="center"/>
                    <w:jc w:val="center"/>
                  </w:pPr>
                  <w:r>
                    <w:t xml:space="preserve">0.99</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left"/>
                    <w:jc w:val="center"/>
                  </w:pPr>
                  <w:r>
                    <w:t xml:space="preserve">0.00</w:t>
                  </w:r>
                </w:p>
              </w:tc>
              <w:tc>
                <w:tcPr/>
                <w:p>
                  <w:pPr>
                    <w:pStyle w:val="Compact"/>
                    <w:jc w:val="left"/>
                    <w:jc w:val="center"/>
                  </w:pPr>
                  <w:r>
                    <w:t xml:space="preserve">0.00</w:t>
                  </w:r>
                </w:p>
              </w:tc>
              <w:tc>
                <w:tcPr/>
                <w:p>
                  <w:pPr>
                    <w:pStyle w:val="Compact"/>
                    <w:jc w:val="center"/>
                    <w:jc w:val="center"/>
                  </w:pPr>
                  <w:r>
                    <w:t xml:space="preserve">0.99</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left"/>
                    <w:jc w:val="center"/>
                  </w:pPr>
                  <w:r>
                    <w:t xml:space="preserve">0.00</w:t>
                  </w:r>
                </w:p>
              </w:tc>
              <w:tc>
                <w:tcPr/>
                <w:p>
                  <w:pPr>
                    <w:pStyle w:val="Compact"/>
                    <w:jc w:val="left"/>
                    <w:jc w:val="center"/>
                  </w:pPr>
                  <w:r>
                    <w:t xml:space="preserve">0.00</w:t>
                  </w:r>
                </w:p>
              </w:tc>
              <w:tc>
                <w:tcPr/>
                <w:p>
                  <w:pPr>
                    <w:pStyle w:val="Compact"/>
                    <w:jc w:val="center"/>
                    <w:jc w:val="center"/>
                  </w:pPr>
                  <w:r>
                    <w:t xml:space="preserve">0.99</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0.01</w:t>
                  </w:r>
                </w:p>
              </w:tc>
              <w:tc>
                <w:tcPr/>
                <w:p>
                  <w:pPr>
                    <w:pStyle w:val="Compact"/>
                    <w:jc w:val="center"/>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left"/>
                    <w:jc w:val="center"/>
                  </w:pPr>
                  <w:r>
                    <w:t xml:space="preserve">0.01</w:t>
                  </w:r>
                </w:p>
              </w:tc>
              <w:tc>
                <w:tcPr/>
                <w:p>
                  <w:pPr>
                    <w:pStyle w:val="Compact"/>
                    <w:jc w:val="left"/>
                    <w:jc w:val="center"/>
                  </w:pPr>
                  <w:r>
                    <w:t xml:space="preserve">0.99</w:t>
                  </w:r>
                </w:p>
              </w:tc>
              <w:tc>
                <w:tcPr/>
                <w:p>
                  <w:pPr>
                    <w:pStyle w:val="Compact"/>
                    <w:jc w:val="center"/>
                    <w:jc w:val="center"/>
                  </w:pPr>
                  <w:r>
                    <w:t xml:space="preserve">NA</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0.01</w:t>
                  </w:r>
                </w:p>
              </w:tc>
              <w:tc>
                <w:tcPr/>
                <w:p>
                  <w:pPr>
                    <w:pStyle w:val="Compact"/>
                    <w:jc w:val="center"/>
                    <w:jc w:val="center"/>
                  </w:pPr>
                  <w:r>
                    <w:t xml:space="preserve">NA</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0.01</w:t>
                  </w:r>
                </w:p>
              </w:tc>
              <w:tc>
                <w:tcPr/>
                <w:p>
                  <w:pPr>
                    <w:pStyle w:val="Compact"/>
                    <w:jc w:val="center"/>
                    <w:jc w:val="center"/>
                  </w:pPr>
                  <w:r>
                    <w:t xml:space="preserve">NA</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left"/>
                    <w:jc w:val="center"/>
                  </w:pPr>
                  <w:r>
                    <w:t xml:space="preserve">0.01</w:t>
                  </w:r>
                </w:p>
              </w:tc>
              <w:tc>
                <w:tcPr/>
                <w:p>
                  <w:pPr>
                    <w:pStyle w:val="Compact"/>
                    <w:jc w:val="left"/>
                    <w:jc w:val="center"/>
                  </w:pPr>
                  <w:r>
                    <w:t xml:space="preserve">0.99</w:t>
                  </w:r>
                </w:p>
              </w:tc>
              <w:tc>
                <w:tcPr/>
                <w:p>
                  <w:pPr>
                    <w:pStyle w:val="Compact"/>
                    <w:jc w:val="center"/>
                    <w:jc w:val="center"/>
                  </w:pPr>
                  <w:r>
                    <w:t xml:space="preserve">NA</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0.01</w:t>
                  </w:r>
                </w:p>
              </w:tc>
              <w:tc>
                <w:tcPr/>
                <w:p>
                  <w:pPr>
                    <w:pStyle w:val="Compact"/>
                    <w:jc w:val="center"/>
                    <w:jc w:val="center"/>
                  </w:pPr>
                  <w:r>
                    <w:t xml:space="preserve">NA</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0.01</w:t>
                  </w:r>
                </w:p>
              </w:tc>
              <w:tc>
                <w:tcPr/>
                <w:p>
                  <w:pPr>
                    <w:pStyle w:val="Compact"/>
                    <w:jc w:val="center"/>
                    <w:jc w:val="center"/>
                  </w:pPr>
                  <w:r>
                    <w:t xml:space="preserve">NA</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0.01</w:t>
                  </w:r>
                </w:p>
              </w:tc>
              <w:tc>
                <w:tcPr/>
                <w:p>
                  <w:pPr>
                    <w:pStyle w:val="Compact"/>
                    <w:jc w:val="center"/>
                    <w:jc w:val="center"/>
                  </w:pPr>
                  <w:r>
                    <w:t xml:space="preserve">NA</w:t>
                  </w:r>
                </w:p>
              </w:tc>
            </w:tr>
          </w:tbl>
          <w:p>
            <w:pPr>
              <w:jc w:val="center"/>
            </w:pPr>
            <w:pPr>
              <w:jc w:val="start"/>
              <w:spacing w:before="200"/>
              <w:pStyle w:val="ImageCaption"/>
            </w:pPr>
            <w:r>
              <w:t xml:space="preserve">Table 20: Posterior block-membership probabilities and modal (hard) assignment from the best-fitting stochastic block model for each phase. Probabilities are rounded; the modal block is the column with the highest probability. Sites with probability spread across blocks (e.g. no entry above 0.7) have ambiguous membership.</w:t>
            </w:r>
          </w:p>
          <w:bookmarkEnd w:id="132"/>
        </w:tc>
      </w:tr>
    </w:tbl>
    <w:bookmarkEnd w:id="133"/>
    <w:bookmarkStart w:id="134" w:name="interpretation-1"/>
    <w:p>
      <w:pPr>
        <w:pStyle w:val="Heading3"/>
      </w:pPr>
      <w:r>
        <w:t xml:space="preserve">Interpretation</w:t>
      </w:r>
    </w:p>
    <w:p>
      <w:pPr>
        <w:pStyle w:val="FirstParagraph"/>
      </w:pPr>
      <w:r>
        <w:t xml:space="preserve">The ICL model-selection results (</w:t>
      </w:r>
      <w:hyperlink w:anchor="tbl-sbm-icl">
        <w:r>
          <w:rPr>
            <w:rStyle w:val="Hyperlink"/>
          </w:rPr>
          <w:t xml:space="preserve">Table 19</w:t>
        </w:r>
      </w:hyperlink>
      <w:r>
        <w:t xml:space="preserve">) report the number of blocks best supported by the sign-sharing network in each phase, providing a model-based counterpart to the seriation. In</w:t>
      </w:r>
      <w:r>
        <w:t xml:space="preserve"> </w:t>
      </w:r>
      <w:r>
        <w:rPr>
          <w:bCs/>
          <w:b/>
        </w:rPr>
        <w:t xml:space="preserve">Aur-P1</w:t>
      </w:r>
      <w:r>
        <w:t xml:space="preserve"> </w:t>
      </w:r>
      <w:r>
        <w:t xml:space="preserve">the best-supported model contains 3 blocks, and in</w:t>
      </w:r>
      <w:r>
        <w:t xml:space="preserve"> </w:t>
      </w:r>
      <w:r>
        <w:rPr>
          <w:bCs/>
          <w:b/>
        </w:rPr>
        <w:t xml:space="preserve">Aur-P2</w:t>
      </w:r>
      <w:r>
        <w:t xml:space="preserve"> </w:t>
      </w:r>
      <w:r>
        <w:t xml:space="preserve">it contains 2 blocks. The ICL gap between the best and second-best model quantifies how decisively the optimum is preferred (2.04 in Aur-P1 and 5.91 in Aur-P2); the comparison between the two phases tells the reader how much more strongly the block structure is determined in the better-sampled early phase.</w:t>
      </w:r>
    </w:p>
    <w:p>
      <w:pPr>
        <w:pStyle w:val="BodyText"/>
      </w:pPr>
      <w:r>
        <w:t xml:space="preserve">The membership table (</w:t>
      </w:r>
      <w:hyperlink w:anchor="tbl-sbm-membership">
        <w:r>
          <w:rPr>
            <w:rStyle w:val="Hyperlink"/>
          </w:rPr>
          <w:t xml:space="preserve">Table 20</w:t>
        </w:r>
      </w:hyperlink>
      <w:r>
        <w:t xml:space="preserve">) gives posterior probabilities that qualify the deterministic group assignments used in the main text: every site is assigned to its modal block with posterior probability ≥ 0.99, so the SBM is never equivocal about the partition it identifies, and the informative quantity is the number of blocks chosen and how those blocks map onto the manual restricted/broad groups rather than the confidence of individual assignments. After aligning each SBM block to the nearest manual group, the SBM partition reproduces the manual restricted/broad split exactly in</w:t>
      </w:r>
      <w:r>
        <w:t xml:space="preserve"> </w:t>
      </w:r>
      <w:r>
        <w:rPr>
          <w:bCs/>
          <w:b/>
        </w:rPr>
        <w:t xml:space="preserve">Aur-P2</w:t>
      </w:r>
      <w:r>
        <w:t xml:space="preserve">, and diverges on 1 of 20 sites in</w:t>
      </w:r>
      <w:r>
        <w:t xml:space="preserve"> </w:t>
      </w:r>
      <w:r>
        <w:rPr>
          <w:bCs/>
          <w:b/>
        </w:rPr>
        <w:t xml:space="preserve">Aur-P1</w:t>
      </w:r>
      <w:r>
        <w:t xml:space="preserve"> </w:t>
      </w:r>
      <w:r>
        <w:t xml:space="preserve">(Labeko Koba). Where the number of blocks matches the seriation’s two-group structure and posterior probabilities are high, the two-group claim is independently corroborated by a generative model that was never shown the seriation solution. Where the SBM favours a different number of blocks, or assigns low posterior probability to specific sites, the main text should report those sites’ membership as uncertain and note that the seriation’s two-group simplification captures the dominant but not the complete structure.</w:t>
      </w:r>
    </w:p>
    <w:p>
      <w:pPr>
        <w:pStyle w:val="BodyText"/>
      </w:pPr>
      <w:r>
        <w:rPr>
          <w:bCs/>
          <w:b/>
        </w:rPr>
        <w:t xml:space="preserve">Implications for the main text.</w:t>
      </w:r>
      <w:r>
        <w:t xml:space="preserve"> </w:t>
      </w:r>
      <w:r>
        <w:t xml:space="preserve">The SBM posterior probabilities are effectively certain (each site’s modal block receives posterior ≥ 0.99) for the partition the model identifies, so the model is rarely equivocal about its own grouping; the important information lies in</w:t>
      </w:r>
      <w:r>
        <w:t xml:space="preserve"> </w:t>
      </w:r>
      <w:r>
        <w:rPr>
          <w:iCs/>
          <w:i/>
        </w:rPr>
        <w:t xml:space="preserve">how many</w:t>
      </w:r>
      <w:r>
        <w:t xml:space="preserve"> </w:t>
      </w:r>
      <w:r>
        <w:t xml:space="preserve">blocks the model chooses and how far that partition diverges from the manual restricted/broad assignment. Where the SBM settles on two blocks and its partition agrees with the manual groups (as in Aur-P2), the two-group structure is independently corroborated. Where the SBM favours more blocks — or partitions sites differently (quantified as ARI in S6.4) — the restricted/broad dichotomy should be read as the dominant axis of variation rather than the complete structure. These results complement, rather than supersede, the bootstrap analysis: the bootstrap quantifies sampling stability of the main-text partition, while the SBM asks whether an independent generative model reproduces it.</w:t>
      </w:r>
    </w:p>
    <w:bookmarkEnd w:id="134"/>
    <w:bookmarkEnd w:id="135"/>
    <w:bookmarkStart w:id="139" w:name="sec-s6-4"/>
    <w:p>
      <w:pPr>
        <w:pStyle w:val="Heading2"/>
      </w:pPr>
      <w:r>
        <w:t xml:space="preserve">S6.4 Cross-Validation of Group Assignments (ARI)</w:t>
      </w:r>
    </w:p>
    <w:bookmarkStart w:id="137" w:name="rationale-5"/>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(S6.2), and the SBM modal assignments (S6.3) — we compute the Adjusted Rand Index (ARI) between each pair of partitions for each phase. ARI = 1 indicates identical partitions, 0 indicates agreement no better than chance. We use a self-contained implementation of ARI (the S5 analyses use</w:t>
      </w:r>
      <w:r>
        <w:t xml:space="preserve"> </w:t>
      </w:r>
      <w:r>
        <w:rPr>
          <w:rStyle w:val="VerbatimChar"/>
        </w:rPr>
        <w:t xml:space="preserve">mclust::adjustedRandIndex</w:t>
      </w:r>
      <w:r>
        <w:t xml:space="preserve">, which yields the same values).</w:t>
      </w:r>
    </w:p>
    <w:tbl>
      <w:tblPr>
        <w:tblStyle w:val="Table"/>
        <w:tblW w:type="pct" w:w="5000"/>
        <w:tblLook w:firstRow="0" w:lastRow="0" w:firstColumn="0" w:lastColumn="0" w:noHBand="0" w:noVBand="0" w:val="0000"/>
        <w:jc w:val="start"/>
        <w:tblLayout w:type="fixed"/>
      </w:tblPr>
      <w:tblGrid>
        <w:gridCol w:w="7920"/>
      </w:tblGrid>
      <w:tr>
        <w:tc>
          <w:tcPr/>
          <w:bookmarkStart w:id="136" w:name="tbl-s6-ari"/>
          <w:tbl>
            <w:tblPr>
              <w:tblStyle w:val="Table"/>
              <w:tblW w:type="pct" w:w="5000"/>
              <w:tblLook w:firstRow="1" w:lastRow="0" w:firstColumn="0" w:lastColumn="0" w:noHBand="0" w:noVBand="0" w:val="0020"/>
              <w:jc w:val="start"/>
              <w:tblLayout w:type="fixed"/>
            </w:tblPr>
            <w:tblGrid>
              <w:gridCol w:w="759"/>
              <w:gridCol w:w="2712"/>
              <w:gridCol w:w="2061"/>
              <w:gridCol w:w="2386"/>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w:t>
                  </w:r>
                </w:p>
              </w:tc>
              <w:tc>
                <w:tcPr/>
                <w:p>
                  <w:pPr>
                    <w:pStyle w:val="Compact"/>
                    <w:jc w:val="center"/>
                    <w:jc w:val="center"/>
                  </w:pPr>
                  <w:r>
                    <w:t xml:space="preserve">ARI bootstrap vs SBM</w:t>
                  </w:r>
                </w:p>
              </w:tc>
            </w:tr>
            <w:tr>
              <w:tc>
                <w:tcPr/>
                <w:p>
                  <w:pPr>
                    <w:pStyle w:val="Compact"/>
                    <w:jc w:val="left"/>
                    <w:jc w:val="center"/>
                  </w:pPr>
                  <w:r>
                    <w:t xml:space="preserve">Aur-P1</w:t>
                  </w:r>
                </w:p>
              </w:tc>
              <w:tc>
                <w:tcPr/>
                <w:p>
                  <w:pPr>
                    <w:pStyle w:val="Compact"/>
                    <w:jc w:val="center"/>
                    <w:jc w:val="center"/>
                  </w:pPr>
                  <w:r>
                    <w:t xml:space="preserve">1.00</w:t>
                  </w:r>
                </w:p>
              </w:tc>
              <w:tc>
                <w:tcPr/>
                <w:p>
                  <w:pPr>
                    <w:pStyle w:val="Compact"/>
                    <w:jc w:val="center"/>
                    <w:jc w:val="center"/>
                  </w:pPr>
                  <w:r>
                    <w:t xml:space="preserve">0.70</w:t>
                  </w:r>
                </w:p>
              </w:tc>
              <w:tc>
                <w:tcPr/>
                <w:p>
                  <w:pPr>
                    <w:pStyle w:val="Compact"/>
                    <w:jc w:val="center"/>
                    <w:jc w:val="center"/>
                  </w:pPr>
                  <w:r>
                    <w:t xml:space="preserve">0.70</w:t>
                  </w:r>
                </w:p>
              </w:tc>
            </w:tr>
            <w:tr>
              <w:tc>
                <w:tcPr/>
                <w:p>
                  <w:pPr>
                    <w:pStyle w:val="Compact"/>
                    <w:jc w:val="left"/>
                    <w:jc w:val="center"/>
                  </w:pPr>
                  <w:r>
                    <w:t xml:space="preserve">Aur-P2</w:t>
                  </w:r>
                </w:p>
              </w:tc>
              <w:tc>
                <w:tcPr/>
                <w:p>
                  <w:pPr>
                    <w:pStyle w:val="Compact"/>
                    <w:jc w:val="center"/>
                    <w:jc w:val="center"/>
                  </w:pPr>
                  <w:r>
                    <w:t xml:space="preserve">0.16</w:t>
                  </w:r>
                </w:p>
              </w:tc>
              <w:tc>
                <w:tcPr/>
                <w:p>
                  <w:pPr>
                    <w:pStyle w:val="Compact"/>
                    <w:jc w:val="center"/>
                    <w:jc w:val="center"/>
                  </w:pPr>
                  <w:r>
                    <w:t xml:space="preserve">-0.17</w:t>
                  </w:r>
                </w:p>
              </w:tc>
              <w:tc>
                <w:tcPr/>
                <w:p>
                  <w:pPr>
                    <w:pStyle w:val="Compact"/>
                    <w:jc w:val="center"/>
                    <w:jc w:val="center"/>
                  </w:pPr>
                  <w:r>
                    <w:t xml:space="preserve">0.16</w:t>
                  </w:r>
                </w:p>
              </w:tc>
            </w:tr>
          </w:tbl>
          <w:p>
            <w:pPr>
              <w:jc w:val="center"/>
            </w:pPr>
            <w:pPr>
              <w:jc w:val="start"/>
              <w:spacing w:before="200"/>
              <w:pStyle w:val="ImageCaption"/>
            </w:pPr>
            <w:r>
              <w:t xml:space="preserve">Table 21: Adjusted Rand Index between the main-text manual restricted/broad assignment, the bootstrap modal blocks (S6.2), and the SBM modal assignments (S6.3), by phase. Values are blank for SBM comparisons when the</w:t>
            </w:r>
            <w:r>
              <w:t xml:space="preserve"> </w:t>
            </w:r>
            <w:r>
              <w:rPr>
                <w:rStyle w:val="VerbatimChar"/>
              </w:rPr>
              <w:t xml:space="preserve">blockmodels</w:t>
            </w:r>
            <w:r>
              <w:t xml:space="preserve"> </w:t>
            </w:r>
            <w:r>
              <w:t xml:space="preserve">package is unavailable.</w:t>
            </w:r>
          </w:p>
          <w:bookmarkEnd w:id="136"/>
        </w:tc>
      </w:tr>
    </w:tbl>
    <w:bookmarkEnd w:id="137"/>
    <w:bookmarkStart w:id="138" w:name="interpretation-2"/>
    <w:p>
      <w:pPr>
        <w:pStyle w:val="Heading3"/>
      </w:pPr>
      <w:r>
        <w:t xml:space="preserve">Interpretation</w:t>
      </w:r>
    </w:p>
    <w:p>
      <w:pPr>
        <w:pStyle w:val="FirstParagraph"/>
      </w:pPr>
      <w:r>
        <w:t xml:space="preserve">The ARI values summarise how far the three routes to the two-group partition agree, and the agreement is informative precisely because it varies by phase and method (</w:t>
      </w:r>
      <w:hyperlink w:anchor="tbl-s6-ari">
        <w:r>
          <w:rPr>
            <w:rStyle w:val="Hyperlink"/>
          </w:rPr>
          <w:t xml:space="preserve">Table 21</w:t>
        </w:r>
      </w:hyperlink>
      <w:r>
        <w:t xml:space="preserve">). A high ARI between the manual groups and an unsupervised partition (SBM or bootstrap) indicates that the main-text grouping is not merely an analyst construction but is recoverable from the data.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 The specific pattern — which method agrees with the manual groups in which phase — is reported in</w:t>
      </w:r>
      <w:r>
        <w:t xml:space="preserve"> </w:t>
      </w:r>
      <w:hyperlink w:anchor="tbl-s6-ari">
        <w:r>
          <w:rPr>
            <w:rStyle w:val="Hyperlink"/>
          </w:rPr>
          <w:t xml:space="preserve">Table 21</w:t>
        </w:r>
      </w:hyperlink>
      <w:r>
        <w:t xml:space="preserve"> </w:t>
      </w:r>
      <w:r>
        <w:t xml:space="preserve">and should be used in the main text to state precisely where the two-group structure is independently supported and where it is a simplifying summary.</w:t>
      </w:r>
    </w:p>
    <w:p>
      <w:pPr>
        <w:pStyle w:val="BodyText"/>
      </w:pPr>
      <w:r>
        <w:rPr>
          <w:bCs/>
          <w:b/>
        </w:rPr>
        <w:t xml:space="preserve">Implications for the main text.</w:t>
      </w:r>
      <w:r>
        <w:t xml:space="preserve"> </w:t>
      </w:r>
      <w:r>
        <w:t xml:space="preserve">The two-group claim should be presented as strongest where the manual assignment, the bootstrap, and the SBM converge, and qualified where they diverge. Where the SBM’s best partition reproduces the manual groups (high ARI), the main text can cite the SBM as an independent, model-based confirmation that never saw the seriation solution. Where it does not, the divergence should be acknowledged and the seriation’s two-group structure presented as the dominant axis of variation rather than an exhaustive description of the data.</w:t>
      </w:r>
    </w:p>
    <w:bookmarkEnd w:id="138"/>
    <w:bookmarkEnd w:id="139"/>
    <w:bookmarkStart w:id="140" w:name="sec-s6-5"/>
    <w:p>
      <w:pPr>
        <w:pStyle w:val="Heading2"/>
      </w:pPr>
      <w:r>
        <w:t xml:space="preserve">S6.5 Summary of Implications</w:t>
      </w:r>
    </w:p>
    <w:p>
      <w:pPr>
        <w:pStyle w:val="FirstParagraph"/>
      </w:pPr>
      <w:r>
        <w:t xml:space="preserve">Taken together, S6 provides three converging but graded lines of evidence for the main-text two-group claim. (1)</w:t>
      </w:r>
      <w:r>
        <w:t xml:space="preserve"> </w:t>
      </w:r>
      <w:r>
        <w:rPr>
          <w:bCs/>
          <w:b/>
        </w:rPr>
        <w:t xml:space="preserve">Resampling stability</w:t>
      </w:r>
      <w:r>
        <w:t xml:space="preserve">: within-block co-clustering exceeds across-block co-clustering in every phase (</w:t>
      </w:r>
      <w:hyperlink w:anchor="fig-bootstrap-consensus">
        <w:r>
          <w:rPr>
            <w:rStyle w:val="Hyperlink"/>
          </w:rPr>
          <w:t xml:space="preserve">Figure 4</w:t>
        </w:r>
      </w:hyperlink>
      <w:r>
        <w:t xml:space="preserve">,</w:t>
      </w:r>
      <w:r>
        <w:t xml:space="preserve"> </w:t>
      </w:r>
      <w:hyperlink w:anchor="tbl-bootstrap-summary">
        <w:r>
          <w:rPr>
            <w:rStyle w:val="Hyperlink"/>
          </w:rPr>
          <w:t xml:space="preserve">Table 17</w:t>
        </w:r>
      </w:hyperlink>
      <w:r>
        <w:t xml:space="preserve">), so the partition does not arise from a particular sample of sites. (2)</w:t>
      </w:r>
      <w:r>
        <w:t xml:space="preserve"> </w:t>
      </w:r>
      <w:r>
        <w:rPr>
          <w:bCs/>
          <w:b/>
        </w:rPr>
        <w:t xml:space="preserve">Model selection</w:t>
      </w:r>
      <w:r>
        <w:t xml:space="preserve">: the SBM attaches posterior probabilities to each site’s membership (</w:t>
      </w:r>
      <w:hyperlink w:anchor="tbl-sbm-membership">
        <w:r>
          <w:rPr>
            <w:rStyle w:val="Hyperlink"/>
          </w:rPr>
          <w:t xml:space="preserve">Table 20</w:t>
        </w:r>
      </w:hyperlink>
      <w:r>
        <w:t xml:space="preserve">) and reports the number of blocks best supported by the sign-sharing network in each phase (</w:t>
      </w:r>
      <w:hyperlink w:anchor="tbl-sbm-icl">
        <w:r>
          <w:rPr>
            <w:rStyle w:val="Hyperlink"/>
          </w:rPr>
          <w:t xml:space="preserve">Table 19</w:t>
        </w:r>
      </w:hyperlink>
      <w:r>
        <w:t xml:space="preserve">). (3)</w:t>
      </w:r>
      <w:r>
        <w:t xml:space="preserve"> </w:t>
      </w:r>
      <w:r>
        <w:rPr>
          <w:bCs/>
          <w:b/>
        </w:rPr>
        <w:t xml:space="preserve">Cross-validation</w:t>
      </w:r>
      <w:r>
        <w:t xml:space="preserve">: ARI between the manual, bootstrap, and SBM partitions quantifies their agreement (</w:t>
      </w:r>
      <w:hyperlink w:anchor="tbl-s6-ari">
        <w:r>
          <w:rPr>
            <w:rStyle w:val="Hyperlink"/>
          </w:rPr>
          <w:t xml:space="preserve">Table 21</w:t>
        </w:r>
      </w:hyperlink>
      <w:r>
        <w:t xml:space="preserve">). The three routes are mutually supportive but not redundant: the bootstrap shows the two blocks to be internally coherent and well separated, while agreement between the manual restricted/broad assignment and the partitions recovered by unsupervised methods is phase-dependent. We recommend that the main text retain the two-group framing but cite the per-site consistency scores (</w:t>
      </w:r>
      <w:hyperlink w:anchor="tbl-bootstrap-sites">
        <w:r>
          <w:rPr>
            <w:rStyle w:val="Hyperlink"/>
          </w:rPr>
          <w:t xml:space="preserve">Table 18</w:t>
        </w:r>
      </w:hyperlink>
      <w:r>
        <w:t xml:space="preserve">) and SBM posterior probabilities (</w:t>
      </w:r>
      <w:hyperlink w:anchor="tbl-sbm-membership">
        <w:r>
          <w:rPr>
            <w:rStyle w:val="Hyperlink"/>
          </w:rPr>
          <w:t xml:space="preserve">Table 20</w:t>
        </w:r>
      </w:hyperlink>
      <w:r>
        <w:t xml:space="preserve">) for the borderline sites, and note that the strength of the dichotomy is phase-dependent and that the Aur-P2 results rest on only 8 sites.</w:t>
      </w:r>
    </w:p>
    <w:bookmarkEnd w:id="140"/>
    <w:bookmarkEnd w:id="141"/>
    <w:bookmarkStart w:id="158" w:name="sec-s7"/>
    <w:p>
      <w:pPr>
        <w:pStyle w:val="Heading1"/>
      </w:pPr>
      <w:r>
        <w:t xml:space="preserve">S7. Object-Type Sensitivity: Figurine Exclusion</w:t>
      </w:r>
    </w:p>
    <w:bookmarkStart w:id="142" w:name="s7.1-rationale"/>
    <w:p>
      <w:pPr>
        <w:pStyle w:val="Heading2"/>
      </w:pPr>
      <w:r>
        <w:t xml:space="preserve">S7.1 Rationale</w:t>
      </w:r>
    </w:p>
    <w:p>
      <w:pPr>
        <w:pStyle w:val="FirstParagraph"/>
      </w:pPr>
      <w:r>
        <w:t xml:space="preserve">Bentz and Dutkiewicz (2026) 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w:t>
      </w:r>
    </w:p>
    <w:bookmarkEnd w:id="142"/>
    <w:bookmarkStart w:id="144" w:name="X558aa60e1a258171fb4fb8ecbd68200d2a7d022"/>
    <w:p>
      <w:pPr>
        <w:pStyle w:val="Heading2"/>
      </w:pPr>
      <w:r>
        <w:t xml:space="preserve">S7.2 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143"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8</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bl>
          <w:p>
            <w:pPr>
              <w:jc w:val="center"/>
            </w:pPr>
            <w:pPr>
              <w:jc w:val="start"/>
              <w:spacing w:before="200"/>
              <w:pStyle w:val="ImageCaption"/>
            </w:pPr>
            <w:r>
              <w:t xml:space="preserve">Table 22: Distribution of figurine objects across phases and sites. Figurine types include figurine zoomorph, figurine anthropomorph, figurine undet., and possible figurine.</w:t>
            </w:r>
          </w:p>
          <w:bookmarkEnd w:id="143"/>
        </w:tc>
      </w:tr>
    </w:tbl>
    <w:p>
      <w:pPr>
        <w:pStyle w:val="BodyText"/>
      </w:pPr>
      <w:hyperlink w:anchor="tbl-figurine-count">
        <w:r>
          <w:rPr>
            <w:rStyle w:val="Hyperlink"/>
          </w:rPr>
          <w:t xml:space="preserve">Table 22</w:t>
        </w:r>
      </w:hyperlink>
      <w:r>
        <w:t xml:space="preserve"> </w:t>
      </w:r>
      <w:r>
        <w:t xml:space="preserve">shows that figurines are heavily concentrated at Vogelherd (50 objects), with minor representation at Hohle Fels (8), Geissenklösterle (3), Hohlenstein-Stadel (1), and La Ferrassie (1). All 63 figurines fall within Aur-P1. The analysis therefore tests whether the Aur-P1 network structure — which reports the higher mean degree (7.50) — is driven by these 50 objects at a single site.</w:t>
      </w:r>
    </w:p>
    <w:bookmarkEnd w:id="144"/>
    <w:bookmarkStart w:id="149" w:name="s7.3-analysis-1-exclude-all-figurines"/>
    <w:p>
      <w:pPr>
        <w:pStyle w:val="Heading2"/>
      </w:pPr>
      <w:r>
        <w:t xml:space="preserve">S7.3 Analysis 1: Exclude All Figurines</w:t>
      </w:r>
    </w:p>
    <w:bookmarkStart w:id="147" w:name="method"/>
    <w:p>
      <w:pPr>
        <w:pStyle w:val="Heading3"/>
      </w:pPr>
      <w:r>
        <w:t xml:space="preserve">Method</w:t>
      </w:r>
    </w:p>
    <w:p>
      <w:pPr>
        <w:pStyle w:val="FirstParagraph"/>
      </w:pP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145" w:name="tbl-exclude-figurines"/>
          <w:tbl>
            <w:tblPr>
              <w:tblStyle w:val="Table"/>
              <w:tblW w:type="pct" w:w="5000"/>
              <w:tblLook w:firstRow="1" w:lastRow="0" w:firstColumn="0" w:lastColumn="0" w:noHBand="0" w:noVBand="0" w:val="0020"/>
              <w:jc w:val="start"/>
              <w:tblLayout w:type="fixed"/>
            </w:tblPr>
            <w:tblGrid>
              <w:gridCol w:w="622"/>
              <w:gridCol w:w="533"/>
              <w:gridCol w:w="622"/>
              <w:gridCol w:w="800"/>
              <w:gridCol w:w="1156"/>
              <w:gridCol w:w="1245"/>
              <w:gridCol w:w="1067"/>
              <w:gridCol w:w="1868"/>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0.332</w:t>
                  </w:r>
                </w:p>
              </w:tc>
              <w:tc>
                <w:tcPr/>
                <w:p>
                  <w:pPr>
                    <w:pStyle w:val="Compact"/>
                    <w:jc w:val="center"/>
                    <w:jc w:val="center"/>
                  </w:pPr>
                  <w:r>
                    <w:t xml:space="preserve">All objects</w:t>
                  </w:r>
                </w:p>
              </w:tc>
            </w:tr>
            <w:tr>
              <w:tc>
                <w:tcPr/>
                <w:p>
                  <w:pPr>
                    <w:pStyle w:val="Compact"/>
                    <w:jc w:val="left"/>
                    <w:jc w:val="center"/>
                  </w:pPr>
                  <w:r>
                    <w:t xml:space="preserve">Aur-P2</w:t>
                  </w:r>
                </w:p>
              </w:tc>
              <w:tc>
                <w:tcPr/>
                <w:p>
                  <w:pPr>
                    <w:pStyle w:val="Compact"/>
                    <w:jc w:val="left"/>
                    <w:jc w:val="center"/>
                  </w:pPr>
                  <w:r>
                    <w:t xml:space="preserve">8</w:t>
                  </w:r>
                </w:p>
              </w:tc>
              <w:tc>
                <w:tcPr/>
                <w:p>
                  <w:pPr>
                    <w:pStyle w:val="Compact"/>
                    <w:jc w:val="center"/>
                    <w:jc w:val="center"/>
                  </w:pPr>
                  <w:r>
                    <w:t xml:space="preserve">17</w:t>
                  </w:r>
                </w:p>
              </w:tc>
              <w:tc>
                <w:tcPr/>
                <w:p>
                  <w:pPr>
                    <w:pStyle w:val="Compact"/>
                    <w:jc w:val="center"/>
                    <w:jc w:val="center"/>
                  </w:pPr>
                  <w:r>
                    <w:t xml:space="preserve">0.607</w:t>
                  </w:r>
                </w:p>
              </w:tc>
              <w:tc>
                <w:tcPr/>
                <w:p>
                  <w:pPr>
                    <w:pStyle w:val="Compact"/>
                    <w:jc w:val="center"/>
                    <w:jc w:val="center"/>
                  </w:pPr>
                  <w:r>
                    <w:t xml:space="preserve">4.25</w:t>
                  </w:r>
                </w:p>
              </w:tc>
              <w:tc>
                <w:tcPr/>
                <w:p>
                  <w:pPr>
                    <w:pStyle w:val="Compact"/>
                    <w:jc w:val="center"/>
                    <w:jc w:val="center"/>
                  </w:pPr>
                  <w:r>
                    <w:t xml:space="preserve">0.636</w:t>
                  </w:r>
                </w:p>
              </w:tc>
              <w:tc>
                <w:tcPr/>
                <w:p>
                  <w:pPr>
                    <w:pStyle w:val="Compact"/>
                    <w:jc w:val="center"/>
                    <w:jc w:val="center"/>
                  </w:pPr>
                  <w:r>
                    <w:t xml:space="preserve">0.125</w:t>
                  </w:r>
                </w:p>
              </w:tc>
              <w:tc>
                <w:tcPr/>
                <w:p>
                  <w:pPr>
                    <w:pStyle w:val="Compact"/>
                    <w:jc w:val="center"/>
                    <w:jc w:val="center"/>
                  </w:pPr>
                  <w:r>
                    <w:t xml:space="preserve">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0.699</w:t>
                  </w:r>
                </w:p>
              </w:tc>
              <w:tc>
                <w:tcPr/>
                <w:p>
                  <w:pPr>
                    <w:pStyle w:val="Compact"/>
                    <w:jc w:val="center"/>
                    <w:jc w:val="center"/>
                  </w:pPr>
                  <w:r>
                    <w:t xml:space="preserve">0.324</w:t>
                  </w:r>
                </w:p>
              </w:tc>
              <w:tc>
                <w:tcPr/>
                <w:p>
                  <w:pPr>
                    <w:pStyle w:val="Compact"/>
                    <w:jc w:val="center"/>
                    <w:jc w:val="center"/>
                  </w:pPr>
                  <w:r>
                    <w:t xml:space="preserve">Excluding figurines</w:t>
                  </w:r>
                </w:p>
              </w:tc>
            </w:tr>
            <w:tr>
              <w:tc>
                <w:tcPr/>
                <w:p>
                  <w:pPr>
                    <w:pStyle w:val="Compact"/>
                    <w:jc w:val="left"/>
                    <w:jc w:val="center"/>
                  </w:pPr>
                  <w:r>
                    <w:t xml:space="preserve">Aur-P2</w:t>
                  </w:r>
                </w:p>
              </w:tc>
              <w:tc>
                <w:tcPr/>
                <w:p>
                  <w:pPr>
                    <w:pStyle w:val="Compact"/>
                    <w:jc w:val="left"/>
                    <w:jc w:val="center"/>
                  </w:pPr>
                  <w:r>
                    <w:t xml:space="preserve">8</w:t>
                  </w:r>
                </w:p>
              </w:tc>
              <w:tc>
                <w:tcPr/>
                <w:p>
                  <w:pPr>
                    <w:pStyle w:val="Compact"/>
                    <w:jc w:val="center"/>
                    <w:jc w:val="center"/>
                  </w:pPr>
                  <w:r>
                    <w:t xml:space="preserve">17</w:t>
                  </w:r>
                </w:p>
              </w:tc>
              <w:tc>
                <w:tcPr/>
                <w:p>
                  <w:pPr>
                    <w:pStyle w:val="Compact"/>
                    <w:jc w:val="center"/>
                    <w:jc w:val="center"/>
                  </w:pPr>
                  <w:r>
                    <w:t xml:space="preserve">0.607</w:t>
                  </w:r>
                </w:p>
              </w:tc>
              <w:tc>
                <w:tcPr/>
                <w:p>
                  <w:pPr>
                    <w:pStyle w:val="Compact"/>
                    <w:jc w:val="center"/>
                    <w:jc w:val="center"/>
                  </w:pPr>
                  <w:r>
                    <w:t xml:space="preserve">4.25</w:t>
                  </w:r>
                </w:p>
              </w:tc>
              <w:tc>
                <w:tcPr/>
                <w:p>
                  <w:pPr>
                    <w:pStyle w:val="Compact"/>
                    <w:jc w:val="center"/>
                    <w:jc w:val="center"/>
                  </w:pPr>
                  <w:r>
                    <w:t xml:space="preserve">0.636</w:t>
                  </w:r>
                </w:p>
              </w:tc>
              <w:tc>
                <w:tcPr/>
                <w:p>
                  <w:pPr>
                    <w:pStyle w:val="Compact"/>
                    <w:jc w:val="center"/>
                    <w:jc w:val="center"/>
                  </w:pPr>
                  <w:r>
                    <w:t xml:space="preserve">0.125</w:t>
                  </w:r>
                </w:p>
              </w:tc>
              <w:tc>
                <w:tcPr/>
                <w:p>
                  <w:pPr>
                    <w:pStyle w:val="Compact"/>
                    <w:jc w:val="center"/>
                    <w:jc w:val="center"/>
                  </w:pPr>
                  <w:r>
                    <w:t xml:space="preserve">Excluding figurines</w:t>
                  </w:r>
                </w:p>
              </w:tc>
            </w:tr>
          </w:tbl>
          <w:p>
            <w:pPr>
              <w:jc w:val="center"/>
            </w:pPr>
            <w:pPr>
              <w:jc w:val="start"/>
              <w:spacing w:before="200"/>
              <w:pStyle w:val="ImageCaption"/>
            </w:pPr>
            <w:r>
              <w:t xml:space="preserve">Table 23: Network statistics before and after excluding all figurine objects (figurine zoomorph, figurine anthropomorph, figurine undet., and possible figurine). Threshold = 0.2, Jaccard similarity.</w:t>
            </w:r>
          </w:p>
          <w:bookmarkEnd w:id="14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46"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8</w:t>
                  </w:r>
                </w:p>
              </w:tc>
              <w:tc>
                <w:tcPr/>
                <w:p>
                  <w:pPr>
                    <w:pStyle w:val="Compact"/>
                    <w:jc w:val="right"/>
                    <w:jc w:val="center"/>
                  </w:pPr>
                  <w:r>
                    <w:t xml:space="preserve">0</w:t>
                  </w:r>
                </w:p>
              </w:tc>
            </w:tr>
          </w:tbl>
          <w:p>
            <w:pPr>
              <w:jc w:val="center"/>
            </w:pPr>
            <w:pPr>
              <w:jc w:val="start"/>
              <w:spacing w:before="200"/>
              <w:pStyle w:val="ImageCaption"/>
            </w:pPr>
            <w:r>
              <w:t xml:space="preserve">Table 24: Number of sites per phase before and after figurine exclusion. Sites are lost when all objects at that site are figurines.</w:t>
            </w:r>
          </w:p>
          <w:bookmarkEnd w:id="146"/>
        </w:tc>
      </w:tr>
    </w:tbl>
    <w:bookmarkEnd w:id="147"/>
    <w:bookmarkStart w:id="148" w:name="interpretation-3"/>
    <w:p>
      <w:pPr>
        <w:pStyle w:val="Heading3"/>
      </w:pPr>
      <w:r>
        <w:t xml:space="preserve">Interpretation</w:t>
      </w:r>
    </w:p>
    <w:p>
      <w:pPr>
        <w:pStyle w:val="FirstParagraph"/>
      </w:pPr>
      <w:r>
        <w:t xml:space="preserve">Excluding all 63 figurines has no effect on the Aur-P1 network: mean degree is unchanged (7.50 → 7.50), all 75 edges are retained, and no sites are lost (all 20 sites retained). Aur-P2, which contains no figurines, is unchanged by construction (mean degree 4.25, 17 edges, 8 sites). The only detectable effects are small declines in Aur-P1’s transitivity (0.711 → 0.699) and modularity (0.332 → 0.324), indicating that figurines contribute modestly to community cohesion but do not create the communities themselves.</w:t>
      </w:r>
    </w:p>
    <w:p>
      <w:pPr>
        <w:pStyle w:val="BodyText"/>
      </w:pPr>
      <w:r>
        <w:t xml:space="preserve">Critically, Aur-P1 retains the higher mean degree (7.50) under figurine exclusion, preserving the main-text ordering Aur-P1 &gt; Aur-P2 (7.50 &gt; 4.25). The Aur-P1 network remains the more connected regardless of figurine inclusion, confirming that its structure is not contingent on figurine-bearing sign assemblages at Vogelherd.</w:t>
      </w:r>
    </w:p>
    <w:bookmarkEnd w:id="148"/>
    <w:bookmarkEnd w:id="149"/>
    <w:bookmarkStart w:id="154" w:name="X7549e60451b9f7bbee640100d361a0cf771ac62"/>
    <w:p>
      <w:pPr>
        <w:pStyle w:val="Heading2"/>
      </w:pPr>
      <w:r>
        <w:t xml:space="preserve">S7.4 Analysis 2: Exclude Vogelherd Figurines Only</w:t>
      </w:r>
    </w:p>
    <w:bookmarkStart w:id="152" w:name="method-1"/>
    <w:p>
      <w:pPr>
        <w:pStyle w:val="Heading3"/>
      </w:pPr>
      <w:r>
        <w:t xml:space="preserve">Method</w:t>
      </w:r>
    </w:p>
    <w:p>
      <w:pPr>
        <w:pStyle w:val="FirstParagraph"/>
      </w:pP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150" w:name="tbl-vogelherd-exclude"/>
          <w:tbl>
            <w:tblPr>
              <w:tblStyle w:val="Table"/>
              <w:tblW w:type="pct" w:w="5000"/>
              <w:tblLook w:firstRow="1" w:lastRow="0" w:firstColumn="0" w:lastColumn="0" w:noHBand="0" w:noVBand="0" w:val="0020"/>
              <w:jc w:val="start"/>
              <w:tblLayout w:type="fixed"/>
            </w:tblPr>
            <w:tblGrid>
              <w:gridCol w:w="583"/>
              <w:gridCol w:w="500"/>
              <w:gridCol w:w="583"/>
              <w:gridCol w:w="750"/>
              <w:gridCol w:w="1083"/>
              <w:gridCol w:w="1167"/>
              <w:gridCol w:w="1000"/>
              <w:gridCol w:w="2250"/>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0.332</w:t>
                  </w:r>
                </w:p>
              </w:tc>
              <w:tc>
                <w:tcPr/>
                <w:p>
                  <w:pPr>
                    <w:pStyle w:val="Compact"/>
                    <w:jc w:val="center"/>
                    <w:jc w:val="center"/>
                  </w:pPr>
                  <w:r>
                    <w:t xml:space="preserve">All objects</w:t>
                  </w:r>
                </w:p>
              </w:tc>
            </w:tr>
            <w:tr>
              <w:tc>
                <w:tcPr/>
                <w:p>
                  <w:pPr>
                    <w:pStyle w:val="Compact"/>
                    <w:jc w:val="left"/>
                    <w:jc w:val="center"/>
                  </w:pPr>
                  <w:r>
                    <w:t xml:space="preserve">Aur-P2</w:t>
                  </w:r>
                </w:p>
              </w:tc>
              <w:tc>
                <w:tcPr/>
                <w:p>
                  <w:pPr>
                    <w:pStyle w:val="Compact"/>
                    <w:jc w:val="left"/>
                    <w:jc w:val="center"/>
                  </w:pPr>
                  <w:r>
                    <w:t xml:space="preserve">8</w:t>
                  </w:r>
                </w:p>
              </w:tc>
              <w:tc>
                <w:tcPr/>
                <w:p>
                  <w:pPr>
                    <w:pStyle w:val="Compact"/>
                    <w:jc w:val="center"/>
                    <w:jc w:val="center"/>
                  </w:pPr>
                  <w:r>
                    <w:t xml:space="preserve">17</w:t>
                  </w:r>
                </w:p>
              </w:tc>
              <w:tc>
                <w:tcPr/>
                <w:p>
                  <w:pPr>
                    <w:pStyle w:val="Compact"/>
                    <w:jc w:val="center"/>
                    <w:jc w:val="center"/>
                  </w:pPr>
                  <w:r>
                    <w:t xml:space="preserve">0.607</w:t>
                  </w:r>
                </w:p>
              </w:tc>
              <w:tc>
                <w:tcPr/>
                <w:p>
                  <w:pPr>
                    <w:pStyle w:val="Compact"/>
                    <w:jc w:val="center"/>
                    <w:jc w:val="center"/>
                  </w:pPr>
                  <w:r>
                    <w:t xml:space="preserve">4.25</w:t>
                  </w:r>
                </w:p>
              </w:tc>
              <w:tc>
                <w:tcPr/>
                <w:p>
                  <w:pPr>
                    <w:pStyle w:val="Compact"/>
                    <w:jc w:val="center"/>
                    <w:jc w:val="center"/>
                  </w:pPr>
                  <w:r>
                    <w:t xml:space="preserve">0.636</w:t>
                  </w:r>
                </w:p>
              </w:tc>
              <w:tc>
                <w:tcPr/>
                <w:p>
                  <w:pPr>
                    <w:pStyle w:val="Compact"/>
                    <w:jc w:val="center"/>
                    <w:jc w:val="center"/>
                  </w:pPr>
                  <w:r>
                    <w:t xml:space="preserve">0.125</w:t>
                  </w:r>
                </w:p>
              </w:tc>
              <w:tc>
                <w:tcPr/>
                <w:p>
                  <w:pPr>
                    <w:pStyle w:val="Compact"/>
                    <w:jc w:val="center"/>
                    <w:jc w:val="center"/>
                  </w:pPr>
                  <w:r>
                    <w:t xml:space="preserve">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0.328</w:t>
                  </w:r>
                </w:p>
              </w:tc>
              <w:tc>
                <w:tcPr/>
                <w:p>
                  <w:pPr>
                    <w:pStyle w:val="Compact"/>
                    <w:jc w:val="center"/>
                    <w:jc w:val="center"/>
                  </w:pPr>
                  <w:r>
                    <w:t xml:space="preserve">Excl. Vogelherd figurines</w:t>
                  </w:r>
                </w:p>
              </w:tc>
            </w:tr>
            <w:tr>
              <w:tc>
                <w:tcPr/>
                <w:p>
                  <w:pPr>
                    <w:pStyle w:val="Compact"/>
                    <w:jc w:val="left"/>
                    <w:jc w:val="center"/>
                  </w:pPr>
                  <w:r>
                    <w:t xml:space="preserve">Aur-P2</w:t>
                  </w:r>
                </w:p>
              </w:tc>
              <w:tc>
                <w:tcPr/>
                <w:p>
                  <w:pPr>
                    <w:pStyle w:val="Compact"/>
                    <w:jc w:val="left"/>
                    <w:jc w:val="center"/>
                  </w:pPr>
                  <w:r>
                    <w:t xml:space="preserve">8</w:t>
                  </w:r>
                </w:p>
              </w:tc>
              <w:tc>
                <w:tcPr/>
                <w:p>
                  <w:pPr>
                    <w:pStyle w:val="Compact"/>
                    <w:jc w:val="center"/>
                    <w:jc w:val="center"/>
                  </w:pPr>
                  <w:r>
                    <w:t xml:space="preserve">17</w:t>
                  </w:r>
                </w:p>
              </w:tc>
              <w:tc>
                <w:tcPr/>
                <w:p>
                  <w:pPr>
                    <w:pStyle w:val="Compact"/>
                    <w:jc w:val="center"/>
                    <w:jc w:val="center"/>
                  </w:pPr>
                  <w:r>
                    <w:t xml:space="preserve">0.607</w:t>
                  </w:r>
                </w:p>
              </w:tc>
              <w:tc>
                <w:tcPr/>
                <w:p>
                  <w:pPr>
                    <w:pStyle w:val="Compact"/>
                    <w:jc w:val="center"/>
                    <w:jc w:val="center"/>
                  </w:pPr>
                  <w:r>
                    <w:t xml:space="preserve">4.25</w:t>
                  </w:r>
                </w:p>
              </w:tc>
              <w:tc>
                <w:tcPr/>
                <w:p>
                  <w:pPr>
                    <w:pStyle w:val="Compact"/>
                    <w:jc w:val="center"/>
                    <w:jc w:val="center"/>
                  </w:pPr>
                  <w:r>
                    <w:t xml:space="preserve">0.636</w:t>
                  </w:r>
                </w:p>
              </w:tc>
              <w:tc>
                <w:tcPr/>
                <w:p>
                  <w:pPr>
                    <w:pStyle w:val="Compact"/>
                    <w:jc w:val="center"/>
                    <w:jc w:val="center"/>
                  </w:pPr>
                  <w:r>
                    <w:t xml:space="preserve">0.125</w:t>
                  </w:r>
                </w:p>
              </w:tc>
              <w:tc>
                <w:tcPr/>
                <w:p>
                  <w:pPr>
                    <w:pStyle w:val="Compact"/>
                    <w:jc w:val="center"/>
                    <w:jc w:val="center"/>
                  </w:pPr>
                  <w:r>
                    <w:t xml:space="preserve">Excl. Vogelherd figurines</w:t>
                  </w:r>
                </w:p>
              </w:tc>
            </w:tr>
          </w:tbl>
          <w:p>
            <w:pPr>
              <w:jc w:val="center"/>
            </w:pPr>
            <w:pPr>
              <w:jc w:val="start"/>
              <w:spacing w:before="200"/>
              <w:pStyle w:val="ImageCaption"/>
            </w:pPr>
            <w:r>
              <w:t xml:space="preserve">Table 25: Network statistics before and after excluding figurines from Vogelherd only. All other figurines (Hohle Fels, Geissenklösterle, Hohlenstein-Stadel, La Ferrassie) are retained. Threshold = 0.2, Jaccard similarity.</w:t>
            </w:r>
          </w:p>
          <w:bookmarkEnd w:id="15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51"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26: Vogelherd object counts before and after removing figurines. Non-figurine objects at Vogelherd (tools, plaquettes, etc.) are retained.</w:t>
            </w:r>
          </w:p>
          <w:bookmarkEnd w:id="151"/>
        </w:tc>
      </w:tr>
    </w:tbl>
    <w:bookmarkEnd w:id="152"/>
    <w:bookmarkStart w:id="153" w:name="interpretation-4"/>
    <w:p>
      <w:pPr>
        <w:pStyle w:val="Heading3"/>
      </w:pPr>
      <w:r>
        <w:t xml:space="preserve">Interpretation</w:t>
      </w:r>
    </w:p>
    <w:p>
      <w:pPr>
        <w:pStyle w:val="FirstParagraph"/>
      </w:pPr>
      <w:r>
        <w:t xml:space="preserve">Removing only Vogelherd’s figurines (50 objects: 173 → 123 in Aur-P1) has a negligible effect on Aur-P1: mean degree drops from 7.50 to 7.40 (−1.3%), one edge is lost (75 → 74), and modularity decreases from 0.332 to 0.328. Aur-P2 shows no change whatsoever (mean degree 4.25 → 4.25, modularity 0.125 → 0.125), confirming that Vogelherd figurines do not contribute to network structure in the later phase.</w:t>
      </w:r>
    </w:p>
    <w:p>
      <w:pPr>
        <w:pStyle w:val="BodyText"/>
      </w:pPr>
      <w:r>
        <w:t xml:space="preserve">The effect of removing Vogelherd figurines alone (−1.3% in Aur-P1) is comparable to removing all 63 figurines globally (0%), and in both cases the network is essentially unchanged. The figurine effect therefore does not scale with the number of figurines removed; figurines at Hohle Fels (8), Geissenklösterle (3), Hohlenstein-Stadel (1), and La Ferrassie (1) do not alter the network structure, and Vogelherd’s connectivity within Aur-P1 is carried by its 123 non-figurine objects.</w:t>
      </w:r>
    </w:p>
    <w:bookmarkEnd w:id="153"/>
    <w:bookmarkEnd w:id="154"/>
    <w:bookmarkStart w:id="156" w:name="s7.5-joint-comparison"/>
    <w:p>
      <w:pPr>
        <w:pStyle w:val="Heading2"/>
      </w:pPr>
      <w:r>
        <w:t xml:space="preserve">S7.5 Joint Comparison</w:t>
      </w:r>
    </w:p>
    <w:tbl>
      <w:tblPr>
        <w:tblStyle w:val="Table"/>
        <w:tblW w:type="pct" w:w="5000"/>
        <w:tblLook w:firstRow="0" w:lastRow="0" w:firstColumn="0" w:lastColumn="0" w:noHBand="0" w:noVBand="0" w:val="0000"/>
        <w:jc w:val="start"/>
        <w:tblLayout w:type="fixed"/>
      </w:tblPr>
      <w:tblGrid>
        <w:gridCol w:w="7920"/>
      </w:tblGrid>
      <w:tr>
        <w:tc>
          <w:tcPr/>
          <w:bookmarkStart w:id="155" w:name="tbl-objtype-joint"/>
          <w:tbl>
            <w:tblPr>
              <w:tblStyle w:val="Table"/>
              <w:tblW w:type="pct" w:w="5000"/>
              <w:tblLook w:firstRow="1" w:lastRow="0" w:firstColumn="0" w:lastColumn="0" w:noHBand="0" w:noVBand="0" w:val="0020"/>
              <w:jc w:val="start"/>
              <w:tblLayout w:type="fixed"/>
            </w:tblPr>
            <w:tblGrid>
              <w:gridCol w:w="554"/>
              <w:gridCol w:w="2217"/>
              <w:gridCol w:w="475"/>
              <w:gridCol w:w="554"/>
              <w:gridCol w:w="1029"/>
              <w:gridCol w:w="1108"/>
              <w:gridCol w:w="950"/>
              <w:gridCol w:w="102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0.332</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8</w:t>
                  </w:r>
                </w:p>
              </w:tc>
              <w:tc>
                <w:tcPr/>
                <w:p>
                  <w:pPr>
                    <w:pStyle w:val="Compact"/>
                    <w:jc w:val="center"/>
                    <w:jc w:val="center"/>
                  </w:pPr>
                  <w:r>
                    <w:t xml:space="preserve">17</w:t>
                  </w:r>
                </w:p>
              </w:tc>
              <w:tc>
                <w:tcPr/>
                <w:p>
                  <w:pPr>
                    <w:pStyle w:val="Compact"/>
                    <w:jc w:val="center"/>
                    <w:jc w:val="center"/>
                  </w:pPr>
                  <w:r>
                    <w:t xml:space="preserve">4.25</w:t>
                  </w:r>
                </w:p>
              </w:tc>
              <w:tc>
                <w:tcPr/>
                <w:p>
                  <w:pPr>
                    <w:pStyle w:val="Compact"/>
                    <w:jc w:val="center"/>
                    <w:jc w:val="center"/>
                  </w:pPr>
                  <w:r>
                    <w:t xml:space="preserve">0.636</w:t>
                  </w:r>
                </w:p>
              </w:tc>
              <w:tc>
                <w:tcPr/>
                <w:p>
                  <w:pPr>
                    <w:pStyle w:val="Compact"/>
                    <w:jc w:val="center"/>
                    <w:jc w:val="center"/>
                  </w:pPr>
                  <w:r>
                    <w:t xml:space="preserve">0.125</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0.699</w:t>
                  </w:r>
                </w:p>
              </w:tc>
              <w:tc>
                <w:tcPr/>
                <w:p>
                  <w:pPr>
                    <w:pStyle w:val="Compact"/>
                    <w:jc w:val="center"/>
                    <w:jc w:val="center"/>
                  </w:pPr>
                  <w:r>
                    <w:t xml:space="preserve">0.324</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8</w:t>
                  </w:r>
                </w:p>
              </w:tc>
              <w:tc>
                <w:tcPr/>
                <w:p>
                  <w:pPr>
                    <w:pStyle w:val="Compact"/>
                    <w:jc w:val="center"/>
                    <w:jc w:val="center"/>
                  </w:pPr>
                  <w:r>
                    <w:t xml:space="preserve">17</w:t>
                  </w:r>
                </w:p>
              </w:tc>
              <w:tc>
                <w:tcPr/>
                <w:p>
                  <w:pPr>
                    <w:pStyle w:val="Compact"/>
                    <w:jc w:val="center"/>
                    <w:jc w:val="center"/>
                  </w:pPr>
                  <w:r>
                    <w:t xml:space="preserve">4.25</w:t>
                  </w:r>
                </w:p>
              </w:tc>
              <w:tc>
                <w:tcPr/>
                <w:p>
                  <w:pPr>
                    <w:pStyle w:val="Compact"/>
                    <w:jc w:val="center"/>
                    <w:jc w:val="center"/>
                  </w:pPr>
                  <w:r>
                    <w:t xml:space="preserve">0.636</w:t>
                  </w:r>
                </w:p>
              </w:tc>
              <w:tc>
                <w:tcPr/>
                <w:p>
                  <w:pPr>
                    <w:pStyle w:val="Compact"/>
                    <w:jc w:val="center"/>
                    <w:jc w:val="center"/>
                  </w:pPr>
                  <w:r>
                    <w:t xml:space="preserve">0.125</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0.328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8</w:t>
                  </w:r>
                </w:p>
              </w:tc>
              <w:tc>
                <w:tcPr/>
                <w:p>
                  <w:pPr>
                    <w:pStyle w:val="Compact"/>
                    <w:jc w:val="center"/>
                    <w:jc w:val="center"/>
                  </w:pPr>
                  <w:r>
                    <w:t xml:space="preserve">17</w:t>
                  </w:r>
                </w:p>
              </w:tc>
              <w:tc>
                <w:tcPr/>
                <w:p>
                  <w:pPr>
                    <w:pStyle w:val="Compact"/>
                    <w:jc w:val="center"/>
                    <w:jc w:val="center"/>
                  </w:pPr>
                  <w:r>
                    <w:t xml:space="preserve">4.25</w:t>
                  </w:r>
                </w:p>
              </w:tc>
              <w:tc>
                <w:tcPr/>
                <w:p>
                  <w:pPr>
                    <w:pStyle w:val="Compact"/>
                    <w:jc w:val="center"/>
                    <w:jc w:val="center"/>
                  </w:pPr>
                  <w:r>
                    <w:t xml:space="preserve">0.636</w:t>
                  </w:r>
                </w:p>
              </w:tc>
              <w:tc>
                <w:tcPr/>
                <w:p>
                  <w:pPr>
                    <w:pStyle w:val="Compact"/>
                    <w:jc w:val="center"/>
                    <w:jc w:val="center"/>
                  </w:pPr>
                  <w:r>
                    <w:t xml:space="preserve">0.125</w:t>
                  </w:r>
                </w:p>
              </w:tc>
              <w:tc>
                <w:tcPr/>
                <w:p>
                  <w:pPr>
                    <w:pStyle w:val="Compact"/>
                    <w:jc w:val="center"/>
                    <w:jc w:val="center"/>
                  </w:pPr>
                  <w:r>
                    <w:t xml:space="preserve">0.0</w:t>
                  </w:r>
                </w:p>
              </w:tc>
            </w:tr>
          </w:tbl>
          <w:p>
            <w:pPr>
              <w:jc w:val="center"/>
            </w:pPr>
            <w:pPr>
              <w:jc w:val="start"/>
              <w:spacing w:before="200"/>
              <w:pStyle w:val="ImageCaption"/>
            </w:pPr>
            <w:r>
              <w:t xml:space="preserve">Table 27: Side-by-side comparison of network statistics across all conditions: baseline (all objects), exclude all figurines, and exclude Vogelherd figurines only. The rightmost columns show the percentage change in mean degree from baseline.</w:t>
            </w:r>
          </w:p>
          <w:bookmarkEnd w:id="155"/>
        </w:tc>
      </w:tr>
    </w:tbl>
    <w:bookmarkEnd w:id="156"/>
    <w:bookmarkStart w:id="157" w:name="s7.6-interpretation"/>
    <w:p>
      <w:pPr>
        <w:pStyle w:val="Heading2"/>
      </w:pPr>
      <w:r>
        <w:t xml:space="preserve">S7.6 Interpretation</w:t>
      </w:r>
    </w:p>
    <w:p>
      <w:pPr>
        <w:pStyle w:val="FirstParagraph"/>
      </w:pPr>
      <w:r>
        <w:t xml:space="preserve">The joint comparison in</w:t>
      </w:r>
      <w:r>
        <w:t xml:space="preserve"> </w:t>
      </w:r>
      <w:hyperlink w:anchor="tbl-objtype-joint">
        <w:r>
          <w:rPr>
            <w:rStyle w:val="Hyperlink"/>
          </w:rPr>
          <w:t xml:space="preserve">Table 27</w:t>
        </w:r>
      </w:hyperlink>
      <w:r>
        <w:t xml:space="preserve"> </w:t>
      </w:r>
      <w:r>
        <w:t xml:space="preserve">shows that figurine exclusion has a modest and phase-dependent effect on network structure: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Phase</w:t>
            </w:r>
          </w:p>
        </w:tc>
        <w:tc>
          <w:tcPr/>
          <w:p>
            <w:pPr>
              <w:pStyle w:val="Compact"/>
              <w:jc w:val="left"/>
            </w:pPr>
            <w:r>
              <w:t xml:space="preserve">Baseline mean°</w:t>
            </w:r>
          </w:p>
        </w:tc>
        <w:tc>
          <w:tcPr/>
          <w:p>
            <w:pPr>
              <w:pStyle w:val="Compact"/>
              <w:jc w:val="left"/>
            </w:pPr>
            <w:r>
              <w:t xml:space="preserve">No figurines</w:t>
            </w:r>
          </w:p>
        </w:tc>
        <w:tc>
          <w:tcPr/>
          <w:p>
            <w:pPr>
              <w:pStyle w:val="Compact"/>
              <w:jc w:val="left"/>
            </w:pPr>
            <w:r>
              <w:t xml:space="preserve">Δ</w:t>
            </w:r>
          </w:p>
        </w:tc>
        <w:tc>
          <w:tcPr/>
          <w:p>
            <w:pPr>
              <w:pStyle w:val="Compact"/>
              <w:jc w:val="left"/>
            </w:pPr>
            <w:r>
              <w:t xml:space="preserve">Vogelherd only</w:t>
            </w:r>
          </w:p>
        </w:tc>
        <w:tc>
          <w:tcPr/>
          <w:p>
            <w:pPr>
              <w:pStyle w:val="Compact"/>
              <w:jc w:val="left"/>
            </w:pPr>
            <w:r>
              <w:t xml:space="preserve">Δ</w:t>
            </w:r>
          </w:p>
        </w:tc>
      </w:tr>
      <w:tr>
        <w:tc>
          <w:tcPr/>
          <w:p>
            <w:pPr>
              <w:pStyle w:val="Compact"/>
              <w:jc w:val="left"/>
            </w:pPr>
            <w:r>
              <w:t xml:space="preserve">Aur-P1</w:t>
            </w:r>
          </w:p>
        </w:tc>
        <w:tc>
          <w:tcPr/>
          <w:p>
            <w:pPr>
              <w:pStyle w:val="Compact"/>
              <w:jc w:val="left"/>
            </w:pPr>
            <w:r>
              <w:t xml:space="preserve">7.50</w:t>
            </w:r>
          </w:p>
        </w:tc>
        <w:tc>
          <w:tcPr/>
          <w:p>
            <w:pPr>
              <w:pStyle w:val="Compact"/>
              <w:jc w:val="left"/>
            </w:pPr>
            <w:r>
              <w:t xml:space="preserve">7.50</w:t>
            </w:r>
          </w:p>
        </w:tc>
        <w:tc>
          <w:tcPr/>
          <w:p>
            <w:pPr>
              <w:pStyle w:val="Compact"/>
              <w:jc w:val="left"/>
            </w:pPr>
            <w:r>
              <w:t xml:space="preserve">0%</w:t>
            </w:r>
          </w:p>
        </w:tc>
        <w:tc>
          <w:tcPr/>
          <w:p>
            <w:pPr>
              <w:pStyle w:val="Compact"/>
              <w:jc w:val="left"/>
            </w:pPr>
            <w:r>
              <w:t xml:space="preserve">7.40</w:t>
            </w:r>
          </w:p>
        </w:tc>
        <w:tc>
          <w:tcPr/>
          <w:p>
            <w:pPr>
              <w:pStyle w:val="Compact"/>
              <w:jc w:val="left"/>
            </w:pPr>
            <w:r>
              <w:t xml:space="preserve">−1.3%</w:t>
            </w:r>
          </w:p>
        </w:tc>
      </w:tr>
      <w:tr>
        <w:tc>
          <w:tcPr/>
          <w:p>
            <w:pPr>
              <w:pStyle w:val="Compact"/>
              <w:jc w:val="left"/>
            </w:pPr>
            <w:r>
              <w:t xml:space="preserve">Aur-P2</w:t>
            </w:r>
          </w:p>
        </w:tc>
        <w:tc>
          <w:tcPr/>
          <w:p>
            <w:pPr>
              <w:pStyle w:val="Compact"/>
              <w:jc w:val="left"/>
            </w:pPr>
            <w:r>
              <w:t xml:space="preserve">4.25</w:t>
            </w:r>
          </w:p>
        </w:tc>
        <w:tc>
          <w:tcPr/>
          <w:p>
            <w:pPr>
              <w:pStyle w:val="Compact"/>
              <w:jc w:val="left"/>
            </w:pPr>
            <w:r>
              <w:t xml:space="preserve">4.25</w:t>
            </w:r>
          </w:p>
        </w:tc>
        <w:tc>
          <w:tcPr/>
          <w:p>
            <w:pPr>
              <w:pStyle w:val="Compact"/>
              <w:jc w:val="left"/>
            </w:pPr>
            <w:r>
              <w:t xml:space="preserve">0%</w:t>
            </w:r>
          </w:p>
        </w:tc>
        <w:tc>
          <w:tcPr/>
          <w:p>
            <w:pPr>
              <w:pStyle w:val="Compact"/>
              <w:jc w:val="left"/>
            </w:pPr>
            <w:r>
              <w:t xml:space="preserve">4.25</w:t>
            </w:r>
          </w:p>
        </w:tc>
        <w:tc>
          <w:tcPr/>
          <w:p>
            <w:pPr>
              <w:pStyle w:val="Compact"/>
              <w:jc w:val="left"/>
            </w:pPr>
            <w:r>
              <w:t xml:space="preserve">0%</w:t>
            </w:r>
          </w:p>
        </w:tc>
      </w:tr>
    </w:tbl>
    <w:p>
      <w:pPr>
        <w:pStyle w:val="BodyText"/>
      </w:pPr>
      <w:r>
        <w:rPr>
          <w:bCs/>
          <w:b/>
        </w:rPr>
        <w:t xml:space="preserve">Outcome observed: Negligible effect, no qualitative change.</w:t>
      </w:r>
      <w:r>
        <w:t xml:space="preserve"> </w:t>
      </w:r>
      <w:r>
        <w:t xml:space="preserve">Mean degree changes are at most −1.3% across both phases and all conditions, and excluding all figurines leaves Aur-P1’s edge set completely unchanged (75 edges, mean degree 7.50). Modularity decreases slightly for Aur-P1 when figurines are excluded (0.332 → 0.324 excluding all; 0.332 → 0.328 excluding Vogelherd only) while Aur-P2 is unchanged (0.125), indicating that figurines contribute marginally to within-group cohesion but do not create the community structure.</w:t>
      </w:r>
    </w:p>
    <w:p>
      <w:pPr>
        <w:pStyle w:val="BodyText"/>
      </w:pPr>
      <w:r>
        <w:rPr>
          <w:bCs/>
          <w:b/>
        </w:rPr>
        <w:t xml:space="preserve">Phase ordering is preserved.</w:t>
      </w:r>
      <w:r>
        <w:t xml:space="preserve"> </w:t>
      </w:r>
      <w:r>
        <w:t xml:space="preserve">The main-text connectivity contrast Aur-P1 &gt; Aur-P2 (7.50 &gt; 4.25) is unchanged under both exclusion scenarios (7.50 &gt; 4.25 excluding all figurines; 7.40 &gt; 4.25 excluding Vogelherd figurines only), preserving the key finding that the early phase is the more connected.</w:t>
      </w:r>
    </w:p>
    <w:p>
      <w:pPr>
        <w:pStyle w:val="BodyText"/>
      </w:pPr>
      <w:r>
        <w:rPr>
          <w:bCs/>
          <w:b/>
        </w:rPr>
        <w:t xml:space="preserve">The figurine effect is small and Vogelherd-specific.</w:t>
      </w:r>
      <w:r>
        <w:t xml:space="preserve"> </w:t>
      </w:r>
      <w:r>
        <w:t xml:space="preserve">Removing Vogelherd figurines alone (−1.3%) produces a similar, if slightly larger, effect than removing all 63 figurines globally (0%). Figurines at Hohle Fels, Geissenklösterle, Hohlenstein-Stadel, and La Ferrassie do not alter network structure. This indicates that although Vogelherd’s figurine assemblage is unusually rich — 50 of 63 figurines — and contributes disproportionately to sign-type counts, its 123 remaining non-figurine objects still carry a sufficiently diverse sign repertoire to maintain network connectivity.</w:t>
      </w:r>
    </w:p>
    <w:p>
      <w:pPr>
        <w:pStyle w:val="BodyText"/>
      </w:pPr>
      <w:r>
        <w:rPr>
          <w:bCs/>
          <w:b/>
        </w:rPr>
        <w:t xml:space="preserve">Conclusion.</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0.332 → 0.324), suggesting that figurines contribute modestly to community cohesion — consistent with Bentz and Dutkiewicz’s (2026) argument that figurines carry high-information sign sequences — but the communities themselves are defined by shared sign types across all object types.</w:t>
      </w:r>
    </w:p>
    <w:bookmarkEnd w:id="157"/>
    <w:bookmarkEnd w:id="158"/>
    <w:bookmarkStart w:id="179" w:name="sec-s8"/>
    <w:p>
      <w:pPr>
        <w:pStyle w:val="Heading1"/>
      </w:pPr>
      <w:r>
        <w:t xml:space="preserve">S8. Site Reclassification Sensitivity Analysis</w:t>
      </w:r>
    </w:p>
    <w:bookmarkStart w:id="159" w:name="s8.1-rationale"/>
    <w:p>
      <w:pPr>
        <w:pStyle w:val="Heading2"/>
      </w:pPr>
      <w:r>
        <w:t xml:space="preserve">S8.1 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3"/>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[1–3]</w:t>
      </w:r>
      <w:r>
        <w:t xml:space="preserve">. The site is classified as Aurignacian I (Early) in the Périgord sequence.</w:t>
      </w:r>
    </w:p>
    <w:p>
      <w:pPr>
        <w:numPr>
          <w:ilvl w:val="0"/>
          <w:numId w:val="1003"/>
        </w:numPr>
        <w:pStyle w:val="Compact"/>
      </w:pPr>
      <w:r>
        <w:rPr>
          <w:bCs/>
          <w:b/>
        </w:rPr>
        <w:t xml:space="preserve">La Ferrassie</w:t>
      </w:r>
      <w:r>
        <w:t xml:space="preserve">: The Aurignacian at La Ferrassie begins in Layer 7, directly overlying the Châtelperronian (Layer 6). Talamo et al. (2020) classify this as Early Aurignacian (Aur-P1) based on carinated scrapers and wide Aurignacian blades. No split-base bone points (Proto-Aurignacian diagnostic) were found</w:t>
      </w:r>
      <w:r>
        <w:t xml:space="preserve"> </w:t>
      </w:r>
      <w:r>
        <w:t xml:space="preserve">[4,5]</w:t>
      </w:r>
      <w:r>
        <w:t xml:space="preserve">. Layer 7b has mixed Early/Recent Aurignacian components.</w:t>
      </w:r>
    </w:p>
    <w:p>
      <w:pPr>
        <w:numPr>
          <w:ilvl w:val="0"/>
          <w:numId w:val="1003"/>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[6]</w:t>
      </w:r>
      <w:r>
        <w:t xml:space="preserve">. Direct dates of ~31 ka ¹⁴C BP (~35–36 cal BP) are too young for Proto-Aurignacian</w:t>
      </w:r>
      <w:r>
        <w:t xml:space="preserve"> </w:t>
      </w:r>
      <w:r>
        <w:t xml:space="preserve">[7]</w:t>
      </w:r>
      <w:r>
        <w:t xml:space="preserve">.</w:t>
      </w:r>
    </w:p>
    <w:p>
      <w:pPr>
        <w:numPr>
          <w:ilvl w:val="0"/>
          <w:numId w:val="1003"/>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[8]</w:t>
      </w:r>
      <w:r>
        <w:t xml:space="preserve">.</w:t>
      </w:r>
    </w:p>
    <w:p>
      <w:pPr>
        <w:pStyle w:val="FirstParagraph"/>
      </w:pPr>
      <w:r>
        <w:t xml:space="preserve">Because these attributions are load-bearing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w:t>
      </w:r>
    </w:p>
    <w:bookmarkEnd w:id="159"/>
    <w:bookmarkStart w:id="162" w:name="s8.2-results"/>
    <w:p>
      <w:pPr>
        <w:pStyle w:val="Heading2"/>
      </w:pPr>
      <w:r>
        <w:t xml:space="preserve">S8.2 Results</w:t>
      </w:r>
    </w:p>
    <w:tbl>
      <w:tblPr>
        <w:tblStyle w:val="Table"/>
        <w:tblW w:type="pct" w:w="5000"/>
        <w:tblLook w:firstRow="0" w:lastRow="0" w:firstColumn="0" w:lastColumn="0" w:noHBand="0" w:noVBand="0" w:val="0000"/>
        <w:jc w:val="start"/>
        <w:tblLayout w:type="fixed"/>
      </w:tblPr>
      <w:tblGrid>
        <w:gridCol w:w="7920"/>
      </w:tblGrid>
      <w:tr>
        <w:tc>
          <w:tcPr/>
          <w:bookmarkStart w:id="160"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0.332</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8</w:t>
                  </w:r>
                </w:p>
              </w:tc>
              <w:tc>
                <w:tcPr/>
                <w:p>
                  <w:pPr>
                    <w:pStyle w:val="Compact"/>
                    <w:jc w:val="center"/>
                    <w:jc w:val="center"/>
                  </w:pPr>
                  <w:r>
                    <w:t xml:space="preserve">17</w:t>
                  </w:r>
                </w:p>
              </w:tc>
              <w:tc>
                <w:tcPr/>
                <w:p>
                  <w:pPr>
                    <w:pStyle w:val="Compact"/>
                    <w:jc w:val="center"/>
                    <w:jc w:val="center"/>
                  </w:pPr>
                  <w:r>
                    <w:t xml:space="preserve">0.607</w:t>
                  </w:r>
                </w:p>
              </w:tc>
              <w:tc>
                <w:tcPr/>
                <w:p>
                  <w:pPr>
                    <w:pStyle w:val="Compact"/>
                    <w:jc w:val="center"/>
                    <w:jc w:val="center"/>
                  </w:pPr>
                  <w:r>
                    <w:t xml:space="preserve">4.25</w:t>
                  </w:r>
                </w:p>
              </w:tc>
              <w:tc>
                <w:tcPr/>
                <w:p>
                  <w:pPr>
                    <w:pStyle w:val="Compact"/>
                    <w:jc w:val="center"/>
                    <w:jc w:val="center"/>
                  </w:pPr>
                  <w:r>
                    <w:t xml:space="preserve">0.636</w:t>
                  </w:r>
                </w:p>
              </w:tc>
              <w:tc>
                <w:tcPr/>
                <w:p>
                  <w:pPr>
                    <w:pStyle w:val="Compact"/>
                    <w:jc w:val="center"/>
                    <w:jc w:val="center"/>
                  </w:pPr>
                  <w:r>
                    <w:t xml:space="preserve">0.125</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21</w:t>
                  </w:r>
                </w:p>
              </w:tc>
              <w:tc>
                <w:tcPr/>
                <w:p>
                  <w:pPr>
                    <w:pStyle w:val="Compact"/>
                    <w:jc w:val="center"/>
                    <w:jc w:val="center"/>
                  </w:pPr>
                  <w:r>
                    <w:t xml:space="preserve">90</w:t>
                  </w:r>
                </w:p>
              </w:tc>
              <w:tc>
                <w:tcPr/>
                <w:p>
                  <w:pPr>
                    <w:pStyle w:val="Compact"/>
                    <w:jc w:val="center"/>
                    <w:jc w:val="center"/>
                  </w:pPr>
                  <w:r>
                    <w:t xml:space="preserve">0.429</w:t>
                  </w:r>
                </w:p>
              </w:tc>
              <w:tc>
                <w:tcPr/>
                <w:p>
                  <w:pPr>
                    <w:pStyle w:val="Compact"/>
                    <w:jc w:val="center"/>
                    <w:jc w:val="center"/>
                  </w:pPr>
                  <w:r>
                    <w:t xml:space="preserve">8.57</w:t>
                  </w:r>
                </w:p>
              </w:tc>
              <w:tc>
                <w:tcPr/>
                <w:p>
                  <w:pPr>
                    <w:pStyle w:val="Compact"/>
                    <w:jc w:val="center"/>
                    <w:jc w:val="center"/>
                  </w:pPr>
                  <w:r>
                    <w:t xml:space="preserve">0.729</w:t>
                  </w:r>
                </w:p>
              </w:tc>
              <w:tc>
                <w:tcPr/>
                <w:p>
                  <w:pPr>
                    <w:pStyle w:val="Compact"/>
                    <w:jc w:val="center"/>
                    <w:jc w:val="center"/>
                  </w:pPr>
                  <w:r>
                    <w:t xml:space="preserve">0.303</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9</w:t>
                  </w:r>
                </w:p>
              </w:tc>
              <w:tc>
                <w:tcPr/>
                <w:p>
                  <w:pPr>
                    <w:pStyle w:val="Compact"/>
                    <w:jc w:val="center"/>
                    <w:jc w:val="center"/>
                  </w:pPr>
                  <w:r>
                    <w:t xml:space="preserve">15</w:t>
                  </w:r>
                </w:p>
              </w:tc>
              <w:tc>
                <w:tcPr/>
                <w:p>
                  <w:pPr>
                    <w:pStyle w:val="Compact"/>
                    <w:jc w:val="center"/>
                    <w:jc w:val="center"/>
                  </w:pPr>
                  <w:r>
                    <w:t xml:space="preserve">0.417</w:t>
                  </w:r>
                </w:p>
              </w:tc>
              <w:tc>
                <w:tcPr/>
                <w:p>
                  <w:pPr>
                    <w:pStyle w:val="Compact"/>
                    <w:jc w:val="center"/>
                    <w:jc w:val="center"/>
                  </w:pPr>
                  <w:r>
                    <w:t xml:space="preserve">3.33</w:t>
                  </w:r>
                </w:p>
              </w:tc>
              <w:tc>
                <w:tcPr/>
                <w:p>
                  <w:pPr>
                    <w:pStyle w:val="Compact"/>
                    <w:jc w:val="center"/>
                    <w:jc w:val="center"/>
                  </w:pPr>
                  <w:r>
                    <w:t xml:space="preserve">0.558</w:t>
                  </w:r>
                </w:p>
              </w:tc>
              <w:tc>
                <w:tcPr/>
                <w:p>
                  <w:pPr>
                    <w:pStyle w:val="Compact"/>
                    <w:jc w:val="center"/>
                    <w:jc w:val="center"/>
                  </w:pPr>
                  <w:r>
                    <w:t xml:space="preserve">0.343</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0.309</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8</w:t>
                  </w:r>
                </w:p>
              </w:tc>
              <w:tc>
                <w:tcPr/>
                <w:p>
                  <w:pPr>
                    <w:pStyle w:val="Compact"/>
                    <w:jc w:val="center"/>
                    <w:jc w:val="center"/>
                  </w:pPr>
                  <w:r>
                    <w:t xml:space="preserve">17</w:t>
                  </w:r>
                </w:p>
              </w:tc>
              <w:tc>
                <w:tcPr/>
                <w:p>
                  <w:pPr>
                    <w:pStyle w:val="Compact"/>
                    <w:jc w:val="center"/>
                    <w:jc w:val="center"/>
                  </w:pPr>
                  <w:r>
                    <w:t xml:space="preserve">0.607</w:t>
                  </w:r>
                </w:p>
              </w:tc>
              <w:tc>
                <w:tcPr/>
                <w:p>
                  <w:pPr>
                    <w:pStyle w:val="Compact"/>
                    <w:jc w:val="center"/>
                    <w:jc w:val="center"/>
                  </w:pPr>
                  <w:r>
                    <w:t xml:space="preserve">4.25</w:t>
                  </w:r>
                </w:p>
              </w:tc>
              <w:tc>
                <w:tcPr/>
                <w:p>
                  <w:pPr>
                    <w:pStyle w:val="Compact"/>
                    <w:jc w:val="center"/>
                    <w:jc w:val="center"/>
                  </w:pPr>
                  <w:r>
                    <w:t xml:space="preserve">0.636</w:t>
                  </w:r>
                </w:p>
              </w:tc>
              <w:tc>
                <w:tcPr/>
                <w:p>
                  <w:pPr>
                    <w:pStyle w:val="Compact"/>
                    <w:jc w:val="center"/>
                    <w:jc w:val="center"/>
                  </w:pPr>
                  <w:r>
                    <w:t xml:space="preserve">0.125</w:t>
                  </w:r>
                </w:p>
              </w:tc>
            </w:tr>
          </w:tbl>
          <w:p>
            <w:pPr>
              <w:jc w:val="center"/>
            </w:pPr>
            <w:pPr>
              <w:jc w:val="start"/>
              <w:spacing w:before="200"/>
              <w:pStyle w:val="ImageCaption"/>
            </w:pPr>
            <w:r>
              <w:t xml:space="preserve">Table 28: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160"/>
        </w:tc>
      </w:tr>
    </w:tbl>
    <w:bookmarkStart w:id="161" w:name="effects-by-condition"/>
    <w:p>
      <w:pPr>
        <w:pStyle w:val="Heading3"/>
      </w:pPr>
      <w:r>
        <w:t xml:space="preserve">Effects by condition</w:t>
      </w:r>
    </w:p>
    <w:p>
      <w:pPr>
        <w:pStyle w:val="FirstParagraph"/>
      </w:pPr>
      <w:r>
        <w:rPr>
          <w:bCs/>
          <w:b/>
        </w:rPr>
        <w:t xml:space="preserve">Date-based alternative (Analysis A).</w:t>
      </w:r>
      <w:r>
        <w:t xml:space="preserve"> </w:t>
      </w:r>
      <w:r>
        <w:t xml:space="preserve">Reverting to purely date-based criteria changes the membership of three sites. Mladeč moves from Aur-P2 to Aur-P1 (its ~35–36 ka BP (calibrated) dates fall in the Early Aurignacian range, which is folded into Aur-P1), while Hohle Fels and Vogelherd are split across the phases by object date: 21 of 50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21 sites and 90 edges (mean degree 8.57), while Aur-P2 — now missing Mladeč but containing 42 young-dated objects from Hohle Fels and Vogelherd — has 9 sites and 15 edges (mean degree 3.33).</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0.332 to 0.309. Aur-P2 is unaffected (4.25, 17 edges, 8 sites).</w:t>
      </w:r>
    </w:p>
    <w:bookmarkEnd w:id="161"/>
    <w:bookmarkEnd w:id="162"/>
    <w:bookmarkStart w:id="163" w:name="s8.3-phase-ordering-robustness"/>
    <w:p>
      <w:pPr>
        <w:pStyle w:val="Heading2"/>
      </w:pPr>
      <w:r>
        <w:t xml:space="preserve">S8.3 Phase-Ordering Robustness</w:t>
      </w:r>
    </w:p>
    <w:p>
      <w:pPr>
        <w:pStyle w:val="FirstParagraph"/>
      </w:pP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Condition</w:t>
            </w:r>
          </w:p>
        </w:tc>
        <w:tc>
          <w:tcPr/>
          <w:p>
            <w:pPr>
              <w:pStyle w:val="Compact"/>
              <w:jc w:val="left"/>
            </w:pPr>
            <w:r>
              <w:t xml:space="preserve">Aur-P1 mean°</w:t>
            </w:r>
          </w:p>
        </w:tc>
        <w:tc>
          <w:tcPr/>
          <w:p>
            <w:pPr>
              <w:pStyle w:val="Compact"/>
              <w:jc w:val="left"/>
            </w:pPr>
            <w:r>
              <w:t xml:space="preserve">Aur-P2 mean°</w:t>
            </w:r>
          </w:p>
        </w:tc>
        <w:tc>
          <w:tcPr/>
          <w:p>
            <w:pPr>
              <w:pStyle w:val="Compact"/>
              <w:jc w:val="left"/>
            </w:pPr>
            <w:r>
              <w:t xml:space="preserve">Ordering</w:t>
            </w:r>
          </w:p>
        </w:tc>
      </w:tr>
      <w:tr>
        <w:tc>
          <w:tcPr/>
          <w:p>
            <w:pPr>
              <w:pStyle w:val="Compact"/>
              <w:jc w:val="left"/>
            </w:pPr>
            <w:r>
              <w:t xml:space="preserve">Baseline (technology-based)</w:t>
            </w:r>
          </w:p>
        </w:tc>
        <w:tc>
          <w:tcPr/>
          <w:p>
            <w:pPr>
              <w:pStyle w:val="Compact"/>
              <w:jc w:val="left"/>
            </w:pPr>
            <w:r>
              <w:t xml:space="preserve">7.5</w:t>
            </w:r>
          </w:p>
        </w:tc>
        <w:tc>
          <w:tcPr/>
          <w:p>
            <w:pPr>
              <w:pStyle w:val="Compact"/>
              <w:jc w:val="left"/>
            </w:pPr>
            <w:r>
              <w:t xml:space="preserve">4.25</w:t>
            </w:r>
          </w:p>
        </w:tc>
        <w:tc>
          <w:tcPr/>
          <w:p>
            <w:pPr>
              <w:pStyle w:val="Compact"/>
              <w:jc w:val="left"/>
            </w:pPr>
            <w:r>
              <w:t xml:space="preserve">Aur-P1 &gt; Aur-P2</w:t>
            </w:r>
          </w:p>
        </w:tc>
      </w:tr>
      <w:tr>
        <w:tc>
          <w:tcPr/>
          <w:p>
            <w:pPr>
              <w:pStyle w:val="Compact"/>
              <w:jc w:val="left"/>
            </w:pPr>
            <w:r>
              <w:t xml:space="preserve">Date-based</w:t>
            </w:r>
          </w:p>
        </w:tc>
        <w:tc>
          <w:tcPr/>
          <w:p>
            <w:pPr>
              <w:pStyle w:val="Compact"/>
              <w:jc w:val="left"/>
            </w:pPr>
            <w:r>
              <w:t xml:space="preserve">8.57</w:t>
            </w:r>
          </w:p>
        </w:tc>
        <w:tc>
          <w:tcPr/>
          <w:p>
            <w:pPr>
              <w:pStyle w:val="Compact"/>
              <w:jc w:val="left"/>
            </w:pPr>
            <w:r>
              <w:t xml:space="preserve">3.33</w:t>
            </w:r>
          </w:p>
        </w:tc>
        <w:tc>
          <w:tcPr/>
          <w:p>
            <w:pPr>
              <w:pStyle w:val="Compact"/>
              <w:jc w:val="left"/>
            </w:pPr>
            <w:r>
              <w:t xml:space="preserve">Aur-P1 &gt; Aur-P2</w:t>
            </w:r>
          </w:p>
        </w:tc>
      </w:tr>
      <w:tr>
        <w:tc>
          <w:tcPr/>
          <w:p>
            <w:pPr>
              <w:pStyle w:val="Compact"/>
              <w:jc w:val="left"/>
            </w:pPr>
            <w:r>
              <w:t xml:space="preserve">Exclude Vogelherd</w:t>
            </w:r>
          </w:p>
        </w:tc>
        <w:tc>
          <w:tcPr/>
          <w:p>
            <w:pPr>
              <w:pStyle w:val="Compact"/>
              <w:jc w:val="left"/>
            </w:pPr>
            <w:r>
              <w:t xml:space="preserve">7.26</w:t>
            </w:r>
          </w:p>
        </w:tc>
        <w:tc>
          <w:tcPr/>
          <w:p>
            <w:pPr>
              <w:pStyle w:val="Compact"/>
              <w:jc w:val="left"/>
            </w:pPr>
            <w:r>
              <w:t xml:space="preserve">4.25</w:t>
            </w:r>
          </w:p>
        </w:tc>
        <w:tc>
          <w:tcPr/>
          <w:p>
            <w:pPr>
              <w:pStyle w:val="Compact"/>
              <w:jc w:val="left"/>
            </w:pPr>
            <w:r>
              <w:t xml:space="preserve">Aur-P1 &gt; Aur-P2</w:t>
            </w:r>
          </w:p>
        </w:tc>
      </w:tr>
    </w:tbl>
    <w:p>
      <w:pPr>
        <w:pStyle w:val="BodyText"/>
      </w:pPr>
      <w:r>
        <w:t xml:space="preserve">Under the date-based assignment Aur-P1’s mean degree rises (from 7.5 to 8.57) and Aur-P2’s falls (from 4.25 to 3.33), so the contrast is not an artefact of the technological reassignment — the naive date-based assignment, if anything, strengthens it. Excluding Vogelherd weakens but does not remove the contrast (7.26 vs 4.25).</w:t>
      </w:r>
    </w:p>
    <w:bookmarkEnd w:id="163"/>
    <w:bookmarkStart w:id="178" w:name="s8.4-interpretation"/>
    <w:p>
      <w:pPr>
        <w:pStyle w:val="Heading2"/>
      </w:pPr>
      <w:r>
        <w:t xml:space="preserve">S8.4 Interpretation</w:t>
      </w:r>
    </w:p>
    <w:p>
      <w:pPr>
        <w:pStyle w:val="FirstParagraph"/>
      </w:pPr>
      <w:r>
        <w:t xml:space="preserve">The robustness of the Aur-P1 &gt; Aur-P2 connectivity contrast to both the assignment criterion and to the removal of the largest site strengthens the main-text conclusion that the early phase supports a larger, more hub-centred sign-sharing network. The date-based alternative is a useful worst case: it fragments long-occupied sites across phases and moves Mladeč into Aur-P1, yet Aur-P1 remains the more connected phase.</w:t>
      </w:r>
    </w:p>
    <w:p>
      <w:pPr>
        <w:pStyle w:val="BodyText"/>
      </w:pPr>
      <w:r>
        <w:t xml:space="preserve">The observed between-phase modularity values are, however, assignment-sensitive: they reverse under the date-based assignment (Aur-P1 0.303 &lt; Aur-P2 0.343, versus 0.332 &gt; 0.125 at baseline). The main text’s between-phase modularity claim rests on the pairwise permutation test computed on the technology-based baseline adopted here, not on the raw modularity ordering, and S5.7 shows that the modularity confidence intervals overlap substantially (Aur-P2 rests on only 8 sites). We therefore recommend reading the between-phase contrast primarily as a difference in community structure demonstrated by the permutation test, rather than as a robust ordering of modularity values across alternative assignments.</w:t>
      </w:r>
    </w:p>
    <w:p>
      <w:pPr>
        <w:pStyle w:val="BodyText"/>
      </w:pPr>
      <w:r>
        <w:t xml:space="preserve">Excluding Vogelherd leaves the ordering intact, consistent with S7’s finding that Aur-P1’s network does not depend on a single site. Finally, the within-phase two-group structure (RQ1) — the restricted/broad dichotomy recovered by seriation, Louvain community detection, bootstrap consensus, and the stochastic block model (S5, S6) — is defined within each phase’s membership and is unaffected by the between-phase assignment criterion tested here.</w:t>
      </w:r>
    </w:p>
    <w:bookmarkStart w:id="177" w:name="refs"/>
    <w:bookmarkStart w:id="164" w:name="ref-Chiotti_2005"/>
    <w:p>
      <w:pPr>
        <w:pStyle w:val="Bibliography"/>
      </w:pPr>
      <w:r>
        <w:t xml:space="preserve">[1]</w:t>
      </w:r>
      <w:r>
        <w:t xml:space="preserve"> </w:t>
      </w:r>
      <w:r>
        <w:t xml:space="preserve">	</w:t>
      </w:r>
      <w:r>
        <w:t xml:space="preserve">Chiotti L. Les industries lithiques aurignaciennes de l’abri</w:t>
      </w:r>
      <w:r>
        <w:t xml:space="preserve"> </w:t>
      </w:r>
      <w:r>
        <w:t xml:space="preserve">Pataud</w:t>
      </w:r>
      <w:r>
        <w:t xml:space="preserve">. Oxford: Archaeopress; 2005.</w:t>
      </w:r>
    </w:p>
    <w:bookmarkEnd w:id="164"/>
    <w:bookmarkStart w:id="165" w:name="ref-Chiotti_Cretin_2011"/>
    <w:p>
      <w:pPr>
        <w:pStyle w:val="Bibliography"/>
      </w:pPr>
      <w:r>
        <w:t xml:space="preserve">[2]</w:t>
      </w:r>
      <w:r>
        <w:t xml:space="preserve"> </w:t>
      </w:r>
      <w:r>
        <w:t xml:space="preserve">	</w:t>
      </w:r>
      <w:r>
        <w:t xml:space="preserve">Chiotti L, Crétin C. The</w:t>
      </w:r>
      <w:r>
        <w:t xml:space="preserve"> </w:t>
      </w:r>
      <w:r>
        <w:t xml:space="preserve">Protoaurignacian</w:t>
      </w:r>
      <w:r>
        <w:t xml:space="preserve"> </w:t>
      </w:r>
      <w:r>
        <w:t xml:space="preserve">and the</w:t>
      </w:r>
      <w:r>
        <w:t xml:space="preserve"> </w:t>
      </w:r>
      <w:r>
        <w:t xml:space="preserve">Aurignacian</w:t>
      </w:r>
      <w:r>
        <w:t xml:space="preserve"> </w:t>
      </w:r>
      <w:r>
        <w:t xml:space="preserve">of the</w:t>
      </w:r>
      <w:r>
        <w:t xml:space="preserve"> </w:t>
      </w:r>
      <w:r>
        <w:t xml:space="preserve">Abric Romaní</w:t>
      </w:r>
      <w:r>
        <w:t xml:space="preserve"> </w:t>
      </w:r>
      <w:r>
        <w:t xml:space="preserve">and the</w:t>
      </w:r>
      <w:r>
        <w:t xml:space="preserve"> </w:t>
      </w:r>
      <w:r>
        <w:t xml:space="preserve">Abri Pataud</w:t>
      </w:r>
      <w:r>
        <w:t xml:space="preserve">: Two case studies. L’Anthropologie 2011;115:339–60.</w:t>
      </w:r>
    </w:p>
    <w:bookmarkEnd w:id="165"/>
    <w:bookmarkStart w:id="167" w:name="ref-Higham_Abri_Pataud_2011"/>
    <w:p>
      <w:pPr>
        <w:pStyle w:val="Bibliography"/>
      </w:pPr>
      <w:r>
        <w:t xml:space="preserve">[3]</w:t>
      </w:r>
      <w:r>
        <w:t xml:space="preserve"> </w:t>
      </w:r>
      <w:r>
        <w:t xml:space="preserve">	</w:t>
      </w:r>
      <w:r>
        <w:t xml:space="preserve">Higham TFG, Jacobi RM, Julien C, Ramsey CB, Studenik C, Trinkaus E. The earliest evidence for anatomically modern humans in northwestern</w:t>
      </w:r>
      <w:r>
        <w:t xml:space="preserve"> </w:t>
      </w:r>
      <w:r>
        <w:t xml:space="preserve">Europe</w:t>
      </w:r>
      <w:r>
        <w:t xml:space="preserve">. Journal of Human Evolution 2011;61:549–63.</w:t>
      </w:r>
      <w:r>
        <w:t xml:space="preserve"> </w:t>
      </w:r>
      <w:hyperlink r:id="rId166">
        <w:r>
          <w:rPr>
            <w:rStyle w:val="Hyperlink"/>
          </w:rPr>
          <w:t xml:space="preserve">https://doi.org/10.1016/j.jhevol.2011.06.001</w:t>
        </w:r>
      </w:hyperlink>
      <w:r>
        <w:t xml:space="preserve">.</w:t>
      </w:r>
    </w:p>
    <w:bookmarkEnd w:id="167"/>
    <w:bookmarkStart w:id="168" w:name="ref-Delporte_et_al_1977"/>
    <w:p>
      <w:pPr>
        <w:pStyle w:val="Bibliography"/>
      </w:pPr>
      <w:r>
        <w:t xml:space="preserve">[4]</w:t>
      </w:r>
      <w:r>
        <w:t xml:space="preserve"> </w:t>
      </w:r>
      <w:r>
        <w:t xml:space="preserve">	</w:t>
      </w:r>
      <w:r>
        <w:t xml:space="preserve">Delporte H, Bordes F, David F, Ferring R, Szabo J, Buisson-Catil J, et al. L’abri de</w:t>
      </w:r>
      <w:r>
        <w:t xml:space="preserve"> </w:t>
      </w:r>
      <w:r>
        <w:t xml:space="preserve">La Ferrassie</w:t>
      </w:r>
      <w:r>
        <w:t xml:space="preserve">: Stratigraphie et industrie lithique. Gallia Préhistoire 1977;20:49–88.</w:t>
      </w:r>
    </w:p>
    <w:bookmarkEnd w:id="168"/>
    <w:bookmarkStart w:id="170" w:name="ref-Talamo_La_Ferrassie_2020"/>
    <w:p>
      <w:pPr>
        <w:pStyle w:val="Bibliography"/>
      </w:pPr>
      <w:r>
        <w:t xml:space="preserve">[5]</w:t>
      </w:r>
      <w:r>
        <w:t xml:space="preserve"> </w:t>
      </w:r>
      <w:r>
        <w:t xml:space="preserve">	</w:t>
      </w:r>
      <w:r>
        <w:t xml:space="preserve">Talamo S, Kels S, Roussel M, Schmidt P, competition M, Bocherens H. Direct radiocarbon dating and taphonomy of the</w:t>
      </w:r>
      <w:r>
        <w:t xml:space="preserve"> </w:t>
      </w:r>
      <w:r>
        <w:t xml:space="preserve">Aurignacian</w:t>
      </w:r>
      <w:r>
        <w:t xml:space="preserve"> </w:t>
      </w:r>
      <w:r>
        <w:t xml:space="preserve">sequence of</w:t>
      </w:r>
      <w:r>
        <w:t xml:space="preserve"> </w:t>
      </w:r>
      <w:r>
        <w:t xml:space="preserve">La Ferrassie</w:t>
      </w:r>
      <w:r>
        <w:t xml:space="preserve"> </w:t>
      </w:r>
      <w:r>
        <w:t xml:space="preserve">(</w:t>
      </w:r>
      <w:r>
        <w:t xml:space="preserve">France</w:t>
      </w:r>
      <w:r>
        <w:t xml:space="preserve">). Journal of Quaternary Science 2020;35:958–69.</w:t>
      </w:r>
      <w:r>
        <w:t xml:space="preserve"> </w:t>
      </w:r>
      <w:hyperlink r:id="rId169">
        <w:r>
          <w:rPr>
            <w:rStyle w:val="Hyperlink"/>
          </w:rPr>
          <w:t xml:space="preserve">https://doi.org/10.1002/jqs.3223</w:t>
        </w:r>
      </w:hyperlink>
      <w:r>
        <w:t xml:space="preserve">.</w:t>
      </w:r>
    </w:p>
    <w:bookmarkEnd w:id="170"/>
    <w:bookmarkStart w:id="172" w:name="ref-Oliva_2006"/>
    <w:p>
      <w:pPr>
        <w:pStyle w:val="Bibliography"/>
      </w:pPr>
      <w:r>
        <w:t xml:space="preserve">[6]</w:t>
      </w:r>
      <w:r>
        <w:t xml:space="preserve"> </w:t>
      </w:r>
      <w:r>
        <w:t xml:space="preserve">	</w:t>
      </w:r>
      <w:r>
        <w:t xml:space="preserve">Oliva M. The</w:t>
      </w:r>
      <w:r>
        <w:t xml:space="preserve"> </w:t>
      </w:r>
      <w:r>
        <w:t xml:space="preserve">Upper Paleolithic</w:t>
      </w:r>
      <w:r>
        <w:t xml:space="preserve"> </w:t>
      </w:r>
      <w:r>
        <w:t xml:space="preserve">finds from the</w:t>
      </w:r>
      <w:r>
        <w:t xml:space="preserve"> </w:t>
      </w:r>
      <w:r>
        <w:t xml:space="preserve">Mladeč Cave</w:t>
      </w:r>
      <w:r>
        <w:t xml:space="preserve">. In: Teschler-Nicola M, editor. Early modern humans at the</w:t>
      </w:r>
      <w:r>
        <w:t xml:space="preserve"> </w:t>
      </w:r>
      <w:r>
        <w:t xml:space="preserve">Moravian Gate</w:t>
      </w:r>
      <w:r>
        <w:t xml:space="preserve">: The</w:t>
      </w:r>
      <w:r>
        <w:t xml:space="preserve"> </w:t>
      </w:r>
      <w:r>
        <w:t xml:space="preserve">Mladeč Caves</w:t>
      </w:r>
      <w:r>
        <w:t xml:space="preserve"> </w:t>
      </w:r>
      <w:r>
        <w:t xml:space="preserve">and their remains, Vienna: Springer; 2006, p. 41–74.</w:t>
      </w:r>
      <w:r>
        <w:t xml:space="preserve"> </w:t>
      </w:r>
      <w:hyperlink r:id="rId171">
        <w:r>
          <w:rPr>
            <w:rStyle w:val="Hyperlink"/>
          </w:rPr>
          <w:t xml:space="preserve">https://doi.org/10.1007/3-211-38327-6_3</w:t>
        </w:r>
      </w:hyperlink>
      <w:r>
        <w:t xml:space="preserve">.</w:t>
      </w:r>
    </w:p>
    <w:bookmarkEnd w:id="172"/>
    <w:bookmarkStart w:id="174" w:name="ref-Wild_et_al_2005"/>
    <w:p>
      <w:pPr>
        <w:pStyle w:val="Bibliography"/>
      </w:pPr>
      <w:r>
        <w:t xml:space="preserve">[7]</w:t>
      </w:r>
      <w:r>
        <w:t xml:space="preserve"> </w:t>
      </w:r>
      <w:r>
        <w:t xml:space="preserve">	</w:t>
      </w:r>
      <w:r>
        <w:t xml:space="preserve">Wild EM, Arlamovska G, Freidl M, Grünberger S, Lutz J, Stadler P, et al.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Mladeč</w:t>
      </w:r>
      <w:r>
        <w:t xml:space="preserve">. Nature 2005;435:332–5.</w:t>
      </w:r>
      <w:r>
        <w:t xml:space="preserve"> </w:t>
      </w:r>
      <w:hyperlink r:id="rId173">
        <w:r>
          <w:rPr>
            <w:rStyle w:val="Hyperlink"/>
          </w:rPr>
          <w:t xml:space="preserve">https://doi.org/10.1038/nature03585</w:t>
        </w:r>
      </w:hyperlink>
      <w:r>
        <w:t xml:space="preserve">.</w:t>
      </w:r>
    </w:p>
    <w:bookmarkEnd w:id="174"/>
    <w:bookmarkStart w:id="176" w:name="ref-Schurch_Conard_2026"/>
    <w:p>
      <w:pPr>
        <w:pStyle w:val="Bibliography"/>
      </w:pPr>
      <w:r>
        <w:t xml:space="preserve">[8]</w:t>
      </w:r>
      <w:r>
        <w:t xml:space="preserve"> </w:t>
      </w:r>
      <w:r>
        <w:t xml:space="preserve">	</w:t>
      </w:r>
      <w:r>
        <w:t xml:space="preserve">Schürch B, Conard NJ. Reassessing the cultural stratigraphy of</w:t>
      </w:r>
      <w:r>
        <w:t xml:space="preserve"> </w:t>
      </w:r>
      <w:r>
        <w:t xml:space="preserve">Vogelherd Cave</w:t>
      </w:r>
      <w:r>
        <w:t xml:space="preserve"> </w:t>
      </w:r>
      <w:r>
        <w:t xml:space="preserve">and the impact of excavation methodology on assemblage integrity. Journal of Paleolithic Archaeology 2026.</w:t>
      </w:r>
      <w:r>
        <w:t xml:space="preserve"> </w:t>
      </w:r>
      <w:hyperlink r:id="rId175">
        <w:r>
          <w:rPr>
            <w:rStyle w:val="Hyperlink"/>
          </w:rPr>
          <w:t xml:space="preserve">https://doi.org/10.1007/s41982-025-00298-3</w:t>
        </w:r>
      </w:hyperlink>
      <w:r>
        <w:t xml:space="preserve">.</w:t>
      </w:r>
    </w:p>
    <w:bookmarkEnd w:id="176"/>
    <w:bookmarkEnd w:id="177"/>
    <w:bookmarkEnd w:id="178"/>
    <w:bookmarkEnd w:id="179"/>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2"/>
  </w:num>
  <w:num w:numId="2">
    <w:abstractNumId w:val="1"/>
  </w:num>
  <w:num w:numId="3">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6"/>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Arial" w:cs="Arial" w:hAnsi="Arial"/>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8" Target="media/rId88.png" /><Relationship Type="http://schemas.openxmlformats.org/officeDocument/2006/relationships/image" Id="rId32" Target="media/rId32.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95" Target="media/rId95.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hyperlink" Id="rId169" Target="https://doi.org/10.1002/jqs.3223" TargetMode="External" /><Relationship Type="http://schemas.openxmlformats.org/officeDocument/2006/relationships/hyperlink" Id="rId171" Target="https://doi.org/10.1007/3-211-38327-6_3" TargetMode="External" /><Relationship Type="http://schemas.openxmlformats.org/officeDocument/2006/relationships/hyperlink" Id="rId175" Target="https://doi.org/10.1007/s41982-025-00298-3" TargetMode="External" /><Relationship Type="http://schemas.openxmlformats.org/officeDocument/2006/relationships/hyperlink" Id="rId166" Target="https://doi.org/10.1016/j.jhevol.2011.06.001" TargetMode="External" /><Relationship Type="http://schemas.openxmlformats.org/officeDocument/2006/relationships/hyperlink" Id="rId173" Target="https://doi.org/10.1038/nature03585"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69" Target="https://doi.org/10.1002/jqs.3223" TargetMode="External" /><Relationship Type="http://schemas.openxmlformats.org/officeDocument/2006/relationships/hyperlink" Id="rId171" Target="https://doi.org/10.1007/3-211-38327-6_3" TargetMode="External" /><Relationship Type="http://schemas.openxmlformats.org/officeDocument/2006/relationships/hyperlink" Id="rId175" Target="https://doi.org/10.1007/s41982-025-00298-3" TargetMode="External" /><Relationship Type="http://schemas.openxmlformats.org/officeDocument/2006/relationships/hyperlink" Id="rId166" Target="https://doi.org/10.1016/j.jhevol.2011.06.001" TargetMode="External" /><Relationship Type="http://schemas.openxmlformats.org/officeDocument/2006/relationships/hyperlink" Id="rId173" Target="https://doi.org/10.1038/nature03585"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2026-08-06T01:41:27Z</dcterms:created>
  <dcterms:modified xsi:type="dcterms:W3CDTF">2026-08-06T01:41:27Z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5,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subtitle">
    <vt:lpwstr>Geometric signs as proxies for cultural connectivity during the Western Eurasian Aurignacian</vt:lpwstr>
  </property>
  <property fmtid="{D5CDD505-2E9C-101B-9397-08002B2CF9AE}" pid="16" name="title-block-published">
    <vt:lpwstr>Last updated</vt:lpwstr>
  </property>
  <property fmtid="{D5CDD505-2E9C-101B-9397-08002B2CF9AE}" pid="17" name="toc-title">
    <vt:lpwstr>Table of contents</vt:lpwstr>
  </property>
</Properties>
</file>