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Date"/>
      </w:pPr>
      <w:r>
        <w:t xml:space="preserve">August</w:t>
      </w:r>
      <w:r>
        <w:t xml:space="preserve"> </w:t>
      </w:r>
      <w:r>
        <w:t xml:space="preserve">5,</w:t>
      </w:r>
      <w:r>
        <w:t xml:space="preserve"> </w:t>
      </w:r>
      <w:r>
        <w:t xml:space="preserve">2026</w:t>
      </w:r>
    </w:p>
    <w:bookmarkStart w:id="20"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0"/>
    <w:bookmarkStart w:id="21"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(rcarbon)</w:t>
      </w:r>
      <w:r>
        <w:br/>
      </w:r>
      <w:r>
        <w:rPr>
          <w:rStyle w:val="FunctionTok"/>
        </w:rPr>
        <w:t xml:space="preserve">library</w:t>
      </w:r>
      <w:r>
        <w:rPr>
          <w:rStyle w:val="NormalTok"/>
        </w:rPr>
        <w:t xml:space="preserve">(here)</w:t>
      </w:r>
      <w:r>
        <w:br/>
      </w:r>
      <w:r>
        <w:br/>
      </w:r>
      <w:r>
        <w:rPr>
          <w:rStyle w:val="NormalTok"/>
        </w:rPr>
        <w:t xml:space="preserve">signbase_full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"data/signBase_Version1.0.csv"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NormalTok"/>
        </w:rPr>
        <w:t xml:space="preserve">signbase_full_clean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filter</w:t>
      </w:r>
      <w:r>
        <w:rPr>
          <w:rStyle w:val="NormalTok"/>
        </w:rPr>
        <w:t xml:space="preserve">(site_name </w:t>
      </w:r>
      <w:r>
        <w:rPr>
          <w:rStyle w:val="SpecialCharTok"/>
        </w:rPr>
        <w:t xml:space="preserve">!=</w:t>
      </w:r>
      <w:r>
        <w:rPr>
          <w:rStyle w:val="NormalTok"/>
        </w:rPr>
        <w:t xml:space="preserve"> </w:t>
      </w:r>
      <w:r>
        <w:rPr>
          <w:rStyle w:val="StringTok"/>
        </w:rPr>
        <w:t xml:space="preserve">"Willendorf"</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"Riparo di Fontana Nuova"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"Muralovka"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"Shanidar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"Hayonim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Salitre"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"Grotte De La Princesse Pauline"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"Šandalja II"</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other, </w:t>
      </w:r>
      <w:r>
        <w:rPr>
          <w:rStyle w:val="SpecialCharTok"/>
        </w:rPr>
        <w:t xml:space="preserve">-</w:t>
      </w:r>
      <w:r>
        <w:rPr>
          <w:rStyle w:val="NormalTok"/>
        </w:rPr>
        <w:t xml:space="preserve">rectangle)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longitude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7.437500</w:t>
      </w:r>
      <w:r>
        <w:rPr>
          <w:rStyle w:val="NormalTok"/>
        </w:rPr>
        <w:t xml:space="preserve">, longitude))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latitude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43.77083</w:t>
      </w:r>
      <w:r>
        <w:rPr>
          <w:rStyle w:val="NormalTok"/>
        </w:rPr>
        <w:t xml:space="preserve">, latitude))</w:t>
      </w:r>
    </w:p>
    <w:p>
      <w:pPr>
        <w:pStyle w:val="SourceCode"/>
      </w:pPr>
      <w:r>
        <w:rPr>
          <w:rStyle w:val="NormalTok"/>
        </w:rPr>
        <w:t xml:space="preserve">signbase_years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(date_bp_max_min)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(date_bp_max_min,</w:t>
      </w:r>
      <w:r>
        <w:br/>
      </w:r>
      <w:r>
        <w:rPr>
          <w:rStyle w:val="NormalTok"/>
        </w:rPr>
        <w:t xml:space="preserve">           </w:t>
      </w:r>
      <w:r>
        <w:rPr>
          <w:rStyle w:val="AttributeTok"/>
        </w:rPr>
        <w:t xml:space="preserve">sep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w:t>
      </w:r>
      <w:r>
        <w:rPr>
          <w:rStyle w:val="NormalTok"/>
        </w:rPr>
        <w:t xml:space="preserve">, </w:t>
      </w:r>
      <w:r>
        <w:rPr>
          <w:rStyle w:val="StringTok"/>
        </w:rPr>
        <w:t xml:space="preserve">"date_bp_min"</w:t>
      </w:r>
      <w:r>
        <w:rPr>
          <w:rStyle w:val="NormalTok"/>
        </w:rPr>
        <w:t xml:space="preserve">),</w:t>
      </w:r>
      <w:r>
        <w:br/>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date_bp_max))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date_bp_min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date_bp_min))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"date_bp_max_age"</w:t>
      </w:r>
      <w:r>
        <w:rPr>
          <w:rStyle w:val="NormalTok"/>
        </w:rPr>
        <w:t xml:space="preserve">,</w:t>
      </w:r>
      <w:r>
        <w:br/>
      </w:r>
      <w:r>
        <w:rPr>
          <w:rStyle w:val="NormalTok"/>
        </w:rPr>
        <w:t xml:space="preserve">             </w:t>
      </w:r>
      <w:r>
        <w:rPr>
          <w:rStyle w:val="StringTok"/>
        </w:rPr>
        <w:t xml:space="preserve">"date_bp_max_error"</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(date_bp_min,</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"date_bp_min_age"</w:t>
      </w:r>
      <w:r>
        <w:rPr>
          <w:rStyle w:val="NormalTok"/>
        </w:rPr>
        <w:t xml:space="preserve">,</w:t>
      </w:r>
      <w:r>
        <w:br/>
      </w:r>
      <w:r>
        <w:rPr>
          <w:rStyle w:val="NormalTok"/>
        </w:rPr>
        <w:t xml:space="preserve">             </w:t>
      </w:r>
      <w:r>
        <w:rPr>
          <w:rStyle w:val="StringTok"/>
        </w:rPr>
        <w:t xml:space="preserve">"date_bp_min_error"</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(date_bp_max_age,</w:t>
      </w:r>
      <w:r>
        <w:br/>
      </w:r>
      <w:r>
        <w:rPr>
          <w:rStyle w:val="NormalTok"/>
        </w:rPr>
        <w:t xml:space="preserve">          date_bp_max_error)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date_bp_max_age =</w:t>
      </w:r>
      <w:r>
        <w:rPr>
          <w:rStyle w:val="NormalTok"/>
        </w:rPr>
        <w:t xml:space="preserve"> </w:t>
      </w:r>
      <w:r>
        <w:rPr>
          <w:rStyle w:val="FunctionTok"/>
        </w:rPr>
        <w:t xml:space="preserve">parse_number</w:t>
      </w:r>
      <w:r>
        <w:rPr>
          <w:rStyle w:val="NormalTok"/>
        </w:rPr>
        <w:t xml:space="preserve">(date_bp_max_age),</w:t>
      </w:r>
      <w:r>
        <w:br/>
      </w:r>
      <w:r>
        <w:rPr>
          <w:rStyle w:val="NormalTok"/>
        </w:rPr>
        <w:t xml:space="preserve">         </w:t>
      </w:r>
      <w:r>
        <w:rPr>
          <w:rStyle w:val="AttributeTok"/>
        </w:rPr>
        <w:t xml:space="preserve">date_bp_max_error =</w:t>
      </w:r>
      <w:r>
        <w:rPr>
          <w:rStyle w:val="NormalTok"/>
        </w:rPr>
        <w:t xml:space="preserve"> </w:t>
      </w:r>
      <w:r>
        <w:rPr>
          <w:rStyle w:val="FunctionTok"/>
        </w:rPr>
        <w:t xml:space="preserve">parse_number</w:t>
      </w:r>
      <w:r>
        <w:rPr>
          <w:rStyle w:val="NormalTok"/>
        </w:rPr>
        <w:t xml:space="preserve">(date_bp_max_error))</w:t>
      </w:r>
      <w:r>
        <w:br/>
      </w:r>
      <w:r>
        <w:br/>
      </w:r>
      <w:r>
        <w:rPr>
          <w:rStyle w:val="NormalTok"/>
        </w:rPr>
        <w:t xml:space="preserve">signbase_years_cal </w:t>
      </w:r>
      <w:r>
        <w:rPr>
          <w:rStyle w:val="OtherTok"/>
        </w:rPr>
        <w:t xml:space="preserve">&lt;-</w:t>
      </w:r>
      <w:r>
        <w:br/>
      </w:r>
      <w:r>
        <w:rPr>
          <w:rStyle w:val="NormalTok"/>
        </w:rPr>
        <w:t xml:space="preserve">  rcarbon</w:t>
      </w:r>
      <w:r>
        <w:rPr>
          <w:rStyle w:val="SpecialCharTok"/>
        </w:rPr>
        <w:t xml:space="preserve">::</w:t>
      </w:r>
      <w:r>
        <w:rPr>
          <w:rStyle w:val="FunctionTok"/>
        </w:rPr>
        <w:t xml:space="preserve">calibrate</w:t>
      </w:r>
      <w:r>
        <w:rPr>
          <w:rStyle w:val="NormalTok"/>
        </w:rPr>
        <w:t xml:space="preserve">(signbase_years</w:t>
      </w:r>
      <w:r>
        <w:rPr>
          <w:rStyle w:val="SpecialCharTok"/>
        </w:rPr>
        <w:t xml:space="preserve">$</w:t>
      </w:r>
      <w:r>
        <w:rPr>
          <w:rStyle w:val="NormalTok"/>
        </w:rPr>
        <w:t xml:space="preserve">date_bp_max_age,</w:t>
      </w:r>
      <w:r>
        <w:br/>
      </w:r>
      <w:r>
        <w:rPr>
          <w:rStyle w:val="NormalTok"/>
        </w:rPr>
        <w:t xml:space="preserve">                     signbase_years</w:t>
      </w:r>
      <w:r>
        <w:rPr>
          <w:rStyle w:val="SpecialCharTok"/>
        </w:rPr>
        <w:t xml:space="preserve">$</w:t>
      </w:r>
      <w:r>
        <w:rPr>
          <w:rStyle w:val="NormalTok"/>
        </w:rPr>
        <w:t xml:space="preserve">date_bp_max_error,</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 </w:t>
      </w:r>
      <w:r>
        <w:rPr>
          <w:rStyle w:val="SpecialCharTok"/>
        </w:rPr>
        <w:t xml:space="preserve">%&gt;%</w:t>
      </w:r>
      <w:r>
        <w:br/>
      </w:r>
      <w:r>
        <w:rPr>
          <w:rStyle w:val="NormalTok"/>
        </w:rPr>
        <w:t xml:space="preserve">  </w:t>
      </w:r>
      <w:r>
        <w:rPr>
          <w:rStyle w:val="FunctionTok"/>
        </w:rPr>
        <w:t xml:space="preserve">tibble</w:t>
      </w:r>
      <w:r>
        <w:rPr>
          <w:rStyle w:val="NormalTok"/>
        </w:rPr>
        <w:t xml:space="preserve">()</w:t>
      </w:r>
      <w:r>
        <w:br/>
      </w:r>
      <w:r>
        <w:br/>
      </w:r>
      <w:r>
        <w:rPr>
          <w:rStyle w:val="NormalTok"/>
        </w:rPr>
        <w:t xml:space="preserve">signbase_years</w:t>
      </w:r>
      <w:r>
        <w:rPr>
          <w:rStyle w:val="SpecialCharTok"/>
        </w:rPr>
        <w:t xml:space="preserve">$</w:t>
      </w:r>
      <w:r>
        <w:rPr>
          <w:rStyle w:val="NormalTok"/>
        </w:rPr>
        <w:t xml:space="preserve">MedianBP </w:t>
      </w:r>
      <w:r>
        <w:rPr>
          <w:rStyle w:val="OtherTok"/>
        </w:rPr>
        <w:t xml:space="preserve">&lt;-</w:t>
      </w:r>
      <w:r>
        <w:rPr>
          <w:rStyle w:val="NormalTok"/>
        </w:rPr>
        <w:t xml:space="preserve"> signbase_years_cal</w:t>
      </w:r>
      <w:r>
        <w:rPr>
          <w:rStyle w:val="SpecialCharTok"/>
        </w:rPr>
        <w:t xml:space="preserve">$</w:t>
      </w:r>
      <w:r>
        <w:rPr>
          <w:rStyle w:val="NormalTok"/>
        </w:rPr>
        <w:t xml:space="preserve">MedianBP</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inner_join</w:t>
      </w:r>
      <w:r>
        <w:rPr>
          <w:rStyle w:val="NormalTok"/>
        </w:rPr>
        <w:t xml:space="preserve">(signbase_years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(object_id, MedianBP))</w:t>
      </w:r>
    </w:p>
    <w:p>
      <w:pPr>
        <w:pStyle w:val="SourceCode"/>
      </w:pPr>
      <w:r>
        <w:rPr>
          <w:rStyle w:val="CommentTok"/>
        </w:rPr>
        <w:t xml:space="preserve"># Date-based phase thresholds (conventional round numbers)</w:t>
      </w:r>
      <w:r>
        <w:br/>
      </w:r>
      <w:r>
        <w:rPr>
          <w:rStyle w:val="CommentTok"/>
        </w:rPr>
        <w:t xml:space="preserve"># Proto-Aurignacian:  &gt; 39,799 BP</w:t>
      </w:r>
      <w:r>
        <w:br/>
      </w:r>
      <w:r>
        <w:rPr>
          <w:rStyle w:val="CommentTok"/>
        </w:rPr>
        <w:t xml:space="preserve"># Early Aurignacian:  37,799–39,799 BP</w:t>
      </w:r>
      <w:r>
        <w:br/>
      </w:r>
      <w:r>
        <w:rPr>
          <w:rStyle w:val="CommentTok"/>
        </w:rPr>
        <w:t xml:space="preserve"># Evolved Aurignacian: 31,999–37,799 BP</w:t>
      </w:r>
      <w:r>
        <w:br/>
      </w:r>
      <w:r>
        <w:rPr>
          <w:rStyle w:val="CommentTok"/>
        </w:rPr>
        <w:t xml:space="preserve"># These three-phase labels are then collapsed to the two-phase (Aur-P1/Aur-P2)</w:t>
      </w:r>
      <w:r>
        <w:br/>
      </w:r>
      <w:r>
        <w:rPr>
          <w:rStyle w:val="CommentTok"/>
        </w:rPr>
        <w:t xml:space="preserve"># scheme used in the main analysis: Aur-P1 = Proto + Early, Aur-P2 = Evolved/Late.</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time_period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 Exclusions (mixed assemblages) ---</w:t>
      </w:r>
      <w:r>
        <w:br/>
      </w:r>
      <w:r>
        <w:rPr>
          <w:rStyle w:val="NormalTok"/>
        </w:rPr>
        <w:t xml:space="preserve">    site_name </w:t>
      </w:r>
      <w:r>
        <w:rPr>
          <w:rStyle w:val="SpecialCharTok"/>
        </w:rPr>
        <w:t xml:space="preserve">==</w:t>
      </w:r>
      <w:r>
        <w:rPr>
          <w:rStyle w:val="NormalTok"/>
        </w:rPr>
        <w:t xml:space="preserve"> </w:t>
      </w:r>
      <w:r>
        <w:rPr>
          <w:rStyle w:val="StringTok"/>
        </w:rPr>
        <w:t xml:space="preserve">"Spy"</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Castillo"</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mmentTok"/>
        </w:rPr>
        <w:t xml:space="preserve"># --- Reclassifications based on technological attribution ---</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"Geissenklösterle"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"Vogelherd"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"La Ferrassie"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"Abri Pataud"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"Mladeč"</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w:t>
      </w:r>
      <w:r>
        <w:rPr>
          <w:rStyle w:val="CommentTok"/>
        </w:rPr>
        <w:t xml:space="preserve"># --- Override: Gatzarria Cjn2 is Proto-Aurignacian ---</w:t>
      </w:r>
      <w:r>
        <w:br/>
      </w:r>
      <w:r>
        <w:rPr>
          <w:rStyle w:val="NormalTok"/>
        </w:rPr>
        <w:t xml:space="preserve">    site_name </w:t>
      </w:r>
      <w:r>
        <w:rPr>
          <w:rStyle w:val="SpecialCharTok"/>
        </w:rPr>
        <w:t xml:space="preserve">==</w:t>
      </w:r>
      <w:r>
        <w:rPr>
          <w:rStyle w:val="NormalTok"/>
        </w:rPr>
        <w:t xml:space="preserve"> </w:t>
      </w:r>
      <w:r>
        <w:rPr>
          <w:rStyle w:val="StringTok"/>
        </w:rPr>
        <w:t xml:space="preserve">"Gatzarria"</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w:t>
      </w:r>
      <w:r>
        <w:rPr>
          <w:rStyle w:val="CommentTok"/>
        </w:rPr>
        <w:t xml:space="preserve"># --- Default: date-based assignment ---</w:t>
      </w:r>
      <w:r>
        <w:br/>
      </w:r>
      <w:r>
        <w:rPr>
          <w:rStyle w:val="NormalTok"/>
        </w:rPr>
        <w:t xml:space="preserve">    MedianBP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31999</w:t>
      </w:r>
      <w:r>
        <w:rPr>
          <w:rStyle w:val="NormalTok"/>
        </w:rPr>
        <w:t xml:space="preserve"> </w:t>
      </w:r>
      <w:r>
        <w:rPr>
          <w:rStyle w:val="SpecialCharTok"/>
        </w:rPr>
        <w:t xml:space="preserve">~</w:t>
      </w:r>
      <w:r>
        <w:rPr>
          <w:rStyle w:val="NormalTok"/>
        </w:rPr>
        <w:t xml:space="preserve"> </w:t>
      </w:r>
      <w:r>
        <w:rPr>
          <w:rStyle w:val="StringTok"/>
        </w:rPr>
        <w:t xml:space="preserve">"evolved_aurignacian"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(time_period))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phase2 =</w:t>
      </w:r>
      <w:r>
        <w:rPr>
          <w:rStyle w:val="NormalTok"/>
        </w:rPr>
        <w:t xml:space="preserve"> </w:t>
      </w:r>
      <w:r>
        <w:rPr>
          <w:rStyle w:val="FunctionTok"/>
        </w:rPr>
        <w:t xml:space="preserve">ifelse</w:t>
      </w:r>
      <w:r>
        <w:rPr>
          <w:rStyle w:val="NormalTok"/>
        </w:rPr>
        <w:t xml:space="preserve">(time_period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"proto_aurignacian"</w:t>
      </w:r>
      <w:r>
        <w:rPr>
          <w:rStyle w:val="NormalTok"/>
        </w:rPr>
        <w:t xml:space="preserve">, </w:t>
      </w:r>
      <w:r>
        <w:rPr>
          <w:rStyle w:val="StringTok"/>
        </w:rPr>
        <w:t xml:space="preserve">"early_aurignacian"</w:t>
      </w:r>
      <w:r>
        <w:rPr>
          <w:rStyle w:val="NormalTok"/>
        </w:rPr>
        <w:t xml:space="preserve">),</w:t>
      </w:r>
      <w:r>
        <w:br/>
      </w:r>
      <w:r>
        <w:rPr>
          <w:rStyle w:val="NormalTok"/>
        </w:rPr>
        <w:t xml:space="preserve">                         </w:t>
      </w:r>
      <w:r>
        <w:rPr>
          <w:rStyle w:val="StringTok"/>
        </w:rPr>
        <w:t xml:space="preserve">"Aur-P1"</w:t>
      </w:r>
      <w:r>
        <w:rPr>
          <w:rStyle w:val="NormalTok"/>
        </w:rPr>
        <w:t xml:space="preserve">, </w:t>
      </w:r>
      <w:r>
        <w:rPr>
          <w:rStyle w:val="StringTok"/>
        </w:rPr>
        <w:t xml:space="preserve">"Aur-P2"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site_summary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sites =</w:t>
      </w:r>
      <w:r>
        <w:rPr>
          <w:rStyle w:val="NormalTok"/>
        </w:rPr>
        <w:t xml:space="preserve"> </w:t>
      </w:r>
      <w:r>
        <w:rPr>
          <w:rStyle w:val="FunctionTok"/>
        </w:rPr>
        <w:t xml:space="preserve">n_distinct</w:t>
      </w:r>
      <w:r>
        <w:rPr>
          <w:rStyle w:val="NormalTok"/>
        </w:rPr>
        <w:t xml:space="preserve">(site_name),</w:t>
      </w:r>
      <w:r>
        <w:br/>
      </w:r>
      <w:r>
        <w:rPr>
          <w:rStyle w:val="NormalTok"/>
        </w:rPr>
        <w:t xml:space="preserve">    </w:t>
      </w:r>
      <w:r>
        <w:rPr>
          <w:rStyle w:val="AttributeTok"/>
        </w:rPr>
        <w:t xml:space="preserve">objects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(objects))</w:t>
      </w:r>
      <w:r>
        <w:br/>
      </w:r>
      <w:r>
        <w:br/>
      </w:r>
      <w:r>
        <w:rPr>
          <w:rStyle w:val="NormalTok"/>
        </w:rPr>
        <w:t xml:space="preserve">site_summary</w:t>
      </w:r>
    </w:p>
    <w:p>
      <w:pPr>
        <w:pStyle w:val="SourceCode"/>
      </w:pPr>
      <w:r>
        <w:rPr>
          <w:rStyle w:val="VerbatimChar"/>
        </w:rPr>
        <w:t xml:space="preserve"># A tibble: 2 × 3</w:t>
      </w:r>
      <w:r>
        <w:br/>
      </w:r>
      <w:r>
        <w:rPr>
          <w:rStyle w:val="VerbatimChar"/>
        </w:rPr>
        <w:t xml:space="preserve">  phase2 sites objects</w:t>
      </w:r>
      <w:r>
        <w:br/>
      </w:r>
      <w:r>
        <w:rPr>
          <w:rStyle w:val="VerbatimChar"/>
        </w:rPr>
        <w:t xml:space="preserve">  &lt;chr&gt;  &lt;int&gt;   &lt;int&gt;</w:t>
      </w:r>
      <w:r>
        <w:br/>
      </w:r>
      <w:r>
        <w:rPr>
          <w:rStyle w:val="VerbatimChar"/>
        </w:rPr>
        <w:t xml:space="preserve">1 Aur-P1    20     376</w:t>
      </w:r>
      <w:r>
        <w:br/>
      </w:r>
      <w:r>
        <w:rPr>
          <w:rStyle w:val="VerbatimChar"/>
        </w:rPr>
        <w:t xml:space="preserve">2 Aur-P2     8      34</w:t>
      </w:r>
    </w:p>
    <w:p>
      <w:pPr>
        <w:pStyle w:val="SourceCode"/>
      </w:pPr>
      <w:r>
        <w:rPr>
          <w:rStyle w:val="CommentTok"/>
        </w:rPr>
        <w:t xml:space="preserve"># Literature-rationale text ONLY: the site names and object counts come from</w:t>
      </w:r>
      <w:r>
        <w:br/>
      </w:r>
      <w:r>
        <w:rPr>
          <w:rStyle w:val="CommentTok"/>
        </w:rPr>
        <w:t xml:space="preserve"># the pipeline above; only the "Basis" citation strings are recorded by hand.</w:t>
      </w:r>
      <w:r>
        <w:br/>
      </w:r>
      <w:r>
        <w:rPr>
          <w:rStyle w:val="CommentTok"/>
        </w:rPr>
        <w:t xml:space="preserve"># Any site not listed here is date-assigned (the default case_when branch).</w:t>
      </w:r>
      <w:r>
        <w:br/>
      </w:r>
      <w:r>
        <w:rPr>
          <w:rStyle w:val="NormalTok"/>
        </w:rPr>
        <w:t xml:space="preserve">site_basis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"Hohle Fels"</w:t>
      </w:r>
      <w:r>
        <w:rPr>
          <w:rStyle w:val="NormalTok"/>
        </w:rPr>
        <w:t xml:space="preserve">, </w:t>
      </w:r>
      <w:r>
        <w:rPr>
          <w:rStyle w:val="StringTok"/>
        </w:rPr>
        <w:t xml:space="preserve">"Geissenklösterle"</w:t>
      </w:r>
      <w:r>
        <w:rPr>
          <w:rStyle w:val="NormalTok"/>
        </w:rPr>
        <w:t xml:space="preserve">, </w:t>
      </w:r>
      <w:r>
        <w:rPr>
          <w:rStyle w:val="StringTok"/>
        </w:rPr>
        <w:t xml:space="preserve">"Vogelherd"</w:t>
      </w:r>
      <w:r>
        <w:rPr>
          <w:rStyle w:val="NormalTok"/>
        </w:rPr>
        <w:t xml:space="preserve">, </w:t>
      </w:r>
      <w:r>
        <w:rPr>
          <w:rStyle w:val="StringTok"/>
        </w:rPr>
        <w:t xml:space="preserve">"La Ferrassie"</w:t>
      </w:r>
      <w:r>
        <w:rPr>
          <w:rStyle w:val="NormalTok"/>
        </w:rPr>
        <w:t xml:space="preserve">,</w:t>
      </w:r>
      <w:r>
        <w:br/>
      </w:r>
      <w:r>
        <w:rPr>
          <w:rStyle w:val="NormalTok"/>
        </w:rPr>
        <w:t xml:space="preserve">                </w:t>
      </w:r>
      <w:r>
        <w:rPr>
          <w:rStyle w:val="StringTok"/>
        </w:rPr>
        <w:t xml:space="preserve">"Abri Pataud"</w:t>
      </w:r>
      <w:r>
        <w:rPr>
          <w:rStyle w:val="NormalTok"/>
        </w:rPr>
        <w:t xml:space="preserve">, </w:t>
      </w:r>
      <w:r>
        <w:rPr>
          <w:rStyle w:val="StringTok"/>
        </w:rPr>
        <w:t xml:space="preserve">"Gatzarria"</w:t>
      </w:r>
      <w:r>
        <w:rPr>
          <w:rStyle w:val="NormalTok"/>
        </w:rPr>
        <w:t xml:space="preserve">, </w:t>
      </w:r>
      <w:r>
        <w:rPr>
          <w:rStyle w:val="StringTok"/>
        </w:rPr>
        <w:t xml:space="preserve">"Mladeč"</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"technology"</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"Early Aurignacian (Bataille &amp; Conard 2018; Dinnis et al. 2019)"</w:t>
      </w:r>
      <w:r>
        <w:rPr>
          <w:rStyle w:val="NormalTok"/>
        </w:rPr>
        <w:t xml:space="preserve">,</w:t>
      </w:r>
      <w:r>
        <w:br/>
      </w:r>
      <w:r>
        <w:rPr>
          <w:rStyle w:val="NormalTok"/>
        </w:rPr>
        <w:t xml:space="preserve">    </w:t>
      </w:r>
      <w:r>
        <w:rPr>
          <w:rStyle w:val="StringTok"/>
        </w:rPr>
        <w:t xml:space="preserve">"Early Aurignacian (Bataille &amp; Conard 2018)"</w:t>
      </w:r>
      <w:r>
        <w:rPr>
          <w:rStyle w:val="NormalTok"/>
        </w:rPr>
        <w:t xml:space="preserve">,</w:t>
      </w:r>
      <w:r>
        <w:br/>
      </w:r>
      <w:r>
        <w:rPr>
          <w:rStyle w:val="NormalTok"/>
        </w:rPr>
        <w:t xml:space="preserve">    </w:t>
      </w:r>
      <w:r>
        <w:rPr>
          <w:rStyle w:val="StringTok"/>
        </w:rPr>
        <w:t xml:space="preserve">"Early Aurignacian (Schürch &amp; Conard 2026; Bataille &amp; Conard 2018)"</w:t>
      </w:r>
      <w:r>
        <w:rPr>
          <w:rStyle w:val="NormalTok"/>
        </w:rPr>
        <w:t xml:space="preserve">,</w:t>
      </w:r>
      <w:r>
        <w:br/>
      </w:r>
      <w:r>
        <w:rPr>
          <w:rStyle w:val="NormalTok"/>
        </w:rPr>
        <w:t xml:space="preserve">    </w:t>
      </w:r>
      <w:r>
        <w:rPr>
          <w:rStyle w:val="StringTok"/>
        </w:rPr>
        <w:t xml:space="preserve">"Early Aurignacian (Talamo et al. 2020)"</w:t>
      </w:r>
      <w:r>
        <w:rPr>
          <w:rStyle w:val="NormalTok"/>
        </w:rPr>
        <w:t xml:space="preserve">,</w:t>
      </w:r>
      <w:r>
        <w:br/>
      </w:r>
      <w:r>
        <w:rPr>
          <w:rStyle w:val="NormalTok"/>
        </w:rPr>
        <w:t xml:space="preserve">    </w:t>
      </w:r>
      <w:r>
        <w:rPr>
          <w:rStyle w:val="StringTok"/>
        </w:rPr>
        <w:t xml:space="preserve">"Early Aurignacian (Chiotti 2005; Higham et al. 2011)"</w:t>
      </w:r>
      <w:r>
        <w:rPr>
          <w:rStyle w:val="NormalTok"/>
        </w:rPr>
        <w:t xml:space="preserve">,</w:t>
      </w:r>
      <w:r>
        <w:br/>
      </w:r>
      <w:r>
        <w:rPr>
          <w:rStyle w:val="NormalTok"/>
        </w:rPr>
        <w:t xml:space="preserve">    </w:t>
      </w:r>
      <w:r>
        <w:rPr>
          <w:rStyle w:val="StringTok"/>
        </w:rPr>
        <w:t xml:space="preserve">"Proto-Aurignacian, layer Cjn2 (Barshay-Szmidt et al. 2012)"</w:t>
      </w:r>
      <w:r>
        <w:rPr>
          <w:rStyle w:val="NormalTok"/>
        </w:rPr>
        <w:t xml:space="preserve">,</w:t>
      </w:r>
      <w:r>
        <w:br/>
      </w:r>
      <w:r>
        <w:rPr>
          <w:rStyle w:val="NormalTok"/>
        </w:rPr>
        <w:t xml:space="preserve">    </w:t>
      </w:r>
      <w:r>
        <w:rPr>
          <w:rStyle w:val="StringTok"/>
        </w:rPr>
        <w:t xml:space="preserve">"Evolved Aurignacian (Oliva 2006)"</w:t>
      </w:r>
      <w:r>
        <w:br/>
      </w:r>
      <w:r>
        <w:rPr>
          <w:rStyle w:val="NormalTok"/>
        </w:rPr>
        <w:t xml:space="preserve">  )</w:t>
      </w:r>
      <w:r>
        <w:br/>
      </w:r>
      <w:r>
        <w:rPr>
          <w:rStyle w:val="NormalTok"/>
        </w:rPr>
        <w:t xml:space="preserve">)</w:t>
      </w:r>
      <w:r>
        <w:br/>
      </w:r>
      <w:r>
        <w:br/>
      </w:r>
      <w:r>
        <w:rPr>
          <w:rStyle w:val="NormalTok"/>
        </w:rPr>
        <w:t xml:space="preserve">excluded_basis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"Spy"</w:t>
      </w:r>
      <w:r>
        <w:rPr>
          <w:rStyle w:val="NormalTok"/>
        </w:rPr>
        <w:t xml:space="preserve">, </w:t>
      </w:r>
      <w:r>
        <w:rPr>
          <w:rStyle w:val="StringTok"/>
        </w:rPr>
        <w:t xml:space="preserve">"El Castillo"</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"excluded"</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"Mixed assemblage, no single Proto-Aurignacian attribution (Flas et al. 2013; Flas 2015; Semal et al. 2009)"</w:t>
      </w:r>
      <w:r>
        <w:rPr>
          <w:rStyle w:val="NormalTok"/>
        </w:rPr>
        <w:t xml:space="preserve">,</w:t>
      </w:r>
      <w:r>
        <w:br/>
      </w:r>
      <w:r>
        <w:rPr>
          <w:rStyle w:val="NormalTok"/>
        </w:rPr>
        <w:t xml:space="preserve">    </w:t>
      </w:r>
      <w:r>
        <w:rPr>
          <w:rStyle w:val="StringTok"/>
        </w:rPr>
        <w:t xml:space="preserve">"Mixed/contaminated layers preclude reliable assignment"</w:t>
      </w:r>
      <w:r>
        <w:br/>
      </w:r>
      <w:r>
        <w:rPr>
          <w:rStyle w:val="NormalTok"/>
        </w:rPr>
        <w:t xml:space="preserve">  )</w:t>
      </w:r>
      <w:r>
        <w:br/>
      </w:r>
      <w:r>
        <w:rPr>
          <w:rStyle w:val="NormalTok"/>
        </w:rPr>
        <w:t xml:space="preserve">)</w:t>
      </w:r>
      <w:r>
        <w:br/>
      </w:r>
      <w:r>
        <w:br/>
      </w:r>
      <w:r>
        <w:rPr>
          <w:rStyle w:val="CommentTok"/>
        </w:rPr>
        <w:t xml:space="preserve"># Object counts per retained site, tagged by assignment basis</w:t>
      </w:r>
      <w:r>
        <w:br/>
      </w:r>
      <w:r>
        <w:rPr>
          <w:rStyle w:val="NormalTok"/>
        </w:rPr>
        <w:t xml:space="preserve">site_objects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(site_name, 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objects =</w:t>
      </w:r>
      <w:r>
        <w:rPr>
          <w:rStyle w:val="NormalTok"/>
        </w:rPr>
        <w:t xml:space="preserve"> </w:t>
      </w:r>
      <w:r>
        <w:rPr>
          <w:rStyle w:val="FunctionTok"/>
        </w:rPr>
        <w:t xml:space="preserve">n</w:t>
      </w:r>
      <w:r>
        <w:rPr>
          <w:rStyle w:val="NormalTok"/>
        </w:rPr>
        <w:t xml:space="preserve">(), </w:t>
      </w:r>
      <w:r>
        <w:rPr>
          <w:rStyle w:val="AttributeTok"/>
        </w:rPr>
        <w:t xml:space="preserve">median_bp =</w:t>
      </w:r>
      <w:r>
        <w:rPr>
          <w:rStyle w:val="NormalTok"/>
        </w:rPr>
        <w:t xml:space="preserve"> </w:t>
      </w:r>
      <w:r>
        <w:rPr>
          <w:rStyle w:val="FunctionTok"/>
        </w:rPr>
        <w:t xml:space="preserve">median</w:t>
      </w:r>
      <w:r>
        <w:rPr>
          <w:rStyle w:val="NormalTok"/>
        </w:rPr>
        <w:t xml:space="preserve">(MedianBP),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(site_basis, </w:t>
      </w:r>
      <w:r>
        <w:rPr>
          <w:rStyle w:val="AttributeTok"/>
        </w:rPr>
        <w:t xml:space="preserve">by =</w:t>
      </w:r>
      <w:r>
        <w:rPr>
          <w:rStyle w:val="NormalTok"/>
        </w:rPr>
        <w:t xml:space="preserve"> </w:t>
      </w:r>
      <w:r>
        <w:rPr>
          <w:rStyle w:val="StringTok"/>
        </w:rPr>
        <w:t xml:space="preserve">"site_name"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assignment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(assignment), </w:t>
      </w:r>
      <w:r>
        <w:rPr>
          <w:rStyle w:val="StringTok"/>
        </w:rPr>
        <w:t xml:space="preserve">"date"</w:t>
      </w:r>
      <w:r>
        <w:rPr>
          <w:rStyle w:val="NormalTok"/>
        </w:rPr>
        <w:t xml:space="preserve">, assignment))</w:t>
      </w:r>
      <w:r>
        <w:br/>
      </w:r>
      <w:r>
        <w:br/>
      </w:r>
      <w:r>
        <w:rPr>
          <w:rStyle w:val="CommentTok"/>
        </w:rPr>
        <w:t xml:space="preserve"># Date-assigned sites get the threshold string generated from their own MedianBP</w:t>
      </w:r>
      <w:r>
        <w:br/>
      </w:r>
      <w:r>
        <w:rPr>
          <w:rStyle w:val="NormalTok"/>
        </w:rPr>
        <w:t xml:space="preserve">site_objects </w:t>
      </w:r>
      <w:r>
        <w:rPr>
          <w:rStyle w:val="OtherTok"/>
        </w:rPr>
        <w:t xml:space="preserve">&lt;-</w:t>
      </w:r>
      <w:r>
        <w:rPr>
          <w:rStyle w:val="NormalTok"/>
        </w:rPr>
        <w:t xml:space="preserve"> site_objects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assignment </w:t>
      </w:r>
      <w:r>
        <w:rPr>
          <w:rStyle w:val="SpecialCharTok"/>
        </w:rPr>
        <w:t xml:space="preserve">==</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FunctionTok"/>
        </w:rPr>
        <w:t xml:space="preserve">case_when</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"MedianBP &gt; 39,799"</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"MedianBP 37,799\u201339,799"</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"MedianBP 31,999\u201337,799"</w:t>
      </w:r>
      <w:r>
        <w:br/>
      </w:r>
      <w:r>
        <w:rPr>
          <w:rStyle w:val="NormalTok"/>
        </w:rPr>
        <w:t xml:space="preserve">    ),</w:t>
      </w:r>
      <w:r>
        <w:br/>
      </w:r>
      <w:r>
        <w:rPr>
          <w:rStyle w:val="NormalTok"/>
        </w:rPr>
        <w:t xml:space="preserve">    basis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"Fumane"</w:t>
      </w:r>
      <w:r>
        <w:rPr>
          <w:rStyle w:val="NormalTok"/>
        </w:rPr>
        <w:t xml:space="preserve">,</w:t>
      </w:r>
      <w:r>
        <w:br/>
      </w:r>
      <w:r>
        <w:rPr>
          <w:rStyle w:val="NormalTok"/>
        </w:rPr>
        <w:t xml:space="preserve">    </w:t>
      </w:r>
      <w:r>
        <w:rPr>
          <w:rStyle w:val="StringTok"/>
        </w:rPr>
        <w:t xml:space="preserve">"MedianBP &gt; 39,799 (Protoaurignacian throughout sequence; Falcucci et al. 2017, 2020)"</w:t>
      </w:r>
      <w:r>
        <w:rPr>
          <w:rStyle w:val="NormalTok"/>
        </w:rPr>
        <w:t xml:space="preserve">,</w:t>
      </w:r>
      <w:r>
        <w:br/>
      </w:r>
      <w:r>
        <w:rPr>
          <w:rStyle w:val="NormalTok"/>
        </w:rPr>
        <w:t xml:space="preserve">    basis</w:t>
      </w:r>
      <w:r>
        <w:br/>
      </w:r>
      <w:r>
        <w:rPr>
          <w:rStyle w:val="NormalTok"/>
        </w:rPr>
        <w:t xml:space="preserve">  ))</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(site_objects, </w:t>
      </w:r>
      <w:r>
        <w:rPr>
          <w:rStyle w:val="AttributeTok"/>
        </w:rPr>
        <w:t xml:space="preserve">caption =</w:t>
      </w:r>
      <w:r>
        <w:rPr>
          <w:rStyle w:val="NormalTok"/>
        </w:rPr>
        <w:t xml:space="preserve"> </w:t>
      </w:r>
      <w:r>
        <w:rPr>
          <w:rStyle w:val="StringTok"/>
        </w:rPr>
        <w:t xml:space="preserve">"Retained sites with object counts and assignment basis."</w:t>
      </w:r>
      <w:r>
        <w:rPr>
          <w:rStyle w:val="NormalTok"/>
        </w:rPr>
        <w:t xml:space="preserve">)</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1444"/>
        <w:gridCol w:w="374"/>
        <w:gridCol w:w="428"/>
        <w:gridCol w:w="535"/>
        <w:gridCol w:w="588"/>
        <w:gridCol w:w="4548"/>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 (Chiotti 2005; Higham et al. 2011)</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 Falcucci et al. 2017, 2020)</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 (Barshay-Szmidt et al. 2012)</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 (Bataille &amp; Conard 2018)</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50</w:t>
            </w:r>
          </w:p>
        </w:tc>
        <w:tc>
          <w:tcPr/>
          <w:p>
            <w:pPr>
              <w:pStyle w:val="Compact"/>
              <w:jc w:val="right"/>
            </w:pPr>
            <w:r>
              <w:t xml:space="preserve">37683</w:t>
            </w:r>
          </w:p>
        </w:tc>
        <w:tc>
          <w:tcPr/>
          <w:p>
            <w:pPr>
              <w:pStyle w:val="Compact"/>
              <w:jc w:val="left"/>
            </w:pPr>
            <w:r>
              <w:t xml:space="preserve">technology</w:t>
            </w:r>
          </w:p>
        </w:tc>
        <w:tc>
          <w:tcPr/>
          <w:p>
            <w:pPr>
              <w:pStyle w:val="Compact"/>
              <w:jc w:val="left"/>
            </w:pPr>
            <w:r>
              <w:t xml:space="preserve">Early Aurignacian (Bataille &amp; Conard 2018; Dinnis et al. 2019)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 (Talamo et al. 2020)</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 (Oliva 2006)</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 (Schürch &amp; Conard 2026; Bataille &amp; Conard 2018)</w:t>
            </w:r>
          </w:p>
        </w:tc>
      </w:tr>
    </w:tbl>
    <w:p>
      <w:pPr>
        <w:pStyle w:val="SourceCode"/>
      </w:pPr>
      <w:r>
        <w:rPr>
          <w:rStyle w:val="CommentTok"/>
        </w:rPr>
        <w:t xml:space="preserve"># Inline-prose numbers computed from the pipeline (never hard-coded).</w:t>
      </w:r>
      <w:r>
        <w:br/>
      </w:r>
      <w:r>
        <w:rPr>
          <w:rStyle w:val="NormalTok"/>
        </w:rPr>
        <w:t xml:space="preserve">zero_sign_objects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n_zero_objects </w:t>
      </w:r>
      <w:r>
        <w:rPr>
          <w:rStyle w:val="OtherTok"/>
        </w:rPr>
        <w:t xml:space="preserve">&lt;-</w:t>
      </w:r>
      <w:r>
        <w:rPr>
          <w:rStyle w:val="NormalTok"/>
        </w:rPr>
        <w:t xml:space="preserve"> </w:t>
      </w:r>
      <w:r>
        <w:rPr>
          <w:rStyle w:val="FunctionTok"/>
        </w:rPr>
        <w:t xml:space="preserve">nrow</w:t>
      </w:r>
      <w:r>
        <w:rPr>
          <w:rStyle w:val="NormalTok"/>
        </w:rPr>
        <w:t xml:space="preserve">(zero_sign_objects)</w:t>
      </w:r>
      <w:r>
        <w:br/>
      </w:r>
      <w:r>
        <w:rPr>
          <w:rStyle w:val="NormalTok"/>
        </w:rPr>
        <w:t xml:space="preserve">n_zero_sites  </w:t>
      </w:r>
      <w:r>
        <w:rPr>
          <w:rStyle w:val="OtherTok"/>
        </w:rPr>
        <w:t xml:space="preserve">&lt;-</w:t>
      </w:r>
      <w:r>
        <w:rPr>
          <w:rStyle w:val="NormalTok"/>
        </w:rPr>
        <w:t xml:space="preserve"> </w:t>
      </w:r>
      <w:r>
        <w:rPr>
          <w:rStyle w:val="FunctionTok"/>
        </w:rPr>
        <w:t xml:space="preserve">n_distinct</w:t>
      </w:r>
      <w:r>
        <w:rPr>
          <w:rStyle w:val="NormalTok"/>
        </w:rPr>
        <w:t xml:space="preserve">(zero_sign_objects</w:t>
      </w:r>
      <w:r>
        <w:rPr>
          <w:rStyle w:val="SpecialCharTok"/>
        </w:rPr>
        <w:t xml:space="preserve">$</w:t>
      </w:r>
      <w:r>
        <w:rPr>
          <w:rStyle w:val="NormalTok"/>
        </w:rPr>
        <w:t xml:space="preserve">site_name)</w:t>
      </w:r>
      <w:r>
        <w:br/>
      </w:r>
      <w:r>
        <w:br/>
      </w:r>
      <w:r>
        <w:rPr>
          <w:rStyle w:val="NormalTok"/>
        </w:rPr>
        <w:t xml:space="preserve">n_retained_sites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site_name)</w:t>
      </w:r>
      <w:r>
        <w:br/>
      </w:r>
      <w:r>
        <w:rPr>
          <w:rStyle w:val="NormalTok"/>
        </w:rPr>
        <w:t xml:space="preserve">n_retained_objects  </w:t>
      </w:r>
      <w:r>
        <w:rPr>
          <w:rStyle w:val="OtherTok"/>
        </w:rPr>
        <w:t xml:space="preserve">&lt;-</w:t>
      </w:r>
      <w:r>
        <w:rPr>
          <w:rStyle w:val="NormalTok"/>
        </w:rPr>
        <w:t xml:space="preserve"> </w:t>
      </w:r>
      <w:r>
        <w:rPr>
          <w:rStyle w:val="FunctionTok"/>
        </w:rPr>
        <w:t xml:space="preserve">nrow</w:t>
      </w:r>
      <w:r>
        <w:rPr>
          <w:rStyle w:val="NormalTok"/>
        </w:rPr>
        <w:t xml:space="preserve">(signbase_full_clean)</w:t>
      </w:r>
      <w:r>
        <w:br/>
      </w:r>
      <w:r>
        <w:rPr>
          <w:rStyle w:val="NormalTok"/>
        </w:rPr>
        <w:t xml:space="preserve">n_retained_countries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country)</w:t>
      </w:r>
      <w:r>
        <w:br/>
      </w:r>
      <w:r>
        <w:br/>
      </w:r>
      <w:r>
        <w:rPr>
          <w:rStyle w:val="NormalTok"/>
        </w:rPr>
        <w:t xml:space="preserve">n_p1_sites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n_p1_objects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n_p2_sites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r>
        <w:br/>
      </w:r>
      <w:r>
        <w:rPr>
          <w:rStyle w:val="NormalTok"/>
        </w:rPr>
        <w:t xml:space="preserve">n_p2_objects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p>
    <w:bookmarkEnd w:id="21"/>
    <w:bookmarkStart w:id="31" w:name="key-literature-findings"/>
    <w:p>
      <w:pPr>
        <w:pStyle w:val="Heading2"/>
      </w:pPr>
      <w:r>
        <w:t xml:space="preserve">Key literature findings</w:t>
      </w:r>
    </w:p>
    <w:bookmarkStart w:id="22" w:name="hohle-fels-early-aurignacian"/>
    <w:p>
      <w:pPr>
        <w:pStyle w:val="Heading3"/>
      </w:pPr>
      <w:r>
        <w:t xml:space="preserve">Hohle Fels → Early Aurignacian</w:t>
      </w:r>
    </w:p>
    <w:p>
      <w:pPr>
        <w:numPr>
          <w:ilvl w:val="0"/>
          <w:numId w:val="1001"/>
        </w:numPr>
        <w:pStyle w:val="Compact"/>
      </w:pPr>
      <w:r>
        <w:t xml:space="preserve">Bataille &amp; Conard 2018 (PLoS ONE): AH IV is a</w:t>
      </w:r>
      <w:r>
        <w:t xml:space="preserve"> </w:t>
      </w:r>
      <w:r>
        <w:t xml:space="preserve">“</w:t>
      </w:r>
      <w:r>
        <w:t xml:space="preserve">techno-functional facies of the Swabian Aurignacian</w:t>
      </w:r>
      <w:r>
        <w:t xml:space="preserve">”</w:t>
      </w:r>
      <w:r>
        <w:t xml:space="preserve"> </w:t>
      </w:r>
      <w:r>
        <w:t xml:space="preserve">with burin-core bladelet production; shares features with Early Aurignacian; challenges application of Western European typo-chronological system to Central Europe.</w:t>
      </w:r>
    </w:p>
    <w:p>
      <w:pPr>
        <w:numPr>
          <w:ilvl w:val="0"/>
          <w:numId w:val="1001"/>
        </w:numPr>
        <w:pStyle w:val="Compact"/>
      </w:pPr>
      <w:r>
        <w:t xml:space="preserve">Bataille &amp; Conard 2019 (Quartär): AH IIIa and IV share similar tool/core assemblages typical of Swabian Aurignacian.</w:t>
      </w:r>
    </w:p>
    <w:p>
      <w:pPr>
        <w:numPr>
          <w:ilvl w:val="0"/>
          <w:numId w:val="1001"/>
        </w:numPr>
        <w:pStyle w:val="Compact"/>
      </w:pPr>
      <w:r>
        <w:t xml:space="preserve">Dinnis et al. 2019 (PPS): Hohle Fels IV shows</w:t>
      </w:r>
      <w:r>
        <w:t xml:space="preserve"> </w:t>
      </w:r>
      <w:r>
        <w:t xml:space="preserve">“</w:t>
      </w:r>
      <w:r>
        <w:t xml:space="preserve">important similarities with the Western European Late Aurignacian</w:t>
      </w:r>
      <w:r>
        <w:t xml:space="preserve">”</w:t>
      </w:r>
      <w:r>
        <w:t xml:space="preserve">; radiocarbon dates of 33–30 ka uncal BP are not older than Western European Late Aurignacian.</w:t>
      </w:r>
    </w:p>
    <w:bookmarkEnd w:id="22"/>
    <w:bookmarkStart w:id="23" w:name="vogelherd-early-aurignacian"/>
    <w:p>
      <w:pPr>
        <w:pStyle w:val="Heading3"/>
      </w:pPr>
      <w:r>
        <w:t xml:space="preserve">Vogelherd → Early Aurignacian</w:t>
      </w:r>
    </w:p>
    <w:p>
      <w:pPr>
        <w:numPr>
          <w:ilvl w:val="0"/>
          <w:numId w:val="1002"/>
        </w:numPr>
        <w:pStyle w:val="Compact"/>
      </w:pPr>
      <w:r>
        <w:t xml:space="preserve">Schürch &amp; Conard 2026 (JPA): Reassesses cultural stratigraphy; AH IV–V are Aurignacian but with severe mixing (38 refit connections between layers); 15 radiocarbon dates span 42–34.5 ka BP (calibrated); Gravettian also present.</w:t>
      </w:r>
    </w:p>
    <w:p>
      <w:pPr>
        <w:numPr>
          <w:ilvl w:val="0"/>
          <w:numId w:val="1002"/>
        </w:numPr>
        <w:pStyle w:val="Compact"/>
      </w:pPr>
      <w:r>
        <w:t xml:space="preserve">Schürch et al. 2025 (PLoS ONE): Blade/bladelet production analysis; mixing documented but majority of artifacts are Aurignacian.</w:t>
      </w:r>
    </w:p>
    <w:p>
      <w:pPr>
        <w:numPr>
          <w:ilvl w:val="0"/>
          <w:numId w:val="1002"/>
        </w:numPr>
        <w:pStyle w:val="Compact"/>
      </w:pPr>
      <w:r>
        <w:t xml:space="preserve">Conard &amp; Bolus 2003, 2008: Original dating of Vogelherd Aurignacian to 41–35 ka BP (calibrated).</w:t>
      </w:r>
    </w:p>
    <w:bookmarkEnd w:id="23"/>
    <w:bookmarkStart w:id="24" w:name="fumane-protoaurignacian"/>
    <w:p>
      <w:pPr>
        <w:pStyle w:val="Heading3"/>
      </w:pPr>
      <w:r>
        <w:t xml:space="preserve">Fumane → Protoaurignacian</w:t>
      </w:r>
    </w:p>
    <w:p>
      <w:pPr>
        <w:numPr>
          <w:ilvl w:val="0"/>
          <w:numId w:val="1003"/>
        </w:numPr>
        <w:pStyle w:val="Compact"/>
      </w:pPr>
      <w:r>
        <w:t xml:space="preserve">Falcucci et al. 2017 (PLoS ONE): Protoaurignacian techno-typology persists throughout sequence at Fumane (A2-A1 through D3).</w:t>
      </w:r>
    </w:p>
    <w:p>
      <w:pPr>
        <w:numPr>
          <w:ilvl w:val="0"/>
          <w:numId w:val="1003"/>
        </w:numPr>
        <w:pStyle w:val="Compact"/>
      </w:pPr>
      <w:r>
        <w:t xml:space="preserve">Falcucci et al. 2020 (JASS):</w:t>
      </w:r>
      <w:r>
        <w:t xml:space="preserve"> </w:t>
      </w:r>
      <w:r>
        <w:t xml:space="preserve">“</w:t>
      </w:r>
      <w:r>
        <w:t xml:space="preserve">Features of the Protoaurignacian techno-typology are present throughout the stratigraphic sequence.</w:t>
      </w:r>
      <w:r>
        <w:t xml:space="preserve">”</w:t>
      </w:r>
    </w:p>
    <w:p>
      <w:pPr>
        <w:numPr>
          <w:ilvl w:val="0"/>
          <w:numId w:val="1003"/>
        </w:numPr>
        <w:pStyle w:val="Compact"/>
      </w:pPr>
      <w:r>
        <w:t xml:space="preserve">Falcucci 2018 (MGFu):</w:t>
      </w:r>
      <w:r>
        <w:t xml:space="preserve"> </w:t>
      </w:r>
      <w:r>
        <w:t xml:space="preserve">“</w:t>
      </w:r>
      <w:r>
        <w:t xml:space="preserve">Protoaurignacian clearly persists throughout the stratigraphic sequence.</w:t>
      </w:r>
      <w:r>
        <w:t xml:space="preserve">”</w:t>
      </w:r>
    </w:p>
    <w:bookmarkEnd w:id="24"/>
    <w:bookmarkStart w:id="25" w:name="la-ferrassie-early-aurignacian"/>
    <w:p>
      <w:pPr>
        <w:pStyle w:val="Heading3"/>
      </w:pPr>
      <w:r>
        <w:t xml:space="preserve">La Ferrassie → Early Aurignacian</w:t>
      </w:r>
    </w:p>
    <w:p>
      <w:pPr>
        <w:numPr>
          <w:ilvl w:val="0"/>
          <w:numId w:val="1004"/>
        </w:numPr>
        <w:pStyle w:val="Compact"/>
      </w:pPr>
      <w:r>
        <w:t xml:space="preserve">Talamo et al. 2020: Technological attribution places La Ferrassie in the Early Aurignacian.</w:t>
      </w:r>
    </w:p>
    <w:bookmarkEnd w:id="25"/>
    <w:bookmarkStart w:id="26" w:name="abri-pataud-early-aurignacian"/>
    <w:p>
      <w:pPr>
        <w:pStyle w:val="Heading3"/>
      </w:pPr>
      <w:r>
        <w:t xml:space="preserve">Abri Pataud → Early Aurignacian</w:t>
      </w:r>
    </w:p>
    <w:p>
      <w:pPr>
        <w:numPr>
          <w:ilvl w:val="0"/>
          <w:numId w:val="1005"/>
        </w:numPr>
        <w:pStyle w:val="Compact"/>
      </w:pPr>
      <w:r>
        <w:t xml:space="preserve">Chiotti 2005: Technological analysis assigns Abri Pataud to the Early Aurignacian.</w:t>
      </w:r>
    </w:p>
    <w:p>
      <w:pPr>
        <w:numPr>
          <w:ilvl w:val="0"/>
          <w:numId w:val="1005"/>
        </w:numPr>
        <w:pStyle w:val="Compact"/>
      </w:pPr>
      <w:r>
        <w:t xml:space="preserve">Higham et al. 2011: Radiocarbon dating supports Early Aurignacian placement.</w:t>
      </w:r>
    </w:p>
    <w:bookmarkEnd w:id="26"/>
    <w:bookmarkStart w:id="27" w:name="mladeč-evolved-aurignacian"/>
    <w:p>
      <w:pPr>
        <w:pStyle w:val="Heading3"/>
      </w:pPr>
      <w:r>
        <w:t xml:space="preserve">Mladeč → Evolved Aurignacian</w:t>
      </w:r>
    </w:p>
    <w:p>
      <w:pPr>
        <w:numPr>
          <w:ilvl w:val="0"/>
          <w:numId w:val="1006"/>
        </w:numPr>
        <w:pStyle w:val="Compact"/>
      </w:pPr>
      <w:r>
        <w:t xml:space="preserve">Oliva 2006: Technological and typological analysis assigns Mladeč to the Evolved Aurignacian.</w:t>
      </w:r>
    </w:p>
    <w:bookmarkEnd w:id="27"/>
    <w:bookmarkStart w:id="28" w:name="spy-excluded"/>
    <w:p>
      <w:pPr>
        <w:pStyle w:val="Heading3"/>
      </w:pPr>
      <w:r>
        <w:t xml:space="preserve">Spy → Excluded</w:t>
      </w:r>
    </w:p>
    <w:p>
      <w:pPr>
        <w:numPr>
          <w:ilvl w:val="0"/>
          <w:numId w:val="1007"/>
        </w:numPr>
        <w:pStyle w:val="Compact"/>
      </w:pPr>
      <w:r>
        <w:t xml:space="preserve">Flas et al. 2013: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7"/>
        </w:numPr>
        <w:pStyle w:val="Compact"/>
      </w:pPr>
      <w:r>
        <w:t xml:space="preserve">Flas 2015: The Aurignacian at Spy is a mixed assemblage containing a small Early Aurignacian component and several Late Aurignacian components. The earliest convincing Aurignacian date in the region is about 33,000–32,000 BP.</w:t>
      </w:r>
    </w:p>
    <w:p>
      <w:pPr>
        <w:numPr>
          <w:ilvl w:val="0"/>
          <w:numId w:val="1007"/>
        </w:numPr>
        <w:pStyle w:val="Compact"/>
      </w:pPr>
      <w:r>
        <w:t xml:space="preserve">Semal et al. 2009: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7"/>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28"/>
    <w:bookmarkStart w:id="29" w:name="gatzarria-proto-aurignacian"/>
    <w:p>
      <w:pPr>
        <w:pStyle w:val="Heading3"/>
      </w:pPr>
      <w:r>
        <w:t xml:space="preserve">Gatzarria → Proto-Aurignacian</w:t>
      </w:r>
    </w:p>
    <w:p>
      <w:pPr>
        <w:numPr>
          <w:ilvl w:val="0"/>
          <w:numId w:val="1008"/>
        </w:numPr>
        <w:pStyle w:val="Compact"/>
      </w:pPr>
      <w:r>
        <w:t xml:space="preserve">Barshay-Szmidt et al. 2012: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8"/>
        </w:numPr>
        <w:pStyle w:val="Compact"/>
      </w:pPr>
      <w:r>
        <w:t xml:space="preserve">Deschamps 2019: Confirms complex stratigraphy and mixing concerns, but notes Cjn2 is internally coherent in the anterior zone.</w:t>
      </w:r>
    </w:p>
    <w:bookmarkEnd w:id="29"/>
    <w:bookmarkStart w:id="30" w:name="el-castillo-excluded"/>
    <w:p>
      <w:pPr>
        <w:pStyle w:val="Heading3"/>
      </w:pPr>
      <w:r>
        <w:t xml:space="preserve">El Castillo → Excluded</w:t>
      </w:r>
    </w:p>
    <w:p>
      <w:pPr>
        <w:numPr>
          <w:ilvl w:val="0"/>
          <w:numId w:val="1009"/>
        </w:numPr>
        <w:pStyle w:val="Compact"/>
      </w:pPr>
      <w:r>
        <w:t xml:space="preserve">Mixed/contaminated layers preclude reliable phase assignment.</w:t>
      </w:r>
    </w:p>
    <w:bookmarkEnd w:id="30"/>
    <w:bookmarkEnd w:id="31"/>
    <w:bookmarkStart w:id="44"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410 objects across 7 countries</w:t>
      </w:r>
      <w:r>
        <w:t xml:space="preserve">: Aur-P1 (Proto/Early) has 20 sites and 376 objects, Aur-P2 (Evolved/Late) has 8 sites and 34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50</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3"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2"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1479"/>
              <w:gridCol w:w="696"/>
              <w:gridCol w:w="57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 (Schürch &amp; Conard 2026; Bataille &amp; Conard 2018)</w:t>
                  </w:r>
                </w:p>
              </w:tc>
            </w:tr>
            <w:tr>
              <w:tc>
                <w:tcPr/>
                <w:p>
                  <w:pPr>
                    <w:pStyle w:val="Compact"/>
                    <w:jc w:val="left"/>
                    <w:jc w:val="center"/>
                  </w:pPr>
                  <w:r>
                    <w:t xml:space="preserve">Hohle Fels</w:t>
                  </w:r>
                </w:p>
              </w:tc>
              <w:tc>
                <w:tcPr/>
                <w:p>
                  <w:pPr>
                    <w:pStyle w:val="Compact"/>
                    <w:jc w:val="right"/>
                    <w:jc w:val="center"/>
                  </w:pPr>
                  <w:r>
                    <w:t xml:space="preserve">50</w:t>
                  </w:r>
                </w:p>
              </w:tc>
              <w:tc>
                <w:tcPr/>
                <w:p>
                  <w:pPr>
                    <w:pStyle w:val="Compact"/>
                    <w:jc w:val="left"/>
                    <w:jc w:val="center"/>
                  </w:pPr>
                  <w:r>
                    <w:t xml:space="preserve">Early Aurignacian (Bataille &amp; Conard 2018; Dinnis et al. 2019)</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 (Bataille &amp; Conard 2018)</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 (Talamo et al. 2020)</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 (Chiotti 2005; Higham et al. 2011)</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 (Barshay-Szmidt et al. 2012)</w:t>
                  </w:r>
                </w:p>
              </w:tc>
            </w:tr>
          </w:tbl>
          <w:bookmarkEnd w:id="32"/>
          <w:p/>
        </w:tc>
      </w:tr>
    </w:tbl>
    <w:bookmarkEnd w:id="33"/>
    <w:bookmarkStart w:id="35"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4" w:name="tbl-tech-aurp2"/>
          <w:p>
            <w:pPr>
              <w:jc w:val="center"/>
            </w:pPr>
            <w:pPr>
              <w:jc w:val="start"/>
              <w:spacing w:before="200"/>
              <w:pStyle w:val="ImageCaption"/>
            </w:pPr>
            <w:r>
              <w:t xml:space="preserve">Table 2: Aur-P2 sites assigned by technology rather than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 (Oliva 2006)</w:t>
                  </w:r>
                </w:p>
              </w:tc>
            </w:tr>
          </w:tbl>
          <w:bookmarkEnd w:id="34"/>
          <w:p/>
        </w:tc>
      </w:tr>
    </w:tbl>
    <w:bookmarkEnd w:id="35"/>
    <w:bookmarkStart w:id="37"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6"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48"/>
              <w:gridCol w:w="498"/>
              <w:gridCol w:w="6672"/>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 (Flas et al. 2013; Flas 2015; Semal et al. 2009)</w:t>
                  </w:r>
                </w:p>
              </w:tc>
            </w:tr>
          </w:tbl>
          <w:bookmarkEnd w:id="36"/>
          <w:p/>
        </w:tc>
      </w:tr>
    </w:tbl>
    <w:bookmarkEnd w:id="37"/>
    <w:bookmarkStart w:id="39"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38"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782"/>
              <w:gridCol w:w="528"/>
              <w:gridCol w:w="561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 Falcucci et al. 2017, 2020)</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38"/>
          <w:p/>
        </w:tc>
      </w:tr>
    </w:tbl>
    <w:bookmarkEnd w:id="39"/>
    <w:bookmarkStart w:id="41"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0"/>
          <w:p/>
        </w:tc>
      </w:tr>
    </w:tbl>
    <w:bookmarkEnd w:id="41"/>
    <w:bookmarkStart w:id="43"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2"/>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3"/>
    <w:bookmarkEnd w:id="44"/>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
  <cp:keywords/>
  <dcterms:created xsi:type="dcterms:W3CDTF">2026-08-06T01:41:10Z</dcterms:created>
  <dcterms:modified xsi:type="dcterms:W3CDTF">2026-08-06T01:41:10Z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date">
    <vt:lpwstr>August 5, 2026</vt:lpwstr>
  </property>
  <property fmtid="{D5CDD505-2E9C-101B-9397-08002B2CF9AE}" pid="6" name="date-format">
    <vt:lpwstr>long</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stitute">
    <vt:lpwstr/>
  </property>
  <property fmtid="{D5CDD505-2E9C-101B-9397-08002B2CF9AE}" pid="12" name="institutes">
    <vt:lpwstr/>
  </property>
  <property fmtid="{D5CDD505-2E9C-101B-9397-08002B2CF9AE}" pid="13" name="labels">
    <vt:lpwstr/>
  </property>
  <property fmtid="{D5CDD505-2E9C-101B-9397-08002B2CF9AE}" pid="14" name="subtitle">
    <vt:lpwstr>Geometric signs as proxies for cultural connectivity during the Western Eurasian Aurignacian</vt:lpwstr>
  </property>
  <property fmtid="{D5CDD505-2E9C-101B-9397-08002B2CF9AE}" pid="15" name="title-block-published">
    <vt:lpwstr>Last updated</vt:lpwstr>
  </property>
  <property fmtid="{D5CDD505-2E9C-101B-9397-08002B2CF9AE}" pid="16" name="toc-title">
    <vt:lpwstr>Table of contents</vt:lpwstr>
  </property>
</Properties>
</file>