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[25,26]</w:t>
      </w:r>
      <w:r>
        <w:t xml:space="preserve">, La Ferrassie in the Early Aurignacian (Aur-P1) on the basis of Layer 7 directly above the Châtelperronian</w:t>
      </w:r>
      <w:r>
        <w:t xml:space="preserve"> </w:t>
      </w:r>
      <w:r>
        <w:t xml:space="preserve">[27]</w:t>
      </w:r>
      <w:r>
        <w:t xml:space="preserve">, Mladeč in the Evolved Aurignacian (Aur-P2) on the basis of its massive-base bone points and ~31 ka ¹⁴C BP (~35–36 ka cal BP) dates</w:t>
      </w:r>
      <w:r>
        <w:t xml:space="preserve"> </w:t>
      </w:r>
      <w:r>
        <w:t xml:space="preserve">[28]</w:t>
      </w:r>
      <w:r>
        <w:t xml:space="preserve">, and the Swabian Jura site of Geissenklösterle in the Early Aurignacian</w:t>
      </w:r>
      <w:r>
        <w:t xml:space="preserve"> </w:t>
      </w:r>
      <w:r>
        <w:t xml:space="preserve">[24,Aur-P1, 29]</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[15,24,29]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[32]</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[12,14,22,33]</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[34,35]</w:t>
            </w:r>
          </w:p>
          <w:bookmarkEnd w:id="27"/>
        </w:tc>
      </w:tr>
    </w:tbl>
    <w:p>
      <w:pPr>
        <w:pStyle w:val="BodyText"/>
      </w:pPr>
      <w:r>
        <w:t xml:space="preserve">Ages of the objects were determined by calibrating the uncalibrated ages provided by SignBase using the rcarbon package</w:t>
      </w:r>
      <w:r>
        <w:t xml:space="preserve"> </w:t>
      </w:r>
      <w:r>
        <w:t xml:space="preserve">[36]</w:t>
      </w:r>
      <w:r>
        <w:t xml:space="preserve"> </w:t>
      </w:r>
      <w:r>
        <w:t xml:space="preserve">and IntCal20 calibration curve.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[37]</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[38]</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[39]</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[40]</w:t>
      </w:r>
      <w:r>
        <w:t xml:space="preserve">. This relationship can be investigated using the isolation-by-distance framework, which proposes that cultural difference can be primarily explained by geographic distance</w:t>
      </w:r>
      <w:r>
        <w:t xml:space="preserve"> </w:t>
      </w:r>
      <w:r>
        <w:t xml:space="preserve">[37]</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[41]</w:t>
      </w:r>
      <w:r>
        <w:t xml:space="preserve">. We used the Brower-Kile</w:t>
      </w:r>
      <w:r>
        <w:t xml:space="preserve"> </w:t>
      </w:r>
      <w:r>
        <w:t xml:space="preserve">[42]</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[43]</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[44]</w:t>
      </w:r>
      <w:r>
        <w:t xml:space="preserve">, a force-directed graph layout for uniform edge lengths, and network analysis was performed using the vegan</w:t>
      </w:r>
      <w:r>
        <w:t xml:space="preserve"> </w:t>
      </w:r>
      <w:r>
        <w:t xml:space="preserve">[39]</w:t>
      </w:r>
      <w:r>
        <w:t xml:space="preserve">, statnet</w:t>
      </w:r>
      <w:r>
        <w:t xml:space="preserve"> </w:t>
      </w:r>
      <w:r>
        <w:t xml:space="preserve">[45]</w:t>
      </w:r>
      <w:r>
        <w:t xml:space="preserve"> </w:t>
      </w:r>
      <w:r>
        <w:t xml:space="preserve">and igraph</w:t>
      </w:r>
      <w:r>
        <w:t xml:space="preserve"> </w:t>
      </w:r>
      <w:r>
        <w:t xml:space="preserve">[46]</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[47,48]</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[39]</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continuous predictors independent of the distance matrix (log object count and richness) rather than on the discrete groups; regressing Jaccard dissimilarity on its own first PCoA axis is significant by construction and is not used as validation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[49,50]</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strong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visualization suggests two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[35]</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[51,52]</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[53,54]</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[55–62]</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[4,62–73]</w:t>
      </w:r>
      <w:r>
        <w:t xml:space="preserve">. Drawing on this work, we might speculate that the broader/restricted range gradient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[74]</w:t>
      </w:r>
      <w:r>
        <w:t xml:space="preserve">;</w:t>
      </w:r>
      <w:r>
        <w:t xml:space="preserve"> </w:t>
      </w:r>
      <w:r>
        <w:t xml:space="preserve">[75]</w:t>
      </w:r>
      <w:r>
        <w:t xml:space="preserve">;</w:t>
      </w:r>
      <w:r>
        <w:t xml:space="preserve"> </w:t>
      </w:r>
      <w:r>
        <w:t xml:space="preserve">[60]</w:t>
      </w:r>
      <w:r>
        <w:t xml:space="preserve">;</w:t>
      </w:r>
      <w:r>
        <w:t xml:space="preserve"> </w:t>
      </w:r>
      <w:r>
        <w:t xml:space="preserve">[76]</w:t>
      </w:r>
      <w:r>
        <w:t xml:space="preserve">;</w:t>
      </w:r>
      <w:r>
        <w:t xml:space="preserve"> </w:t>
      </w:r>
      <w:r>
        <w:t xml:space="preserve">[61]</w:t>
      </w:r>
      <w:r>
        <w:t xml:space="preserve">. Non-utilitarian mobility establishes regional social networks which facilitate the spread of information and the survival of hunter-gatherers in uncertain environments</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w:t>
      </w:r>
      <w:r>
        <w:t xml:space="preserve"> </w:t>
      </w:r>
      <w:r>
        <w:t xml:space="preserve">[81]</w:t>
      </w:r>
      <w:r>
        <w:t xml:space="preserve">. The exchange and production of decorative items, such as objects with geometric signs, has been associated with non-utilitarian mobility and recognized as an indicator of social contact</w:t>
      </w:r>
      <w:r>
        <w:t xml:space="preserve"> </w:t>
      </w:r>
      <w:r>
        <w:t xml:space="preserve">[77]</w:t>
      </w:r>
      <w:r>
        <w:t xml:space="preserve">;</w:t>
      </w:r>
      <w:r>
        <w:t xml:space="preserve"> </w:t>
      </w:r>
      <w:r>
        <w:t xml:space="preserve">[82]</w:t>
      </w:r>
      <w:r>
        <w:t xml:space="preserve">;</w:t>
      </w:r>
      <w:r>
        <w:t xml:space="preserve"> </w:t>
      </w:r>
      <w:r>
        <w:t xml:space="preserve">[83]</w:t>
      </w:r>
      <w:r>
        <w:t xml:space="preserve">;</w:t>
      </w:r>
      <w:r>
        <w:t xml:space="preserve"> </w:t>
      </w:r>
      <w:r>
        <w:t xml:space="preserve">[84]</w:t>
      </w:r>
      <w:r>
        <w:t xml:space="preserve">;</w:t>
      </w:r>
      <w:r>
        <w:t xml:space="preserve"> </w:t>
      </w:r>
      <w:r>
        <w:t xml:space="preserve">[85]</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[86]</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[86]</w:t>
      </w:r>
      <w:r>
        <w:t xml:space="preserve">, including, in some cases, decorative objects</w:t>
      </w:r>
      <w:r>
        <w:t xml:space="preserve"> </w:t>
      </w:r>
      <w:r>
        <w:t xml:space="preserve">[82]</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[2,87–93]</w:t>
      </w:r>
      <w:r>
        <w:t xml:space="preserve">.</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[94,95]</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[96]</w:t>
      </w:r>
      <w:r>
        <w:t xml:space="preserve">. This was followed by rapid expansion from 43.25–41 ka cal BP, with the maximum extent of early Aurignacian (Aur-P1) settlement being reached around 41 ka cal BP (</w:t>
      </w:r>
      <w:r>
        <w:t xml:space="preserve">[21]</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[97–105]</w:t>
      </w:r>
      <w:r>
        <w:t xml:space="preserve">.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sensitivity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[22]</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[96]</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Further analysis testing for sign composition differences across sites grouped by geography alone (Partioning Around Medoids on geodesic distances, k=2 to 5, with Jaccard dissimilarity and PERMANOVA) found no significant differences across geographic groups (S1 S5.13).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[106]</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[106]</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[107–109]</w:t>
      </w:r>
      <w:r>
        <w:t xml:space="preserve">. Smaller populations are predicted to experience greater drift and reduced capacity to maintain complex cultural repertoires</w:t>
      </w:r>
      <w:r>
        <w:t xml:space="preserve"> </w:t>
      </w:r>
      <w:r>
        <w:t xml:space="preserve">[110]</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[111,112]</w:t>
      </w:r>
      <w:r>
        <w:t xml:space="preserve">, while more clustered networks promote localised conformist transmission and differentiation within subgroups</w:t>
      </w:r>
      <w:r>
        <w:t xml:space="preserve"> </w:t>
      </w:r>
      <w:r>
        <w:t xml:space="preserve">[113]</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[110,114]</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[115]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[116]</w:t>
      </w:r>
      <w:r>
        <w:t xml:space="preserve"> </w:t>
      </w:r>
      <w:r>
        <w:t xml:space="preserve">(sign sequences having protocuneiform-like information density, suggesting notational function) and</w:t>
      </w:r>
      <w:r>
        <w:t xml:space="preserve"> </w:t>
      </w:r>
      <w:r>
        <w:t xml:space="preserve">[117]</w:t>
      </w:r>
      <w:r>
        <w:t xml:space="preserve"> </w:t>
      </w:r>
      <w:r>
        <w:t xml:space="preserve">(some signs recording seasonal prey information). However, both hypotheses are contested:</w:t>
      </w:r>
      <w:r>
        <w:t xml:space="preserve"> </w:t>
      </w:r>
      <w:r>
        <w:t xml:space="preserve">[118]</w:t>
      </w:r>
      <w:r>
        <w:t xml:space="preserve"> </w:t>
      </w:r>
      <w:r>
        <w:t xml:space="preserve">note methodological issues in Bentz &amp; Dutkiewicz;</w:t>
      </w:r>
      <w:r>
        <w:t xml:space="preserve"> </w:t>
      </w:r>
      <w:r>
        <w:t xml:space="preserve">[119]</w:t>
      </w:r>
      <w:r>
        <w:t xml:space="preserve"> </w:t>
      </w:r>
      <w:r>
        <w:t xml:space="preserve">and</w:t>
      </w:r>
      <w:r>
        <w:t xml:space="preserve"> </w:t>
      </w:r>
      <w:r>
        <w:t xml:space="preserve">[120]</w:t>
      </w:r>
      <w:r>
        <w:t xml:space="preserve"> </w:t>
      </w:r>
      <w:r>
        <w:t xml:space="preserve">argue the lunar calendar hypothesis is untestable, circular, and selectively uses data;</w:t>
      </w:r>
      <w:r>
        <w:t xml:space="preserve"> </w:t>
      </w:r>
      <w:r>
        <w:t xml:space="preserve">[121]</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[3,88,122–125]</w:t>
      </w:r>
      <w:r>
        <w:t xml:space="preserve"> </w:t>
      </w:r>
      <w:r>
        <w:t xml:space="preserve">has used material culture analysis to reconstruct Upper Palaeolithic social networks, which have been argued to be a driver of cultural and evolutionary change</w:t>
      </w:r>
      <w:r>
        <w:t xml:space="preserve"> </w:t>
      </w:r>
      <w:r>
        <w:t xml:space="preserve">[2,81,126–130]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[116–121]</w:t>
      </w:r>
      <w:r>
        <w:t xml:space="preserve">. Our findings are consistent with the conclusions of</w:t>
      </w:r>
      <w:r>
        <w:t xml:space="preserve"> </w:t>
      </w:r>
      <w:r>
        <w:t xml:space="preserve">[106]</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[131]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[132]</w:t>
      </w:r>
      <w:r>
        <w:t xml:space="preserve">, and additionally, greater quantities of included sign types serve to establish stronger connections</w:t>
      </w:r>
      <w:r>
        <w:t xml:space="preserve"> </w:t>
      </w:r>
      <w:r>
        <w:t xml:space="preserve">[133]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[116]</w:t>
      </w:r>
      <w:r>
        <w:t xml:space="preserve">.</w:t>
      </w:r>
    </w:p>
    <w:p>
      <w:pPr>
        <w:pStyle w:val="BodyText"/>
      </w:pPr>
      <w:r>
        <w:t xml:space="preserve">A second limitation concerns the effects of time-averaging on our network reconstructions.</w:t>
      </w:r>
      <w:r>
        <w:t xml:space="preserve"> </w:t>
      </w:r>
      <w:r>
        <w:t xml:space="preserve">[134]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[76]</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[25,26]</w:t>
      </w:r>
      <w:r>
        <w:t xml:space="preserve">, La Ferrassie’s Aurignacian begins with the Early Aurignacian directly above the Châtelperronian</w:t>
      </w:r>
      <w:r>
        <w:t xml:space="preserve"> </w:t>
      </w:r>
      <w:r>
        <w:t xml:space="preserve">[27]</w:t>
      </w:r>
      <w:r>
        <w:t xml:space="preserve">, and Mladeč’s massive-base bone points and ~31 ka ¹⁴C BP (~35–36 ka cal BP) dates indicate an Evolved (Aur-P2) attribution</w:t>
      </w:r>
      <w:r>
        <w:t xml:space="preserve"> </w:t>
      </w:r>
      <w:r>
        <w:t xml:space="preserve">[28]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6" w:name="references"/>
    <w:p>
      <w:pPr>
        <w:pStyle w:val="Heading1"/>
      </w:pPr>
      <w:r>
        <w:t xml:space="preserve">References</w:t>
      </w:r>
    </w:p>
    <w:bookmarkStart w:id="315"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Chiotti_2005"/>
    <w:p>
      <w:pPr>
        <w:pStyle w:val="Bibliography"/>
      </w:pPr>
      <w:r>
        <w:t xml:space="preserve">[25]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8">
        <w:r>
          <w:rPr>
            <w:rStyle w:val="Hyperlink"/>
          </w:rPr>
          <w:t xml:space="preserve">https://doi.org/10.30861/9781841718309</w:t>
        </w:r>
      </w:hyperlink>
      <w:r>
        <w:t xml:space="preserve">.</w:t>
      </w:r>
    </w:p>
    <w:bookmarkEnd w:id="109"/>
    <w:bookmarkStart w:id="111" w:name="ref-Higham_Abri_Pataud_2011"/>
    <w:p>
      <w:pPr>
        <w:pStyle w:val="Bibliography"/>
      </w:pPr>
      <w:r>
        <w:t xml:space="preserve">[26]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10">
        <w:r>
          <w:rPr>
            <w:rStyle w:val="Hyperlink"/>
          </w:rPr>
          <w:t xml:space="preserve">https://doi.org/10.1016/j.jhevol.2011.06.005</w:t>
        </w:r>
      </w:hyperlink>
      <w:r>
        <w:t xml:space="preserve">.</w:t>
      </w:r>
    </w:p>
    <w:bookmarkEnd w:id="111"/>
    <w:bookmarkStart w:id="113" w:name="ref-Talamo_La_Ferrassie_2020"/>
    <w:p>
      <w:pPr>
        <w:pStyle w:val="Bibliography"/>
      </w:pPr>
      <w:r>
        <w:t xml:space="preserve">[27]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2">
        <w:r>
          <w:rPr>
            <w:rStyle w:val="Hyperlink"/>
          </w:rPr>
          <w:t xml:space="preserve">https://doi.org/10.1002/jqs.3236</w:t>
        </w:r>
      </w:hyperlink>
      <w:r>
        <w:t xml:space="preserve">.</w:t>
      </w:r>
    </w:p>
    <w:bookmarkEnd w:id="113"/>
    <w:bookmarkStart w:id="115" w:name="ref-Wild_et_al_2005"/>
    <w:p>
      <w:pPr>
        <w:pStyle w:val="Bibliography"/>
      </w:pPr>
      <w:r>
        <w:t xml:space="preserve">[28]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4">
        <w:r>
          <w:rPr>
            <w:rStyle w:val="Hyperlink"/>
          </w:rPr>
          <w:t xml:space="preserve">https://doi.org/10.1038/nature03585</w:t>
        </w:r>
      </w:hyperlink>
      <w:r>
        <w:t xml:space="preserve">.</w:t>
      </w:r>
    </w:p>
    <w:bookmarkEnd w:id="115"/>
    <w:bookmarkStart w:id="117" w:name="ref-Bataille_Conard_2018"/>
    <w:p>
      <w:pPr>
        <w:pStyle w:val="Bibliography"/>
      </w:pPr>
      <w:r>
        <w:t xml:space="preserve">[29]</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6">
        <w:r>
          <w:rPr>
            <w:rStyle w:val="Hyperlink"/>
          </w:rPr>
          <w:t xml:space="preserve">https://doi.org/10.1371/journal.pone.0194097</w:t>
        </w:r>
      </w:hyperlink>
      <w:r>
        <w:t xml:space="preserve">.</w:t>
      </w:r>
    </w:p>
    <w:bookmarkEnd w:id="117"/>
    <w:bookmarkStart w:id="118"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8"/>
    <w:bookmarkStart w:id="120"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9">
        <w:r>
          <w:rPr>
            <w:rStyle w:val="Hyperlink"/>
          </w:rPr>
          <w:t xml:space="preserve">https://doi.org/10.4000/palethnologie.736</w:t>
        </w:r>
      </w:hyperlink>
      <w:r>
        <w:t xml:space="preserve">.</w:t>
      </w:r>
    </w:p>
    <w:bookmarkEnd w:id="120"/>
    <w:bookmarkStart w:id="122" w:name="ref-Schurch_Conard_2026_reassess"/>
    <w:p>
      <w:pPr>
        <w:pStyle w:val="Bibliography"/>
      </w:pPr>
      <w:r>
        <w:t xml:space="preserve">[32]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21">
        <w:r>
          <w:rPr>
            <w:rStyle w:val="Hyperlink"/>
          </w:rPr>
          <w:t xml:space="preserve">https://doi.org/10.1007/s41982-025-00246-x</w:t>
        </w:r>
      </w:hyperlink>
      <w:r>
        <w:t xml:space="preserve">.</w:t>
      </w:r>
    </w:p>
    <w:bookmarkEnd w:id="122"/>
    <w:bookmarkStart w:id="124"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3">
        <w:r>
          <w:rPr>
            <w:rStyle w:val="Hyperlink"/>
          </w:rPr>
          <w:t xml:space="preserve">https://doi.org/10.1016/j.quascirev.2009.11.015</w:t>
        </w:r>
      </w:hyperlink>
      <w:r>
        <w:t xml:space="preserve">.</w:t>
      </w:r>
    </w:p>
    <w:bookmarkEnd w:id="124"/>
    <w:bookmarkStart w:id="126" w:name="ref-Pebesma_2018"/>
    <w:p>
      <w:pPr>
        <w:pStyle w:val="Bibliography"/>
      </w:pPr>
      <w:r>
        <w:t xml:space="preserve">[34]</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5">
        <w:r>
          <w:rPr>
            <w:rStyle w:val="Hyperlink"/>
          </w:rPr>
          <w:t xml:space="preserve">https://doi.org/10.32614/rj-2018-009</w:t>
        </w:r>
      </w:hyperlink>
      <w:r>
        <w:t xml:space="preserve">.</w:t>
      </w:r>
    </w:p>
    <w:bookmarkEnd w:id="126"/>
    <w:bookmarkStart w:id="128" w:name="ref-rnaturalearth"/>
    <w:p>
      <w:pPr>
        <w:pStyle w:val="Bibliography"/>
      </w:pPr>
      <w:r>
        <w:t xml:space="preserve">[35]</w:t>
      </w:r>
      <w:r>
        <w:t xml:space="preserve"> </w:t>
      </w:r>
      <w:r>
        <w:t xml:space="preserve">	</w:t>
      </w:r>
      <w:r>
        <w:t xml:space="preserve">Massicotte P, South A.</w:t>
      </w:r>
      <w:r>
        <w:t xml:space="preserve"> </w:t>
      </w:r>
      <w:hyperlink r:id="rId127">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8"/>
    <w:bookmarkStart w:id="130" w:name="ref-Crema_Bevan_2021"/>
    <w:p>
      <w:pPr>
        <w:pStyle w:val="Bibliography"/>
      </w:pPr>
      <w:r>
        <w:t xml:space="preserve">[36]</w:t>
      </w:r>
      <w:r>
        <w:t xml:space="preserve"> </w:t>
      </w:r>
      <w:r>
        <w:t xml:space="preserve">	</w:t>
      </w:r>
      <w:r>
        <w:t xml:space="preserve">Crema ER, Bevan A. Inference from large sets of radiocarbon dates: Software and methods. Radiocarbon 2021;63:23–39.</w:t>
      </w:r>
      <w:r>
        <w:t xml:space="preserve"> </w:t>
      </w:r>
      <w:hyperlink r:id="rId129">
        <w:r>
          <w:rPr>
            <w:rStyle w:val="Hyperlink"/>
          </w:rPr>
          <w:t xml:space="preserve">https://doi.org/10.1017/RDC.2020.95</w:t>
        </w:r>
      </w:hyperlink>
      <w:r>
        <w:t xml:space="preserve">.</w:t>
      </w:r>
    </w:p>
    <w:bookmarkEnd w:id="130"/>
    <w:bookmarkStart w:id="132" w:name="ref-Lycett_2019"/>
    <w:p>
      <w:pPr>
        <w:pStyle w:val="Bibliography"/>
      </w:pPr>
      <w:r>
        <w:t xml:space="preserve">[37]</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31">
        <w:r>
          <w:rPr>
            <w:rStyle w:val="Hyperlink"/>
          </w:rPr>
          <w:t xml:space="preserve">https://doi.org/10.1007/s12520-018-0742-3</w:t>
        </w:r>
      </w:hyperlink>
      <w:r>
        <w:t xml:space="preserve">.</w:t>
      </w:r>
    </w:p>
    <w:bookmarkEnd w:id="132"/>
    <w:bookmarkStart w:id="134" w:name="ref-Mantel_Smouse"/>
    <w:p>
      <w:pPr>
        <w:pStyle w:val="Bibliography"/>
      </w:pPr>
      <w:r>
        <w:t xml:space="preserve">[38]</w:t>
      </w:r>
      <w:r>
        <w:t xml:space="preserve"> </w:t>
      </w:r>
      <w:r>
        <w:t xml:space="preserve">	</w:t>
      </w:r>
      <w:r>
        <w:t xml:space="preserve">Smouse PE, Long JC. Matrix correlation analysis in anthropology and genetics. American Journal of Physical Anthropology 1992;35:187–213.</w:t>
      </w:r>
      <w:r>
        <w:t xml:space="preserve"> </w:t>
      </w:r>
      <w:hyperlink r:id="rId133">
        <w:r>
          <w:rPr>
            <w:rStyle w:val="Hyperlink"/>
          </w:rPr>
          <w:t xml:space="preserve">https://doi.org/10.1002/ajpa.1330350608</w:t>
        </w:r>
      </w:hyperlink>
      <w:r>
        <w:t xml:space="preserve">.</w:t>
      </w:r>
    </w:p>
    <w:bookmarkEnd w:id="134"/>
    <w:bookmarkStart w:id="136" w:name="ref-Vegan2001"/>
    <w:p>
      <w:pPr>
        <w:pStyle w:val="Bibliography"/>
      </w:pPr>
      <w:r>
        <w:t xml:space="preserve">[39]</w:t>
      </w:r>
      <w:r>
        <w:t xml:space="preserve"> </w:t>
      </w:r>
      <w:r>
        <w:t xml:space="preserve">	</w:t>
      </w:r>
      <w:r>
        <w:t xml:space="preserve">Oksanen J, Simpson GL, Blanchet FG, Kindt R, Legendre P, Minchin PR, et al. Vegan: Community ecology package 2023.</w:t>
      </w:r>
      <w:r>
        <w:t xml:space="preserve"> </w:t>
      </w:r>
      <w:hyperlink r:id="rId135">
        <w:r>
          <w:rPr>
            <w:rStyle w:val="Hyperlink"/>
          </w:rPr>
          <w:t xml:space="preserve">https://doi.org/10.32614/CRAN.package.vegan</w:t>
        </w:r>
      </w:hyperlink>
      <w:r>
        <w:t xml:space="preserve">.</w:t>
      </w:r>
    </w:p>
    <w:bookmarkEnd w:id="136"/>
    <w:bookmarkStart w:id="138" w:name="ref-Rigaud_dErrico_Vanhaeren_2015"/>
    <w:p>
      <w:pPr>
        <w:pStyle w:val="Bibliography"/>
      </w:pPr>
      <w:r>
        <w:t xml:space="preserve">[40]</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7">
        <w:r>
          <w:rPr>
            <w:rStyle w:val="Hyperlink"/>
          </w:rPr>
          <w:t xml:space="preserve">https://doi.org/10.1371/journal.pone.0121166</w:t>
        </w:r>
      </w:hyperlink>
      <w:r>
        <w:t xml:space="preserve">.</w:t>
      </w:r>
    </w:p>
    <w:bookmarkEnd w:id="138"/>
    <w:bookmarkStart w:id="140" w:name="ref-seriation_pckge"/>
    <w:p>
      <w:pPr>
        <w:pStyle w:val="Bibliography"/>
      </w:pPr>
      <w:r>
        <w:t xml:space="preserve">[41]</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9">
        <w:r>
          <w:rPr>
            <w:rStyle w:val="Hyperlink"/>
          </w:rPr>
          <w:t xml:space="preserve">https://doi.org/10.18637/jss.v025.i03</w:t>
        </w:r>
      </w:hyperlink>
      <w:r>
        <w:t xml:space="preserve">.</w:t>
      </w:r>
    </w:p>
    <w:bookmarkEnd w:id="140"/>
    <w:bookmarkStart w:id="142" w:name="ref-Brower_Kile_1988"/>
    <w:p>
      <w:pPr>
        <w:pStyle w:val="Bibliography"/>
      </w:pPr>
      <w:r>
        <w:t xml:space="preserve">[42]</w:t>
      </w:r>
      <w:r>
        <w:t xml:space="preserve"> </w:t>
      </w:r>
      <w:r>
        <w:t xml:space="preserve">	</w:t>
      </w:r>
      <w:r>
        <w:t xml:space="preserve">Brower JC, Kile KM. Seriation of an original data matrix as applied to paleoecology. Lethaia 1988;21:79–93.</w:t>
      </w:r>
      <w:r>
        <w:t xml:space="preserve"> </w:t>
      </w:r>
      <w:hyperlink r:id="rId141">
        <w:r>
          <w:rPr>
            <w:rStyle w:val="Hyperlink"/>
          </w:rPr>
          <w:t xml:space="preserve">https://doi.org/10.1111/j.1502-3931.1988.tb01756.x</w:t>
        </w:r>
      </w:hyperlink>
      <w:r>
        <w:t xml:space="preserve">.</w:t>
      </w:r>
    </w:p>
    <w:bookmarkEnd w:id="142"/>
    <w:bookmarkStart w:id="144" w:name="ref-Mills_2017"/>
    <w:p>
      <w:pPr>
        <w:pStyle w:val="Bibliography"/>
      </w:pPr>
      <w:r>
        <w:t xml:space="preserve">[43]</w:t>
      </w:r>
      <w:r>
        <w:t xml:space="preserve"> </w:t>
      </w:r>
      <w:r>
        <w:t xml:space="preserve">	</w:t>
      </w:r>
      <w:r>
        <w:t xml:space="preserve">Mills BJ. Social network analysis in archaeology. Annual Review of Anthropology 2017;46:379–97.</w:t>
      </w:r>
      <w:r>
        <w:t xml:space="preserve"> </w:t>
      </w:r>
      <w:hyperlink r:id="rId143">
        <w:r>
          <w:rPr>
            <w:rStyle w:val="Hyperlink"/>
          </w:rPr>
          <w:t xml:space="preserve">https://doi.org/10.1146/annurev-anthro-102116-041423</w:t>
        </w:r>
      </w:hyperlink>
      <w:r>
        <w:t xml:space="preserve">.</w:t>
      </w:r>
    </w:p>
    <w:bookmarkEnd w:id="144"/>
    <w:bookmarkStart w:id="146" w:name="ref-Fruchterman_Reingold_1991"/>
    <w:p>
      <w:pPr>
        <w:pStyle w:val="Bibliography"/>
      </w:pPr>
      <w:r>
        <w:t xml:space="preserve">[44]</w:t>
      </w:r>
      <w:r>
        <w:t xml:space="preserve"> </w:t>
      </w:r>
      <w:r>
        <w:t xml:space="preserve">	</w:t>
      </w:r>
      <w:r>
        <w:t xml:space="preserve">Fruchterman TMJ, Reingold EM. Graph drawing by force-directed placement. Software: Practice and Experience 1991;21:1129–64.</w:t>
      </w:r>
      <w:r>
        <w:t xml:space="preserve"> </w:t>
      </w:r>
      <w:hyperlink r:id="rId145">
        <w:r>
          <w:rPr>
            <w:rStyle w:val="Hyperlink"/>
          </w:rPr>
          <w:t xml:space="preserve">https://doi.org/10.1002/spe.4380211102</w:t>
        </w:r>
      </w:hyperlink>
      <w:r>
        <w:t xml:space="preserve">.</w:t>
      </w:r>
    </w:p>
    <w:bookmarkEnd w:id="146"/>
    <w:bookmarkStart w:id="148" w:name="ref-statnet_package"/>
    <w:p>
      <w:pPr>
        <w:pStyle w:val="Bibliography"/>
      </w:pPr>
      <w:r>
        <w:t xml:space="preserve">[45]</w:t>
      </w:r>
      <w:r>
        <w:t xml:space="preserve"> </w:t>
      </w:r>
      <w:r>
        <w:t xml:space="preserve">	</w:t>
      </w:r>
      <w:r>
        <w:t xml:space="preserve">Handcock MS, Hunter DR, Butts CT, Goodreau SM, Krivitsky PN, Bender-deMoll S, et al.</w:t>
      </w:r>
      <w:r>
        <w:t xml:space="preserve"> </w:t>
      </w:r>
      <w:hyperlink r:id="rId147">
        <w:r>
          <w:rPr>
            <w:rStyle w:val="Hyperlink"/>
          </w:rPr>
          <w:t xml:space="preserve">Statnet: Software tools for the statistical analysis of network data</w:t>
        </w:r>
      </w:hyperlink>
      <w:r>
        <w:t xml:space="preserve"> </w:t>
      </w:r>
      <w:r>
        <w:t xml:space="preserve">2019.</w:t>
      </w:r>
    </w:p>
    <w:bookmarkEnd w:id="148"/>
    <w:bookmarkStart w:id="150" w:name="ref-igraph_package"/>
    <w:p>
      <w:pPr>
        <w:pStyle w:val="Bibliography"/>
      </w:pPr>
      <w:r>
        <w:t xml:space="preserve">[46]</w:t>
      </w:r>
      <w:r>
        <w:t xml:space="preserve"> </w:t>
      </w:r>
      <w:r>
        <w:t xml:space="preserve">	</w:t>
      </w:r>
      <w:r>
        <w:t xml:space="preserve">Csardi G, Nepusz T.</w:t>
      </w:r>
      <w:r>
        <w:t xml:space="preserve"> </w:t>
      </w:r>
      <w:hyperlink r:id="rId149">
        <w:r>
          <w:rPr>
            <w:rStyle w:val="Hyperlink"/>
          </w:rPr>
          <w:t xml:space="preserve">The igraph software package for complex network research</w:t>
        </w:r>
      </w:hyperlink>
      <w:r>
        <w:t xml:space="preserve">. InterJournal 2006;Complex Systems:1695.</w:t>
      </w:r>
    </w:p>
    <w:bookmarkEnd w:id="150"/>
    <w:bookmarkStart w:id="152" w:name="ref-Anderson_2017"/>
    <w:p>
      <w:pPr>
        <w:pStyle w:val="Bibliography"/>
      </w:pPr>
      <w:r>
        <w:t xml:space="preserve">[47]</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51">
        <w:r>
          <w:rPr>
            <w:rStyle w:val="Hyperlink"/>
          </w:rPr>
          <w:t xml:space="preserve">https://doi.org/10.1002/9781118445112.stat07841</w:t>
        </w:r>
      </w:hyperlink>
      <w:r>
        <w:t xml:space="preserve">.</w:t>
      </w:r>
    </w:p>
    <w:bookmarkEnd w:id="152"/>
    <w:bookmarkStart w:id="154" w:name="ref-Shennan_Crema_Kerig_2015"/>
    <w:p>
      <w:pPr>
        <w:pStyle w:val="Bibliography"/>
      </w:pPr>
      <w:r>
        <w:t xml:space="preserve">[48]</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3">
        <w:r>
          <w:rPr>
            <w:rStyle w:val="Hyperlink"/>
          </w:rPr>
          <w:t xml:space="preserve">https://doi.org/10.1016/j.evolhumbehav.2014.09.006</w:t>
        </w:r>
      </w:hyperlink>
      <w:r>
        <w:t xml:space="preserve">.</w:t>
      </w:r>
    </w:p>
    <w:bookmarkEnd w:id="154"/>
    <w:bookmarkStart w:id="156" w:name="ref-Marwick2017"/>
    <w:p>
      <w:pPr>
        <w:pStyle w:val="Bibliography"/>
      </w:pPr>
      <w:r>
        <w:t xml:space="preserve">[49]</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5">
        <w:r>
          <w:rPr>
            <w:rStyle w:val="Hyperlink"/>
          </w:rPr>
          <w:t xml:space="preserve">https://doi.org/10.1007/s10816-015-9272-9</w:t>
        </w:r>
      </w:hyperlink>
      <w:r>
        <w:t xml:space="preserve">.</w:t>
      </w:r>
    </w:p>
    <w:bookmarkEnd w:id="156"/>
    <w:bookmarkStart w:id="158" w:name="ref-Marwick_2025"/>
    <w:p>
      <w:pPr>
        <w:pStyle w:val="Bibliography"/>
      </w:pPr>
      <w:r>
        <w:t xml:space="preserve">[50]</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7">
        <w:r>
          <w:rPr>
            <w:rStyle w:val="Hyperlink"/>
          </w:rPr>
          <w:t xml:space="preserve">https://doi.org/10.1016/j.jas.2025.106281</w:t>
        </w:r>
      </w:hyperlink>
      <w:r>
        <w:t xml:space="preserve">.</w:t>
      </w:r>
    </w:p>
    <w:bookmarkEnd w:id="158"/>
    <w:bookmarkStart w:id="160" w:name="ref-Gao_Bien_Witten_2022"/>
    <w:p>
      <w:pPr>
        <w:pStyle w:val="Bibliography"/>
      </w:pPr>
      <w:r>
        <w:t xml:space="preserve">[51]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159">
        <w:r>
          <w:rPr>
            <w:rStyle w:val="Hyperlink"/>
          </w:rPr>
          <w:t xml:space="preserve">https://doi.org/10.1080/01621459.2022.2116331</w:t>
        </w:r>
      </w:hyperlink>
      <w:r>
        <w:t xml:space="preserve">.</w:t>
      </w:r>
    </w:p>
    <w:bookmarkEnd w:id="160"/>
    <w:bookmarkStart w:id="162" w:name="ref-Neufeld_2024"/>
    <w:p>
      <w:pPr>
        <w:pStyle w:val="Bibliography"/>
      </w:pPr>
      <w:r>
        <w:t xml:space="preserve">[52]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61">
        <w:r>
          <w:rPr>
            <w:rStyle w:val="Hyperlink"/>
          </w:rPr>
          <w:t xml:space="preserve">https://doi.org/10.1093/biostatistics/kxac047</w:t>
        </w:r>
      </w:hyperlink>
      <w:r>
        <w:t xml:space="preserve">.</w:t>
      </w:r>
    </w:p>
    <w:bookmarkEnd w:id="162"/>
    <w:bookmarkStart w:id="164" w:name="ref-Brown_1975"/>
    <w:p>
      <w:pPr>
        <w:pStyle w:val="Bibliography"/>
      </w:pPr>
      <w:r>
        <w:t xml:space="preserve">[53]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63">
        <w:r>
          <w:rPr>
            <w:rStyle w:val="Hyperlink"/>
          </w:rPr>
          <w:t xml:space="preserve">https://doi.org/10.2307/2529826</w:t>
        </w:r>
      </w:hyperlink>
      <w:r>
        <w:t xml:space="preserve">.</w:t>
      </w:r>
    </w:p>
    <w:bookmarkEnd w:id="164"/>
    <w:bookmarkStart w:id="166" w:name="ref-Poole_2016"/>
    <w:p>
      <w:pPr>
        <w:pStyle w:val="Bibliography"/>
      </w:pPr>
      <w:r>
        <w:t xml:space="preserve">[54]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65">
        <w:r>
          <w:rPr>
            <w:rStyle w:val="Hyperlink"/>
          </w:rPr>
          <w:t xml:space="preserve">https://doi.org/10.1093/bioinformatics/btw438</w:t>
        </w:r>
      </w:hyperlink>
      <w:r>
        <w:t xml:space="preserve">.</w:t>
      </w:r>
    </w:p>
    <w:bookmarkEnd w:id="166"/>
    <w:bookmarkStart w:id="168" w:name="ref-Finlayson_Warren_2017"/>
    <w:p>
      <w:pPr>
        <w:pStyle w:val="Bibliography"/>
      </w:pPr>
      <w:r>
        <w:t xml:space="preserve">[55]</w:t>
      </w:r>
      <w:r>
        <w:t xml:space="preserve"> </w:t>
      </w:r>
      <w:r>
        <w:t xml:space="preserve">	</w:t>
      </w:r>
      <w:r>
        <w:t xml:space="preserve">Finlayson B, Warren G.</w:t>
      </w:r>
      <w:r>
        <w:t xml:space="preserve"> </w:t>
      </w:r>
      <w:hyperlink r:id="rId167">
        <w:r>
          <w:rPr>
            <w:rStyle w:val="Hyperlink"/>
          </w:rPr>
          <w:t xml:space="preserve">The diversity of hunter-gatherer pasts: An introduction</w:t>
        </w:r>
      </w:hyperlink>
      <w:r>
        <w:t xml:space="preserve">. In: Finlayson B, Warren G, editors. The diversity of hunter gatherer pasts. 1st ed., Oxbow Books; 2017, p. 1–14.</w:t>
      </w:r>
    </w:p>
    <w:bookmarkEnd w:id="168"/>
    <w:bookmarkStart w:id="170" w:name="ref-Riches_1995"/>
    <w:p>
      <w:pPr>
        <w:pStyle w:val="Bibliography"/>
      </w:pPr>
      <w:r>
        <w:t xml:space="preserve">[56]</w:t>
      </w:r>
      <w:r>
        <w:t xml:space="preserve"> </w:t>
      </w:r>
      <w:r>
        <w:t xml:space="preserve">	</w:t>
      </w:r>
      <w:r>
        <w:t xml:space="preserve">Riches D. Hunter-gatherer structural transformations. The Journal of the Royal Anthropological Institute 1995;1:679–701.</w:t>
      </w:r>
      <w:r>
        <w:t xml:space="preserve"> </w:t>
      </w:r>
      <w:hyperlink r:id="rId169">
        <w:r>
          <w:rPr>
            <w:rStyle w:val="Hyperlink"/>
          </w:rPr>
          <w:t xml:space="preserve">https://doi.org/10.2307/3034956</w:t>
        </w:r>
      </w:hyperlink>
      <w:r>
        <w:t xml:space="preserve">.</w:t>
      </w:r>
    </w:p>
    <w:bookmarkEnd w:id="170"/>
    <w:bookmarkStart w:id="172" w:name="ref-Price_Brown_1985"/>
    <w:p>
      <w:pPr>
        <w:pStyle w:val="Bibliography"/>
      </w:pPr>
      <w:r>
        <w:t xml:space="preserve">[57]</w:t>
      </w:r>
      <w:r>
        <w:t xml:space="preserve"> </w:t>
      </w:r>
      <w:r>
        <w:t xml:space="preserve">	</w:t>
      </w:r>
      <w:r>
        <w:t xml:space="preserve">Price TD, Brown JA. Aspects of hunter–gatherer complexity. In: Price TD, Brown JA, editors. Prehistoric hunters-gatherers, Academic Press; 1985, p. 3–20.</w:t>
      </w:r>
      <w:r>
        <w:t xml:space="preserve"> </w:t>
      </w:r>
      <w:hyperlink r:id="rId171">
        <w:r>
          <w:rPr>
            <w:rStyle w:val="Hyperlink"/>
          </w:rPr>
          <w:t xml:space="preserve">https://doi.org/10.1016/B978-0-12-564750-2.50006-8</w:t>
        </w:r>
      </w:hyperlink>
      <w:r>
        <w:t xml:space="preserve">.</w:t>
      </w:r>
    </w:p>
    <w:bookmarkEnd w:id="172"/>
    <w:bookmarkStart w:id="174" w:name="ref-Lane_2017"/>
    <w:p>
      <w:pPr>
        <w:pStyle w:val="Bibliography"/>
      </w:pPr>
      <w:r>
        <w:t xml:space="preserve">[58]</w:t>
      </w:r>
      <w:r>
        <w:t xml:space="preserve"> </w:t>
      </w:r>
      <w:r>
        <w:t xml:space="preserve">	</w:t>
      </w:r>
      <w:r>
        <w:t xml:space="preserve">Lane PJ.</w:t>
      </w:r>
      <w:r>
        <w:t xml:space="preserve"> </w:t>
      </w:r>
      <w:hyperlink r:id="rId17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74"/>
    <w:bookmarkStart w:id="175" w:name="ref-Pate_2006"/>
    <w:p>
      <w:pPr>
        <w:pStyle w:val="Bibliography"/>
      </w:pPr>
      <w:r>
        <w:t xml:space="preserve">[59]</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75"/>
    <w:bookmarkStart w:id="177" w:name="ref-Johnson_2014"/>
    <w:p>
      <w:pPr>
        <w:pStyle w:val="Bibliography"/>
      </w:pPr>
      <w:r>
        <w:t xml:space="preserve">[60]</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76">
        <w:r>
          <w:rPr>
            <w:rStyle w:val="Hyperlink"/>
          </w:rPr>
          <w:t xml:space="preserve">https://doi.org/10.1007/s10814-013-9068-y</w:t>
        </w:r>
      </w:hyperlink>
      <w:r>
        <w:t xml:space="preserve">.</w:t>
      </w:r>
    </w:p>
    <w:bookmarkEnd w:id="177"/>
    <w:bookmarkStart w:id="179" w:name="ref-Singh_Glowacki_2022"/>
    <w:p>
      <w:pPr>
        <w:pStyle w:val="Bibliography"/>
      </w:pPr>
      <w:r>
        <w:t xml:space="preserve">[61]</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78">
        <w:r>
          <w:rPr>
            <w:rStyle w:val="Hyperlink"/>
          </w:rPr>
          <w:t xml:space="preserve">https://doi.org/10.1016/j.evolhumbehav.2022.07.003</w:t>
        </w:r>
      </w:hyperlink>
      <w:r>
        <w:t xml:space="preserve">.</w:t>
      </w:r>
    </w:p>
    <w:bookmarkEnd w:id="179"/>
    <w:bookmarkStart w:id="181" w:name="ref-Schwendler_2012"/>
    <w:p>
      <w:pPr>
        <w:pStyle w:val="Bibliography"/>
      </w:pPr>
      <w:r>
        <w:t xml:space="preserve">[62]</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80">
        <w:r>
          <w:rPr>
            <w:rStyle w:val="Hyperlink"/>
          </w:rPr>
          <w:t xml:space="preserve">https://doi.org/10.1016/j.quaint.2012.03.054</w:t>
        </w:r>
      </w:hyperlink>
      <w:r>
        <w:t xml:space="preserve">.</w:t>
      </w:r>
    </w:p>
    <w:bookmarkEnd w:id="181"/>
    <w:bookmarkStart w:id="183" w:name="ref-Morwood_1987"/>
    <w:p>
      <w:pPr>
        <w:pStyle w:val="Bibliography"/>
      </w:pPr>
      <w:r>
        <w:t xml:space="preserve">[63]</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82">
        <w:r>
          <w:rPr>
            <w:rStyle w:val="Hyperlink"/>
          </w:rPr>
          <w:t xml:space="preserve">https://doi.org/10.1017/S0079497X00006265</w:t>
        </w:r>
      </w:hyperlink>
      <w:r>
        <w:t xml:space="preserve">.</w:t>
      </w:r>
    </w:p>
    <w:bookmarkEnd w:id="183"/>
    <w:bookmarkStart w:id="185" w:name="ref-Mattson_2021"/>
    <w:p>
      <w:pPr>
        <w:pStyle w:val="Bibliography"/>
      </w:pPr>
      <w:r>
        <w:t xml:space="preserve">[64]</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84">
        <w:r>
          <w:rPr>
            <w:rStyle w:val="Hyperlink"/>
          </w:rPr>
          <w:t xml:space="preserve">https://doi.org/10.2307/j.ctv24q4z2g.5</w:t>
        </w:r>
      </w:hyperlink>
      <w:r>
        <w:t xml:space="preserve">.</w:t>
      </w:r>
    </w:p>
    <w:bookmarkEnd w:id="185"/>
    <w:bookmarkStart w:id="186" w:name="ref-Larsson_2006"/>
    <w:p>
      <w:pPr>
        <w:pStyle w:val="Bibliography"/>
      </w:pPr>
      <w:r>
        <w:t xml:space="preserve">[65]</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86"/>
    <w:bookmarkStart w:id="188" w:name="ref-Moore_2010"/>
    <w:p>
      <w:pPr>
        <w:pStyle w:val="Bibliography"/>
      </w:pPr>
      <w:r>
        <w:t xml:space="preserve">[66]</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87">
        <w:r>
          <w:rPr>
            <w:rStyle w:val="Hyperlink"/>
          </w:rPr>
          <w:t xml:space="preserve">https://doi.org/10.1179/sea.2010.29.1.013</w:t>
        </w:r>
      </w:hyperlink>
      <w:r>
        <w:t xml:space="preserve">.</w:t>
      </w:r>
    </w:p>
    <w:bookmarkEnd w:id="188"/>
    <w:bookmarkStart w:id="190" w:name="ref-Alfonso-Durrruty_Giles_Misarti2015"/>
    <w:p>
      <w:pPr>
        <w:pStyle w:val="Bibliography"/>
      </w:pPr>
      <w:r>
        <w:t xml:space="preserve">[67]</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89">
        <w:r>
          <w:rPr>
            <w:rStyle w:val="Hyperlink"/>
          </w:rPr>
          <w:t xml:space="preserve">https://doi.org/10.1002/ajpa.22832</w:t>
        </w:r>
      </w:hyperlink>
      <w:r>
        <w:t xml:space="preserve">.</w:t>
      </w:r>
    </w:p>
    <w:bookmarkEnd w:id="190"/>
    <w:bookmarkStart w:id="191" w:name="ref-Vanhaeren_2005"/>
    <w:p>
      <w:pPr>
        <w:pStyle w:val="Bibliography"/>
      </w:pPr>
      <w:r>
        <w:t xml:space="preserve">[68]</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91"/>
    <w:bookmarkStart w:id="193" w:name="ref-Conkey_1985"/>
    <w:p>
      <w:pPr>
        <w:pStyle w:val="Bibliography"/>
      </w:pPr>
      <w:r>
        <w:t xml:space="preserve">[69]</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92">
        <w:r>
          <w:rPr>
            <w:rStyle w:val="Hyperlink"/>
          </w:rPr>
          <w:t xml:space="preserve">https://doi.org/10.1016/B978-0-12-564750-2.50016-0</w:t>
        </w:r>
      </w:hyperlink>
      <w:r>
        <w:t xml:space="preserve">.</w:t>
      </w:r>
    </w:p>
    <w:bookmarkEnd w:id="193"/>
    <w:bookmarkStart w:id="194" w:name="ref-Conkey_1978"/>
    <w:p>
      <w:pPr>
        <w:pStyle w:val="Bibliography"/>
      </w:pPr>
      <w:r>
        <w:t xml:space="preserve">[70]</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94"/>
    <w:bookmarkStart w:id="196" w:name="ref-Tilley_1982"/>
    <w:p>
      <w:pPr>
        <w:pStyle w:val="Bibliography"/>
      </w:pPr>
      <w:r>
        <w:t xml:space="preserve">[71]</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95">
        <w:r>
          <w:rPr>
            <w:rStyle w:val="Hyperlink"/>
          </w:rPr>
          <w:t xml:space="preserve">https://doi.org/10.1017/CBO9780511558252.004</w:t>
        </w:r>
      </w:hyperlink>
      <w:r>
        <w:t xml:space="preserve">.</w:t>
      </w:r>
    </w:p>
    <w:bookmarkEnd w:id="196"/>
    <w:bookmarkStart w:id="198" w:name="ref-Hodder1979"/>
    <w:p>
      <w:pPr>
        <w:pStyle w:val="Bibliography"/>
      </w:pPr>
      <w:r>
        <w:t xml:space="preserve">[72]</w:t>
      </w:r>
      <w:r>
        <w:t xml:space="preserve"> </w:t>
      </w:r>
      <w:r>
        <w:t xml:space="preserve">	</w:t>
      </w:r>
      <w:r>
        <w:t xml:space="preserve">Hodder I. Economic and social stress and material culture patterning. American Antiquity 1979;44:446–54.</w:t>
      </w:r>
      <w:r>
        <w:t xml:space="preserve"> </w:t>
      </w:r>
      <w:hyperlink r:id="rId197">
        <w:r>
          <w:rPr>
            <w:rStyle w:val="Hyperlink"/>
          </w:rPr>
          <w:t xml:space="preserve">https://doi.org/10.2307/279544</w:t>
        </w:r>
      </w:hyperlink>
      <w:r>
        <w:t xml:space="preserve">.</w:t>
      </w:r>
    </w:p>
    <w:bookmarkEnd w:id="198"/>
    <w:bookmarkStart w:id="200" w:name="ref-Hodder1977"/>
    <w:p>
      <w:pPr>
        <w:pStyle w:val="Bibliography"/>
      </w:pPr>
      <w:r>
        <w:t xml:space="preserve">[73]</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99">
        <w:r>
          <w:rPr>
            <w:rStyle w:val="Hyperlink"/>
          </w:rPr>
          <w:t xml:space="preserve">https://doi.org/10.2307/2800797</w:t>
        </w:r>
      </w:hyperlink>
      <w:r>
        <w:t xml:space="preserve">.</w:t>
      </w:r>
    </w:p>
    <w:bookmarkEnd w:id="200"/>
    <w:bookmarkStart w:id="202" w:name="ref-Binford_1990"/>
    <w:p>
      <w:pPr>
        <w:pStyle w:val="Bibliography"/>
      </w:pPr>
      <w:r>
        <w:t xml:space="preserve">[74]</w:t>
      </w:r>
      <w:r>
        <w:t xml:space="preserve"> </w:t>
      </w:r>
      <w:r>
        <w:t xml:space="preserve">	</w:t>
      </w:r>
      <w:r>
        <w:t xml:space="preserve">Binford LR. Mobility, housing, and environment: A comparative study. Journal of Anthropological Research 1990;46:119–52.</w:t>
      </w:r>
      <w:r>
        <w:t xml:space="preserve"> </w:t>
      </w:r>
      <w:hyperlink r:id="rId201">
        <w:r>
          <w:rPr>
            <w:rStyle w:val="Hyperlink"/>
          </w:rPr>
          <w:t xml:space="preserve">https://doi.org/10.1086/jar.46.2.3630069</w:t>
        </w:r>
      </w:hyperlink>
      <w:r>
        <w:t xml:space="preserve">.</w:t>
      </w:r>
    </w:p>
    <w:bookmarkEnd w:id="202"/>
    <w:bookmarkStart w:id="204" w:name="ref-Kelly_1983"/>
    <w:p>
      <w:pPr>
        <w:pStyle w:val="Bibliography"/>
      </w:pPr>
      <w:r>
        <w:t xml:space="preserve">[75]</w:t>
      </w:r>
      <w:r>
        <w:t xml:space="preserve"> </w:t>
      </w:r>
      <w:r>
        <w:t xml:space="preserve">	</w:t>
      </w:r>
      <w:r>
        <w:t xml:space="preserve">Kelly RL. Hunter-gatherer mobility strategies. Journal of Anthropological Research 1983;39:277–306.</w:t>
      </w:r>
      <w:r>
        <w:t xml:space="preserve"> </w:t>
      </w:r>
      <w:hyperlink r:id="rId203">
        <w:r>
          <w:rPr>
            <w:rStyle w:val="Hyperlink"/>
          </w:rPr>
          <w:t xml:space="preserve">https://doi.org/10.1086/jar.39.3.3629672</w:t>
        </w:r>
      </w:hyperlink>
      <w:r>
        <w:t xml:space="preserve">.</w:t>
      </w:r>
    </w:p>
    <w:bookmarkEnd w:id="204"/>
    <w:bookmarkStart w:id="206" w:name="ref-Padilla-Iglesias_Bischoff_2024"/>
    <w:p>
      <w:pPr>
        <w:pStyle w:val="Bibliography"/>
      </w:pPr>
      <w:r>
        <w:t xml:space="preserve">[76]</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205">
        <w:r>
          <w:rPr>
            <w:rStyle w:val="Hyperlink"/>
          </w:rPr>
          <w:t xml:space="preserve">https://doi.org/10.1016/j.jasrep.2024.104798</w:t>
        </w:r>
      </w:hyperlink>
      <w:r>
        <w:t xml:space="preserve">.</w:t>
      </w:r>
    </w:p>
    <w:bookmarkEnd w:id="206"/>
    <w:bookmarkStart w:id="208" w:name="ref-Whallon_2006"/>
    <w:p>
      <w:pPr>
        <w:pStyle w:val="Bibliography"/>
      </w:pPr>
      <w:r>
        <w:t xml:space="preserve">[77]</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207">
        <w:r>
          <w:rPr>
            <w:rStyle w:val="Hyperlink"/>
          </w:rPr>
          <w:t xml:space="preserve">https://doi.org/10.1016/j.jaa.2005.11.004</w:t>
        </w:r>
      </w:hyperlink>
      <w:r>
        <w:t xml:space="preserve">.</w:t>
      </w:r>
    </w:p>
    <w:bookmarkEnd w:id="208"/>
    <w:bookmarkStart w:id="209" w:name="ref-Fitzhugh_Phillips_Gjesfeld_2011"/>
    <w:p>
      <w:pPr>
        <w:pStyle w:val="Bibliography"/>
      </w:pPr>
      <w:r>
        <w:t xml:space="preserve">[78]</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209"/>
    <w:bookmarkStart w:id="211" w:name="ref-Lovis_Donahue_2011"/>
    <w:p>
      <w:pPr>
        <w:pStyle w:val="Bibliography"/>
      </w:pPr>
      <w:r>
        <w:t xml:space="preserve">[79]</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10">
        <w:r>
          <w:rPr>
            <w:rStyle w:val="Hyperlink"/>
          </w:rPr>
          <w:t xml:space="preserve">https://doi.org/10.2307/j.ctvdmwwz4.7</w:t>
        </w:r>
      </w:hyperlink>
      <w:r>
        <w:t xml:space="preserve">.</w:t>
      </w:r>
    </w:p>
    <w:bookmarkEnd w:id="211"/>
    <w:bookmarkStart w:id="213" w:name="ref-Hitchcock_Ebert_2011"/>
    <w:p>
      <w:pPr>
        <w:pStyle w:val="Bibliography"/>
      </w:pPr>
      <w:r>
        <w:t xml:space="preserve">[80]</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12">
        <w:r>
          <w:rPr>
            <w:rStyle w:val="Hyperlink"/>
          </w:rPr>
          <w:t xml:space="preserve">https://doi.org/10.2307/j.ctvdmwwz4.10</w:t>
        </w:r>
      </w:hyperlink>
      <w:r>
        <w:t xml:space="preserve">.</w:t>
      </w:r>
    </w:p>
    <w:bookmarkEnd w:id="213"/>
    <w:bookmarkStart w:id="215" w:name="ref-Romano_Lozano_Fern2022"/>
    <w:p>
      <w:pPr>
        <w:pStyle w:val="Bibliography"/>
      </w:pPr>
      <w:r>
        <w:t xml:space="preserve">[81]</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14">
        <w:r>
          <w:rPr>
            <w:rStyle w:val="Hyperlink"/>
          </w:rPr>
          <w:t xml:space="preserve">https://doi.org/10.1098/rstb.2020.0318</w:t>
        </w:r>
      </w:hyperlink>
      <w:r>
        <w:t xml:space="preserve">.</w:t>
      </w:r>
    </w:p>
    <w:bookmarkEnd w:id="215"/>
    <w:bookmarkStart w:id="217" w:name="ref-Kelly_2024"/>
    <w:p>
      <w:pPr>
        <w:pStyle w:val="Bibliography"/>
      </w:pPr>
      <w:r>
        <w:t xml:space="preserve">[82]</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16">
        <w:r>
          <w:rPr>
            <w:rStyle w:val="Hyperlink"/>
          </w:rPr>
          <w:t xml:space="preserve">https://doi.org/10.1111/tops.12762</w:t>
        </w:r>
      </w:hyperlink>
      <w:r>
        <w:t xml:space="preserve">.</w:t>
      </w:r>
    </w:p>
    <w:bookmarkEnd w:id="217"/>
    <w:bookmarkStart w:id="219" w:name="ref-Kinahan_2013"/>
    <w:p>
      <w:pPr>
        <w:pStyle w:val="Bibliography"/>
      </w:pPr>
      <w:r>
        <w:t xml:space="preserve">[83]</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18">
        <w:r>
          <w:rPr>
            <w:rStyle w:val="Hyperlink"/>
          </w:rPr>
          <w:t xml:space="preserve">https://doi.org/10.3213/2191-5784-10243</w:t>
        </w:r>
      </w:hyperlink>
      <w:r>
        <w:t xml:space="preserve">.</w:t>
      </w:r>
    </w:p>
    <w:bookmarkEnd w:id="219"/>
    <w:bookmarkStart w:id="221" w:name="ref-Newlander_2012"/>
    <w:p>
      <w:pPr>
        <w:pStyle w:val="Bibliography"/>
      </w:pPr>
      <w:r>
        <w:t xml:space="preserve">[84]</w:t>
      </w:r>
      <w:r>
        <w:t xml:space="preserve"> </w:t>
      </w:r>
      <w:r>
        <w:t xml:space="preserve">	</w:t>
      </w:r>
      <w:r>
        <w:t xml:space="preserve">Newlander KS.</w:t>
      </w:r>
      <w:r>
        <w:t xml:space="preserve"> </w:t>
      </w:r>
      <w:hyperlink r:id="rId22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21"/>
    <w:bookmarkStart w:id="223" w:name="ref-Iizuka_Ferguson_Izuho_2022"/>
    <w:p>
      <w:pPr>
        <w:pStyle w:val="Bibliography"/>
      </w:pPr>
      <w:r>
        <w:t xml:space="preserve">[85]</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22">
        <w:r>
          <w:rPr>
            <w:rStyle w:val="Hyperlink"/>
          </w:rPr>
          <w:t xml:space="preserve">https://doi.org/10.1371/journal.pone.0265329</w:t>
        </w:r>
      </w:hyperlink>
      <w:r>
        <w:t xml:space="preserve">.</w:t>
      </w:r>
    </w:p>
    <w:bookmarkEnd w:id="223"/>
    <w:bookmarkStart w:id="225" w:name="ref-conkey_agg"/>
    <w:p>
      <w:pPr>
        <w:pStyle w:val="Bibliography"/>
      </w:pPr>
      <w:r>
        <w:t xml:space="preserve">[86]</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24">
        <w:r>
          <w:rPr>
            <w:rStyle w:val="Hyperlink"/>
          </w:rPr>
          <w:t xml:space="preserve">https://doi.org/10.1086/202540</w:t>
        </w:r>
      </w:hyperlink>
      <w:r>
        <w:t xml:space="preserve">.</w:t>
      </w:r>
    </w:p>
    <w:bookmarkEnd w:id="225"/>
    <w:bookmarkStart w:id="227" w:name="ref-Maher_Conkey_2019"/>
    <w:p>
      <w:pPr>
        <w:pStyle w:val="Bibliography"/>
      </w:pPr>
      <w:r>
        <w:t xml:space="preserve">[87]</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26">
        <w:r>
          <w:rPr>
            <w:rStyle w:val="Hyperlink"/>
          </w:rPr>
          <w:t xml:space="preserve">https://doi.org/10.1086/701523</w:t>
        </w:r>
      </w:hyperlink>
      <w:r>
        <w:t xml:space="preserve">.</w:t>
      </w:r>
    </w:p>
    <w:bookmarkEnd w:id="227"/>
    <w:bookmarkStart w:id="229" w:name="ref-bahn1982inter"/>
    <w:p>
      <w:pPr>
        <w:pStyle w:val="Bibliography"/>
      </w:pPr>
      <w:r>
        <w:t xml:space="preserve">[88]</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28">
        <w:r>
          <w:rPr>
            <w:rStyle w:val="Hyperlink"/>
          </w:rPr>
          <w:t xml:space="preserve">https://doi.org/10.1111/j.1468-0092.1982.tb00313.x</w:t>
        </w:r>
      </w:hyperlink>
      <w:r>
        <w:t xml:space="preserve">.</w:t>
      </w:r>
    </w:p>
    <w:bookmarkEnd w:id="229"/>
    <w:bookmarkStart w:id="231" w:name="ref-Bourdier_2013"/>
    <w:p>
      <w:pPr>
        <w:pStyle w:val="Bibliography"/>
      </w:pPr>
      <w:r>
        <w:t xml:space="preserve">[89]</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30">
        <w:r>
          <w:rPr>
            <w:rStyle w:val="Hyperlink"/>
          </w:rPr>
          <w:t xml:space="preserve">https://doi.org/10.1016/j.jaa.2013.05.005</w:t>
        </w:r>
      </w:hyperlink>
      <w:r>
        <w:t xml:space="preserve">.</w:t>
      </w:r>
    </w:p>
    <w:bookmarkEnd w:id="231"/>
    <w:bookmarkStart w:id="233" w:name="ref-Svoboda_2013"/>
    <w:p>
      <w:pPr>
        <w:pStyle w:val="Bibliography"/>
      </w:pPr>
      <w:r>
        <w:t xml:space="preserve">[90]</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32">
        <w:r>
          <w:rPr>
            <w:rStyle w:val="Hyperlink"/>
          </w:rPr>
          <w:t xml:space="preserve">https://doi.org/10.4000/palethnologie.4945</w:t>
        </w:r>
      </w:hyperlink>
      <w:r>
        <w:t xml:space="preserve">.</w:t>
      </w:r>
    </w:p>
    <w:bookmarkEnd w:id="233"/>
    <w:bookmarkStart w:id="235" w:name="ref-white1992rethinking"/>
    <w:p>
      <w:pPr>
        <w:pStyle w:val="Bibliography"/>
      </w:pPr>
      <w:r>
        <w:t xml:space="preserve">[91]</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34">
        <w:r>
          <w:rPr>
            <w:rStyle w:val="Hyperlink"/>
          </w:rPr>
          <w:t xml:space="preserve">https://doi.org/10.1086/202802</w:t>
        </w:r>
      </w:hyperlink>
      <w:r>
        <w:t xml:space="preserve">.</w:t>
      </w:r>
    </w:p>
    <w:bookmarkEnd w:id="235"/>
    <w:bookmarkStart w:id="236" w:name="X79d7c52b9cdbe72fc1b94e51c6ee6057d0c4a50"/>
    <w:p>
      <w:pPr>
        <w:pStyle w:val="Bibliography"/>
      </w:pPr>
      <w:r>
        <w:t xml:space="preserve">[92]</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36"/>
    <w:bookmarkStart w:id="238" w:name="ref-montet-white1994"/>
    <w:p>
      <w:pPr>
        <w:pStyle w:val="Bibliography"/>
      </w:pPr>
      <w:r>
        <w:t xml:space="preserve">[93]</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37">
        <w:r>
          <w:rPr>
            <w:rStyle w:val="Hyperlink"/>
          </w:rPr>
          <w:t xml:space="preserve">https://doi.org/10.1146/annurev.an.23.100194.002411</w:t>
        </w:r>
      </w:hyperlink>
      <w:r>
        <w:t xml:space="preserve">.</w:t>
      </w:r>
    </w:p>
    <w:bookmarkEnd w:id="238"/>
    <w:bookmarkStart w:id="240" w:name="ref-Frerebeau_2025"/>
    <w:p>
      <w:pPr>
        <w:pStyle w:val="Bibliography"/>
      </w:pPr>
      <w:r>
        <w:t xml:space="preserve">[94]</w:t>
      </w:r>
      <w:r>
        <w:t xml:space="preserve"> </w:t>
      </w:r>
      <w:r>
        <w:t xml:space="preserve">	</w:t>
      </w:r>
      <w:r>
        <w:t xml:space="preserve">Frerebeau N. Tabula: Analysis and visualization of archaeological count data 2025.</w:t>
      </w:r>
      <w:r>
        <w:t xml:space="preserve"> </w:t>
      </w:r>
      <w:hyperlink r:id="rId239">
        <w:r>
          <w:rPr>
            <w:rStyle w:val="Hyperlink"/>
          </w:rPr>
          <w:t xml:space="preserve">https://doi.org/10.5281/zenodo.15397990</w:t>
        </w:r>
      </w:hyperlink>
      <w:r>
        <w:t xml:space="preserve">.</w:t>
      </w:r>
    </w:p>
    <w:bookmarkEnd w:id="240"/>
    <w:bookmarkStart w:id="242" w:name="ref-Kintigh_1984"/>
    <w:p>
      <w:pPr>
        <w:pStyle w:val="Bibliography"/>
      </w:pPr>
      <w:r>
        <w:t xml:space="preserve">[95]</w:t>
      </w:r>
      <w:r>
        <w:t xml:space="preserve"> </w:t>
      </w:r>
      <w:r>
        <w:t xml:space="preserve">	</w:t>
      </w:r>
      <w:r>
        <w:t xml:space="preserve">Kintigh KW. Measuring archaeological diversity by comparison with simulated assemblages. American Antiquity 1984;49:44–54.</w:t>
      </w:r>
      <w:r>
        <w:t xml:space="preserve"> </w:t>
      </w:r>
      <w:hyperlink r:id="rId241">
        <w:r>
          <w:rPr>
            <w:rStyle w:val="Hyperlink"/>
          </w:rPr>
          <w:t xml:space="preserve">https://doi.org/10.2307/280511</w:t>
        </w:r>
      </w:hyperlink>
      <w:r>
        <w:t xml:space="preserve">.</w:t>
      </w:r>
    </w:p>
    <w:bookmarkEnd w:id="242"/>
    <w:bookmarkStart w:id="244" w:name="X8c17deb08b87fbfa26556dda630532ff62c8bd1"/>
    <w:p>
      <w:pPr>
        <w:pStyle w:val="Bibliography"/>
      </w:pPr>
      <w:r>
        <w:t xml:space="preserve">[96]</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43">
        <w:r>
          <w:rPr>
            <w:rStyle w:val="Hyperlink"/>
          </w:rPr>
          <w:t xml:space="preserve">https://doi.org/10.1038/s41467-024-51349-y</w:t>
        </w:r>
      </w:hyperlink>
      <w:r>
        <w:t xml:space="preserve">.</w:t>
      </w:r>
    </w:p>
    <w:bookmarkEnd w:id="244"/>
    <w:bookmarkStart w:id="246" w:name="ref-smith1992Design"/>
    <w:p>
      <w:pPr>
        <w:pStyle w:val="Bibliography"/>
      </w:pPr>
      <w:r>
        <w:t xml:space="preserve">[97]</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45">
        <w:r>
          <w:rPr>
            <w:rStyle w:val="Hyperlink"/>
          </w:rPr>
          <w:t xml:space="preserve">https://doi.org/10.1080/03122417.1992.11681454</w:t>
        </w:r>
      </w:hyperlink>
      <w:r>
        <w:t xml:space="preserve">.</w:t>
      </w:r>
    </w:p>
    <w:bookmarkEnd w:id="246"/>
    <w:bookmarkStart w:id="247" w:name="ref-hays1993symbol"/>
    <w:p>
      <w:pPr>
        <w:pStyle w:val="Bibliography"/>
      </w:pPr>
      <w:r>
        <w:t xml:space="preserve">[98]</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47"/>
    <w:bookmarkStart w:id="249" w:name="ref-McDonald_Veth_Lilley_2006"/>
    <w:p>
      <w:pPr>
        <w:pStyle w:val="Bibliography"/>
      </w:pPr>
      <w:r>
        <w:t xml:space="preserve">[99]</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48">
        <w:r>
          <w:rPr>
            <w:rStyle w:val="Hyperlink"/>
          </w:rPr>
          <w:t xml:space="preserve">https://doi.org/10.1002/9780470773475.ch5</w:t>
        </w:r>
      </w:hyperlink>
      <w:r>
        <w:t xml:space="preserve">.</w:t>
      </w:r>
    </w:p>
    <w:bookmarkEnd w:id="249"/>
    <w:bookmarkStart w:id="251" w:name="ref-Lourandos_1985"/>
    <w:p>
      <w:pPr>
        <w:pStyle w:val="Bibliography"/>
      </w:pPr>
      <w:r>
        <w:t xml:space="preserve">[100]</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50">
        <w:r>
          <w:rPr>
            <w:rStyle w:val="Hyperlink"/>
          </w:rPr>
          <w:t xml:space="preserve">https://doi.org/10.1016/B978-0-12-564750-2.50020-2</w:t>
        </w:r>
      </w:hyperlink>
      <w:r>
        <w:t xml:space="preserve">.</w:t>
      </w:r>
    </w:p>
    <w:bookmarkEnd w:id="251"/>
    <w:bookmarkStart w:id="253" w:name="ref-barton_clark_cohen1994"/>
    <w:p>
      <w:pPr>
        <w:pStyle w:val="Bibliography"/>
      </w:pPr>
      <w:r>
        <w:t xml:space="preserve">[101]</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52">
        <w:r>
          <w:rPr>
            <w:rStyle w:val="Hyperlink"/>
          </w:rPr>
          <w:t xml:space="preserve">https://doi.org/10.1080/00438243.1994.9980272</w:t>
        </w:r>
      </w:hyperlink>
      <w:r>
        <w:t xml:space="preserve">.</w:t>
      </w:r>
    </w:p>
    <w:bookmarkEnd w:id="253"/>
    <w:bookmarkStart w:id="255" w:name="ref-mcdonald2012social"/>
    <w:p>
      <w:pPr>
        <w:pStyle w:val="Bibliography"/>
      </w:pPr>
      <w:r>
        <w:t xml:space="preserve">[102]</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54">
        <w:r>
          <w:rPr>
            <w:rStyle w:val="Hyperlink"/>
          </w:rPr>
          <w:t xml:space="preserve">https://doi.org/10.1002/9781118253892.ch6</w:t>
        </w:r>
      </w:hyperlink>
      <w:r>
        <w:t xml:space="preserve">.</w:t>
      </w:r>
    </w:p>
    <w:bookmarkEnd w:id="255"/>
    <w:bookmarkStart w:id="257" w:name="ref-bernardini2005reconsidering"/>
    <w:p>
      <w:pPr>
        <w:pStyle w:val="Bibliography"/>
      </w:pPr>
      <w:r>
        <w:t xml:space="preserve">[103]</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56">
        <w:r>
          <w:rPr>
            <w:rStyle w:val="Hyperlink"/>
          </w:rPr>
          <w:t xml:space="preserve">https://doi.org/10.2307/40035267</w:t>
        </w:r>
      </w:hyperlink>
      <w:r>
        <w:t xml:space="preserve">.</w:t>
      </w:r>
    </w:p>
    <w:bookmarkEnd w:id="257"/>
    <w:bookmarkStart w:id="259" w:name="ref-wiessner1984reconsidering"/>
    <w:p>
      <w:pPr>
        <w:pStyle w:val="Bibliography"/>
      </w:pPr>
      <w:r>
        <w:t xml:space="preserve">[104]</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58">
        <w:r>
          <w:rPr>
            <w:rStyle w:val="Hyperlink"/>
          </w:rPr>
          <w:t xml:space="preserve">https://doi.org/10.1016/0278-4165(84)90002-3</w:t>
        </w:r>
      </w:hyperlink>
      <w:r>
        <w:t xml:space="preserve">.</w:t>
      </w:r>
    </w:p>
    <w:bookmarkEnd w:id="259"/>
    <w:bookmarkStart w:id="261" w:name="ref-smith1992"/>
    <w:p>
      <w:pPr>
        <w:pStyle w:val="Bibliography"/>
      </w:pPr>
      <w:r>
        <w:t xml:space="preserve">[105]</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60">
        <w:r>
          <w:rPr>
            <w:rStyle w:val="Hyperlink"/>
          </w:rPr>
          <w:t xml:space="preserve">https://doi.org/10.1080/03122417.1992.11681450</w:t>
        </w:r>
      </w:hyperlink>
      <w:r>
        <w:t xml:space="preserve">.</w:t>
      </w:r>
    </w:p>
    <w:bookmarkEnd w:id="261"/>
    <w:bookmarkStart w:id="263" w:name="X4fed35d53d406ce17aea32f9d6f163fcb563519"/>
    <w:p>
      <w:pPr>
        <w:pStyle w:val="Bibliography"/>
      </w:pPr>
      <w:r>
        <w:t xml:space="preserve">[106]</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62">
        <w:r>
          <w:rPr>
            <w:rStyle w:val="Hyperlink"/>
          </w:rPr>
          <w:t xml:space="preserve">https://doi.org/10.1007/978-4-431-55363-2_8</w:t>
        </w:r>
      </w:hyperlink>
      <w:r>
        <w:t xml:space="preserve">.</w:t>
      </w:r>
    </w:p>
    <w:bookmarkEnd w:id="263"/>
    <w:bookmarkStart w:id="264" w:name="ref-Cavalli_Sforza_Feldman_1981"/>
    <w:p>
      <w:pPr>
        <w:pStyle w:val="Bibliography"/>
      </w:pPr>
      <w:r>
        <w:t xml:space="preserve">[107]</w:t>
      </w:r>
      <w:r>
        <w:t xml:space="preserve"> </w:t>
      </w:r>
      <w:r>
        <w:t xml:space="preserve">	</w:t>
      </w:r>
      <w:r>
        <w:t xml:space="preserve">Cavalli-Sforza L, Feldman MW. Cultural transmission and evolution: A quantitative approach. Princeton University Press; 1981.</w:t>
      </w:r>
    </w:p>
    <w:bookmarkEnd w:id="264"/>
    <w:bookmarkStart w:id="265" w:name="ref-Boyd_Richerson_1985"/>
    <w:p>
      <w:pPr>
        <w:pStyle w:val="Bibliography"/>
      </w:pPr>
      <w:r>
        <w:t xml:space="preserve">[108]</w:t>
      </w:r>
      <w:r>
        <w:t xml:space="preserve"> </w:t>
      </w:r>
      <w:r>
        <w:t xml:space="preserve">	</w:t>
      </w:r>
      <w:r>
        <w:t xml:space="preserve">Boyd R, Richerson PJ. Culture and the evolutionary process. University of Chicago Press; 1985.</w:t>
      </w:r>
    </w:p>
    <w:bookmarkEnd w:id="265"/>
    <w:bookmarkStart w:id="266" w:name="ref-Richerson_Boyd_2005"/>
    <w:p>
      <w:pPr>
        <w:pStyle w:val="Bibliography"/>
      </w:pPr>
      <w:r>
        <w:t xml:space="preserve">[109]</w:t>
      </w:r>
      <w:r>
        <w:t xml:space="preserve"> </w:t>
      </w:r>
      <w:r>
        <w:t xml:space="preserve">	</w:t>
      </w:r>
      <w:r>
        <w:t xml:space="preserve">Richerson PJ, Boyd R. Not by genes alone: How culture transformed human evolution. University of Chicago Press; 2005.</w:t>
      </w:r>
    </w:p>
    <w:bookmarkEnd w:id="266"/>
    <w:bookmarkStart w:id="268" w:name="ref-Henrich_2004"/>
    <w:p>
      <w:pPr>
        <w:pStyle w:val="Bibliography"/>
      </w:pPr>
      <w:r>
        <w:t xml:space="preserve">[110]</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67">
        <w:r>
          <w:rPr>
            <w:rStyle w:val="Hyperlink"/>
          </w:rPr>
          <w:t xml:space="preserve">https://doi.org/10.2307/4128416</w:t>
        </w:r>
      </w:hyperlink>
      <w:r>
        <w:t xml:space="preserve">.</w:t>
      </w:r>
    </w:p>
    <w:bookmarkEnd w:id="268"/>
    <w:bookmarkStart w:id="270" w:name="ref-Migliano_2020"/>
    <w:p>
      <w:pPr>
        <w:pStyle w:val="Bibliography"/>
      </w:pPr>
      <w:r>
        <w:t xml:space="preserve">[111]</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69">
        <w:r>
          <w:rPr>
            <w:rStyle w:val="Hyperlink"/>
          </w:rPr>
          <w:t xml:space="preserve">https://doi.org/10.1126/sciadv.aax5913</w:t>
        </w:r>
      </w:hyperlink>
      <w:r>
        <w:t xml:space="preserve">.</w:t>
      </w:r>
    </w:p>
    <w:bookmarkEnd w:id="270"/>
    <w:bookmarkStart w:id="272" w:name="ref-Romano_Lozano_2020"/>
    <w:p>
      <w:pPr>
        <w:pStyle w:val="Bibliography"/>
      </w:pPr>
      <w:r>
        <w:t xml:space="preserve">[112]</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71">
        <w:r>
          <w:rPr>
            <w:rStyle w:val="Hyperlink"/>
          </w:rPr>
          <w:t xml:space="preserve">https://doi.org/10.1111/brv.12599</w:t>
        </w:r>
      </w:hyperlink>
      <w:r>
        <w:t xml:space="preserve">.</w:t>
      </w:r>
    </w:p>
    <w:bookmarkEnd w:id="272"/>
    <w:bookmarkStart w:id="274" w:name="ref-Buchanan_Hamilton_2023"/>
    <w:p>
      <w:pPr>
        <w:pStyle w:val="Bibliography"/>
      </w:pPr>
      <w:r>
        <w:t xml:space="preserve">[113]</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73">
        <w:r>
          <w:rPr>
            <w:rStyle w:val="Hyperlink"/>
          </w:rPr>
          <w:t xml:space="preserve">https://doi.org/10.1093/oxfordhb/9780198854265.013.34</w:t>
        </w:r>
      </w:hyperlink>
      <w:r>
        <w:t xml:space="preserve">.</w:t>
      </w:r>
    </w:p>
    <w:bookmarkEnd w:id="274"/>
    <w:bookmarkStart w:id="276" w:name="ref-Eerkens_Lipo_2005"/>
    <w:p>
      <w:pPr>
        <w:pStyle w:val="Bibliography"/>
      </w:pPr>
      <w:r>
        <w:t xml:space="preserve">[114]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75">
        <w:r>
          <w:rPr>
            <w:rStyle w:val="Hyperlink"/>
          </w:rPr>
          <w:t xml:space="preserve">https://doi.org/10.1016/j.jaa.2005.08.001</w:t>
        </w:r>
      </w:hyperlink>
      <w:r>
        <w:t xml:space="preserve">.</w:t>
      </w:r>
    </w:p>
    <w:bookmarkEnd w:id="276"/>
    <w:bookmarkStart w:id="278" w:name="ref-Intxaurbe_2026"/>
    <w:p>
      <w:pPr>
        <w:pStyle w:val="Bibliography"/>
      </w:pPr>
      <w:r>
        <w:t xml:space="preserve">[115]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77">
        <w:r>
          <w:rPr>
            <w:rStyle w:val="Hyperlink"/>
          </w:rPr>
          <w:t xml:space="preserve">https://doi.org/10.1007/s10816-026-09796-y</w:t>
        </w:r>
      </w:hyperlink>
      <w:r>
        <w:t xml:space="preserve">.</w:t>
      </w:r>
    </w:p>
    <w:bookmarkEnd w:id="278"/>
    <w:bookmarkStart w:id="280" w:name="ref-Bentz_Dutkiewicz_2026"/>
    <w:p>
      <w:pPr>
        <w:pStyle w:val="Bibliography"/>
      </w:pPr>
      <w:r>
        <w:t xml:space="preserve">[116]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79">
        <w:r>
          <w:rPr>
            <w:rStyle w:val="Hyperlink"/>
          </w:rPr>
          <w:t xml:space="preserve">https://doi.org/10.1073/pnas.2520385123</w:t>
        </w:r>
      </w:hyperlink>
      <w:r>
        <w:t xml:space="preserve">.</w:t>
      </w:r>
    </w:p>
    <w:bookmarkEnd w:id="280"/>
    <w:bookmarkStart w:id="282" w:name="ref-Bacon_2023"/>
    <w:p>
      <w:pPr>
        <w:pStyle w:val="Bibliography"/>
      </w:pPr>
      <w:r>
        <w:t xml:space="preserve">[117]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81">
        <w:r>
          <w:rPr>
            <w:rStyle w:val="Hyperlink"/>
          </w:rPr>
          <w:t xml:space="preserve">https://doi.org/10.1017/S0959774322000415</w:t>
        </w:r>
      </w:hyperlink>
      <w:r>
        <w:t xml:space="preserve">.</w:t>
      </w:r>
    </w:p>
    <w:bookmarkEnd w:id="282"/>
    <w:bookmarkStart w:id="284" w:name="Xa4990169aeb885a690070ab4fd90972c31994f8"/>
    <w:p>
      <w:pPr>
        <w:pStyle w:val="Bibliography"/>
      </w:pPr>
      <w:r>
        <w:t xml:space="preserve">[118]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83">
        <w:r>
          <w:rPr>
            <w:rStyle w:val="Hyperlink"/>
          </w:rPr>
          <w:t xml:space="preserve">https://doi.org/10.2139/ssrn.7053279</w:t>
        </w:r>
      </w:hyperlink>
      <w:r>
        <w:t xml:space="preserve">.</w:t>
      </w:r>
    </w:p>
    <w:bookmarkEnd w:id="284"/>
    <w:bookmarkStart w:id="286" w:name="X8ea620419c64d551554c48b7075c9934881930b"/>
    <w:p>
      <w:pPr>
        <w:pStyle w:val="Bibliography"/>
      </w:pPr>
      <w:r>
        <w:t xml:space="preserve">[119]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85">
        <w:r>
          <w:rPr>
            <w:rStyle w:val="Hyperlink"/>
          </w:rPr>
          <w:t xml:space="preserve">https://doi.org/10.1007/s41982-023-00158-8</w:t>
        </w:r>
      </w:hyperlink>
      <w:r>
        <w:t xml:space="preserve">.</w:t>
      </w:r>
    </w:p>
    <w:bookmarkEnd w:id="286"/>
    <w:bookmarkStart w:id="288" w:name="ref-Magli_2024"/>
    <w:p>
      <w:pPr>
        <w:pStyle w:val="Bibliography"/>
      </w:pPr>
      <w:r>
        <w:t xml:space="preserve">[120]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87">
        <w:r>
          <w:rPr>
            <w:rStyle w:val="Hyperlink"/>
          </w:rPr>
          <w:t xml:space="preserve">https://doi.org/10.1080/1751696X.2024.2441115</w:t>
        </w:r>
      </w:hyperlink>
      <w:r>
        <w:t xml:space="preserve">.</w:t>
      </w:r>
    </w:p>
    <w:bookmarkEnd w:id="288"/>
    <w:bookmarkStart w:id="290" w:name="ref-Nowell_2024_evidence"/>
    <w:p>
      <w:pPr>
        <w:pStyle w:val="Bibliography"/>
      </w:pPr>
      <w:r>
        <w:t xml:space="preserve">[121]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89">
        <w:r>
          <w:rPr>
            <w:rStyle w:val="Hyperlink"/>
          </w:rPr>
          <w:t xml:space="preserve">https://doi.org/10.1017/S0959774324000155</w:t>
        </w:r>
      </w:hyperlink>
      <w:r>
        <w:t xml:space="preserve">.</w:t>
      </w:r>
    </w:p>
    <w:bookmarkEnd w:id="290"/>
    <w:bookmarkStart w:id="292" w:name="ref-Horiuchi_Takakura_2019"/>
    <w:p>
      <w:pPr>
        <w:pStyle w:val="Bibliography"/>
      </w:pPr>
      <w:r>
        <w:t xml:space="preserve">[122]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91">
        <w:r>
          <w:rPr>
            <w:rStyle w:val="Hyperlink"/>
          </w:rPr>
          <w:t xml:space="preserve">https://doi.org/10.1007/978-981-13-8980-1_12</w:t>
        </w:r>
      </w:hyperlink>
      <w:r>
        <w:t xml:space="preserve">.</w:t>
      </w:r>
    </w:p>
    <w:bookmarkEnd w:id="292"/>
    <w:bookmarkStart w:id="293" w:name="ref-Rogers_2018"/>
    <w:p>
      <w:pPr>
        <w:pStyle w:val="Bibliography"/>
      </w:pPr>
      <w:r>
        <w:t xml:space="preserve">[123]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93"/>
    <w:bookmarkStart w:id="295" w:name="X94f875be1b7e5d23641daff5d53857bec24e739"/>
    <w:p>
      <w:pPr>
        <w:pStyle w:val="Bibliography"/>
      </w:pPr>
      <w:r>
        <w:t xml:space="preserve">[124]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94">
        <w:r>
          <w:rPr>
            <w:rStyle w:val="Hyperlink"/>
          </w:rPr>
          <w:t xml:space="preserve">https://doi.org/10.1016/j.jasrep.2021.103118</w:t>
        </w:r>
      </w:hyperlink>
      <w:r>
        <w:t xml:space="preserve">.</w:t>
      </w:r>
    </w:p>
    <w:bookmarkEnd w:id="295"/>
    <w:bookmarkStart w:id="297" w:name="ref-Gamble_1982"/>
    <w:p>
      <w:pPr>
        <w:pStyle w:val="Bibliography"/>
      </w:pPr>
      <w:r>
        <w:t xml:space="preserve">[125]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96">
        <w:r>
          <w:rPr>
            <w:rStyle w:val="Hyperlink"/>
          </w:rPr>
          <w:t xml:space="preserve">https://doi.org/10.2307/2802103</w:t>
        </w:r>
      </w:hyperlink>
      <w:r>
        <w:t xml:space="preserve">.</w:t>
      </w:r>
    </w:p>
    <w:bookmarkEnd w:id="297"/>
    <w:bookmarkStart w:id="299" w:name="Xba346573845225b1b1d5ef358e2fea0d893a789"/>
    <w:p>
      <w:pPr>
        <w:pStyle w:val="Bibliography"/>
      </w:pPr>
      <w:r>
        <w:t xml:space="preserve">[126]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98">
        <w:r>
          <w:rPr>
            <w:rStyle w:val="Hyperlink"/>
          </w:rPr>
          <w:t xml:space="preserve">https://doi.org/10.1016/j.quascirev.2018.12.011</w:t>
        </w:r>
      </w:hyperlink>
      <w:r>
        <w:t xml:space="preserve">.</w:t>
      </w:r>
    </w:p>
    <w:bookmarkEnd w:id="299"/>
    <w:bookmarkStart w:id="301" w:name="ref-Creanza_Kolodny_Feldman_2017"/>
    <w:p>
      <w:pPr>
        <w:pStyle w:val="Bibliography"/>
      </w:pPr>
      <w:r>
        <w:t xml:space="preserve">[127]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300">
        <w:r>
          <w:rPr>
            <w:rStyle w:val="Hyperlink"/>
          </w:rPr>
          <w:t xml:space="preserve">https://doi.org/10.1098/rsif.2017.0171</w:t>
        </w:r>
      </w:hyperlink>
      <w:r>
        <w:t xml:space="preserve">.</w:t>
      </w:r>
    </w:p>
    <w:bookmarkEnd w:id="301"/>
    <w:bookmarkStart w:id="303" w:name="ref-Cullen_1996"/>
    <w:p>
      <w:pPr>
        <w:pStyle w:val="Bibliography"/>
      </w:pPr>
      <w:r>
        <w:t xml:space="preserve">[128]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302">
        <w:r>
          <w:rPr>
            <w:rStyle w:val="Hyperlink"/>
          </w:rPr>
          <w:t xml:space="preserve">https://doi.org/10.1007/978-1-4757-9945-3_4</w:t>
        </w:r>
      </w:hyperlink>
      <w:r>
        <w:t xml:space="preserve">.</w:t>
      </w:r>
    </w:p>
    <w:bookmarkEnd w:id="303"/>
    <w:bookmarkStart w:id="305" w:name="ref-Hill_Wood_Baggio_Hurtado_Boyd_2014"/>
    <w:p>
      <w:pPr>
        <w:pStyle w:val="Bibliography"/>
      </w:pPr>
      <w:r>
        <w:t xml:space="preserve">[129]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304">
        <w:r>
          <w:rPr>
            <w:rStyle w:val="Hyperlink"/>
          </w:rPr>
          <w:t xml:space="preserve">https://doi.org/10.1371/journal.pone.0102806</w:t>
        </w:r>
      </w:hyperlink>
      <w:r>
        <w:t xml:space="preserve">.</w:t>
      </w:r>
    </w:p>
    <w:bookmarkEnd w:id="305"/>
    <w:bookmarkStart w:id="307" w:name="ref-Derex_Boyd_2016"/>
    <w:p>
      <w:pPr>
        <w:pStyle w:val="Bibliography"/>
      </w:pPr>
      <w:r>
        <w:t xml:space="preserve">[130]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306">
        <w:r>
          <w:rPr>
            <w:rStyle w:val="Hyperlink"/>
          </w:rPr>
          <w:t xml:space="preserve">https://doi.org/10.1073/pnas.1518798113</w:t>
        </w:r>
      </w:hyperlink>
      <w:r>
        <w:t xml:space="preserve">.</w:t>
      </w:r>
    </w:p>
    <w:bookmarkEnd w:id="307"/>
    <w:bookmarkStart w:id="308" w:name="ref-Von_Petzinger_2009"/>
    <w:p>
      <w:pPr>
        <w:pStyle w:val="Bibliography"/>
      </w:pPr>
      <w:r>
        <w:t xml:space="preserve">[131]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308"/>
    <w:bookmarkStart w:id="310" w:name="ref-Herskind2023"/>
    <w:p>
      <w:pPr>
        <w:pStyle w:val="Bibliography"/>
      </w:pPr>
      <w:r>
        <w:t xml:space="preserve">[132]</w:t>
      </w:r>
      <w:r>
        <w:t xml:space="preserve"> </w:t>
      </w:r>
      <w:r>
        <w:t xml:space="preserve">	</w:t>
      </w:r>
      <w:r>
        <w:t xml:space="preserve">Herskind LLP. A case for idle graffiti: Challenging the semiotic resurgence within prehistoric art research. Hunter Gatherer Research 2023;9:59–93.</w:t>
      </w:r>
      <w:r>
        <w:t xml:space="preserve"> </w:t>
      </w:r>
      <w:hyperlink r:id="rId309">
        <w:r>
          <w:rPr>
            <w:rStyle w:val="Hyperlink"/>
          </w:rPr>
          <w:t xml:space="preserve">https://doi.org/10.3828/hgr.2023.12</w:t>
        </w:r>
      </w:hyperlink>
      <w:r>
        <w:t xml:space="preserve">.</w:t>
      </w:r>
    </w:p>
    <w:bookmarkEnd w:id="310"/>
    <w:bookmarkStart w:id="312" w:name="ref-Gravel-Miguel_Coward_2023"/>
    <w:p>
      <w:pPr>
        <w:pStyle w:val="Bibliography"/>
      </w:pPr>
      <w:r>
        <w:t xml:space="preserve">[133]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311">
        <w:r>
          <w:rPr>
            <w:rStyle w:val="Hyperlink"/>
          </w:rPr>
          <w:t xml:space="preserve">https://doi.org/10.1093/oxfordhb/9780198854265.013.31</w:t>
        </w:r>
      </w:hyperlink>
      <w:r>
        <w:t xml:space="preserve">.</w:t>
      </w:r>
    </w:p>
    <w:bookmarkEnd w:id="312"/>
    <w:bookmarkStart w:id="314" w:name="X42e36537dda68556aeacf852410efd6ac3bb1ca"/>
    <w:p>
      <w:pPr>
        <w:pStyle w:val="Bibliography"/>
      </w:pPr>
      <w:r>
        <w:t xml:space="preserve">[134]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13">
        <w:r>
          <w:rPr>
            <w:rStyle w:val="Hyperlink"/>
          </w:rPr>
          <w:t xml:space="preserve">https://doi.org/10.1007/s10816-023-09608-7</w:t>
        </w:r>
      </w:hyperlink>
      <w:r>
        <w:t xml:space="preserve">.</w:t>
      </w:r>
    </w:p>
    <w:bookmarkEnd w:id="314"/>
    <w:bookmarkEnd w:id="315"/>
    <w:bookmarkEnd w:id="316"/>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2026-09-03T22:21:38Z</dcterms:created>
  <dcterms:modified xsi:type="dcterms:W3CDTF">2026-09-03T22:21:38Z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