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297.png" ContentType="image/png"/>
  <Override PartName="/word/media/rId304.png" ContentType="image/png"/>
  <Override PartName="/word/media/rId131.png" ContentType="image/png"/>
  <Override PartName="/word/media/rId44.png" ContentType="image/png"/>
  <Override PartName="/word/media/rId30.png" ContentType="image/png"/>
  <Override PartName="/word/media/rId55.png" ContentType="image/png"/>
  <Override PartName="/word/media/rId314.png" ContentType="image/png"/>
  <Override PartName="/word/media/rId343.png" ContentType="image/png"/>
  <Override PartName="/word/media/rId331.png" ContentType="image/png"/>
  <Override PartName="/word/media/rId323.png" ContentType="image/png"/>
  <Override PartName="/word/media/rId37.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152.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155.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263.png" ContentType="image/png"/>
  <Override PartName="/word/media/rId158.png" ContentType="image/png"/>
  <Override PartName="/word/media/rId266.png" ContentType="image/png"/>
  <Override PartName="/word/media/rId269.png" ContentType="image/png"/>
  <Override PartName="/word/media/rId272.png" ContentType="image/png"/>
  <Override PartName="/word/media/rId275.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w:t>
      </w:r>
    </w:p>
    <w:bookmarkEnd w:id="21"/>
    <w:bookmarkStart w:id="23" w:name="s1.1-counts"/>
    <w:p>
      <w:pPr>
        <w:pStyle w:val="Heading2"/>
      </w:pPr>
      <w:r>
        <w:t xml:space="preserve">S1.1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1: Sites omitted for data quality reasons. Archaeological phase rationale is in S2.</w:t>
            </w:r>
          </w:p>
          <w:bookmarkEnd w:id="22"/>
        </w:tc>
      </w:tr>
    </w:tbl>
    <w:bookmarkEnd w:id="23"/>
    <w:bookmarkStart w:id="24" w:name="s1.2-interpretation"/>
    <w:p>
      <w:pPr>
        <w:pStyle w:val="Heading2"/>
      </w:pPr>
      <w:r>
        <w:t xml:space="preserve">S1.2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S2–S12 below are therefore conditional on the retained sample of 409 objects at 28 sites. The phase table in S2 lists the retained sites with their technological or date-based assignment; Table S1.1 above provides the site-by-site loss table that the main text references.</w:t>
      </w:r>
    </w:p>
    <w:bookmarkEnd w:id="24"/>
    <w:bookmarkStart w:id="25" w:name="s1.3-analysis-ready-phase-data"/>
    <w:p>
      <w:pPr>
        <w:pStyle w:val="Heading2"/>
      </w:pPr>
      <w:r>
        <w:t xml:space="preserve">S1.3 Analysis-ready phase data</w:t>
      </w:r>
    </w:p>
    <w:bookmarkEnd w:id="25"/>
    <w:bookmarkEnd w:id="26"/>
    <w:bookmarkStart w:id="42" w:name="sec-s2"/>
    <w:p>
      <w:pPr>
        <w:pStyle w:val="Heading1"/>
      </w:pPr>
      <w:r>
        <w:t xml:space="preserve">S2.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7"/>
    <w:bookmarkStart w:id="29" w:name="Xc727fa8c025598b7f2fc3dbd9e8c5ea72f1addb"/>
    <w:p>
      <w:pPr>
        <w:pStyle w:val="Heading2"/>
      </w:pPr>
      <w:r>
        <w:t xml:space="preserve">S2.1 Network Statistics Across Thresholds</w:t>
      </w:r>
    </w:p>
    <w:p>
      <w:pPr>
        <w:pStyle w:val="FirstParagraph"/>
      </w:pPr>
      <w:hyperlink w:anchor="tbl-sens-stats">
        <w:r>
          <w:rPr>
            <w:rStyle w:val="Hyperlink"/>
          </w:rPr>
          <w:t xml:space="preserve">Table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8cfde0292218100cb39778ca0d4d932e6c21aea"/>
    <w:p>
      <w:pPr>
        <w:pStyle w:val="Heading2"/>
      </w:pPr>
      <w:r>
        <w:t xml:space="preserve">S2.2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2.3-interpretation"/>
    <w:p>
      <w:pPr>
        <w:pStyle w:val="Heading2"/>
      </w:pPr>
      <w:r>
        <w:t xml:space="preserve">S2.3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Start w:id="36" w:name="sec-s2-4"/>
    <w:p>
      <w:pPr>
        <w:pStyle w:val="Heading2"/>
      </w:pPr>
      <w:r>
        <w:t xml:space="preserve">S2.4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36"/>
    <w:bookmarkStart w:id="41" w:name="sec-s2-5"/>
    <w:p>
      <w:pPr>
        <w:pStyle w:val="Heading2"/>
      </w:pPr>
      <w:r>
        <w:t xml:space="preserve">S2.5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End w:id="42"/>
    <w:bookmarkStart w:id="50" w:name="sec-s3"/>
    <w:p>
      <w:pPr>
        <w:pStyle w:val="Heading1"/>
      </w:pPr>
      <w:r>
        <w:t xml:space="preserve">S3. Similarity Metric Choice (Jaccard vs. Sørensen-Dice vs. Simpson)</w:t>
      </w:r>
    </w:p>
    <w:bookmarkStart w:id="48" w:name="s3.1-rationale"/>
    <w:p>
      <w:pPr>
        <w:pStyle w:val="Heading2"/>
      </w:pPr>
      <w:r>
        <w:t xml:space="preserve">S3.1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3"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3: Network statistics for each Aurignacian phase across three similarity metrics (Jaccard, Sørensen-Dice, Simpson) at threshold = 0.2.</w:t>
            </w:r>
          </w:p>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metric-networks"/>
          <w:p>
            <w:pPr>
              <w:pStyle w:val="Compact"/>
              <w:jc w:val="center"/>
            </w:pPr>
            <w:r>
              <w:drawing>
                <wp:inline>
                  <wp:extent cx="5943600" cy="5403272"/>
                  <wp:effectExtent b="0" l="0" r="0" t="0"/>
                  <wp:docPr descr="" title="" id="45" name="Picture"/>
                  <a:graphic>
                    <a:graphicData uri="http://schemas.openxmlformats.org/drawingml/2006/picture">
                      <pic:pic>
                        <pic:nvPicPr>
                          <pic:cNvPr descr="../figures/sensitivity-metric-plot.png" id="46" name="Picture"/>
                          <pic:cNvPicPr>
                            <a:picLocks noChangeArrowheads="1" noChangeAspect="1"/>
                          </pic:cNvPicPr>
                        </pic:nvPicPr>
                        <pic:blipFill>
                          <a:blip r:embed="rId4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Site networks for Aur-P1 (top) and Aur-P2 (bottom) under Jaccard (left), Sørensen-Dice (centre), and Simpson (right) similarity metrics at threshold = 0.2.</w:t>
            </w:r>
          </w:p>
          <w:bookmarkEnd w:id="47"/>
        </w:tc>
      </w:tr>
    </w:tbl>
    <w:bookmarkEnd w:id="48"/>
    <w:bookmarkStart w:id="49" w:name="s3.2-interpretation"/>
    <w:p>
      <w:pPr>
        <w:pStyle w:val="Heading2"/>
      </w:pPr>
      <w:r>
        <w:t xml:space="preserve">S3.2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9"/>
    <w:bookmarkEnd w:id="50"/>
    <w:bookmarkStart w:id="62" w:name="sec-s4"/>
    <w:p>
      <w:pPr>
        <w:pStyle w:val="Heading1"/>
      </w:pPr>
      <w:r>
        <w:t xml:space="preserve">S4. Geographic Distance Verification (Mantel Tests)</w:t>
      </w:r>
    </w:p>
    <w:bookmarkStart w:id="52" w:name="s4.1-rationale"/>
    <w:p>
      <w:pPr>
        <w:pStyle w:val="Heading2"/>
      </w:pPr>
      <w:r>
        <w:t xml:space="preserve">S4.1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1"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4: Comparison of Mantel test results (Mantel R and p-value) evaluating sign assemblage dissimilarity vs. spatial distance using flat coordinate Euclidean distance vs. true Geodesic distance (in kilometers).</w:t>
            </w:r>
          </w:p>
          <w:bookmarkEnd w:id="51"/>
        </w:tc>
      </w:tr>
    </w:tbl>
    <w:bookmarkEnd w:id="52"/>
    <w:bookmarkStart w:id="53" w:name="s4.2-interpretation"/>
    <w:p>
      <w:pPr>
        <w:pStyle w:val="Heading2"/>
      </w:pPr>
      <w:r>
        <w:t xml:space="preserve">S4.2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3"/>
    <w:bookmarkStart w:id="61" w:name="sec-s4-3"/>
    <w:p>
      <w:pPr>
        <w:pStyle w:val="Heading2"/>
      </w:pPr>
      <w:r>
        <w:t xml:space="preserve">S4.3 Mantel Correlogram</w:t>
      </w:r>
    </w:p>
    <w:bookmarkStart w:id="54" w:name="rationale-2"/>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4"/>
    <w:bookmarkStart w:id="59"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8" w:name="fig-mantel-correlogram"/>
          <w:p>
            <w:pPr>
              <w:pStyle w:val="Compact"/>
              <w:jc w:val="center"/>
            </w:pPr>
            <w:r>
              <w:drawing>
                <wp:inline>
                  <wp:extent cx="5943600" cy="3714750"/>
                  <wp:effectExtent b="0" l="0" r="0" t="0"/>
                  <wp:docPr descr="" title="" id="56" name="Picture"/>
                  <a:graphic>
                    <a:graphicData uri="http://schemas.openxmlformats.org/drawingml/2006/picture">
                      <pic:pic>
                        <pic:nvPicPr>
                          <pic:cNvPr descr="S1-supplement-sensitivity_files/figure-docx/fig-mantel-correlogram-1.png" id="57" name="Picture"/>
                          <pic:cNvPicPr>
                            <a:picLocks noChangeArrowheads="1" noChangeAspect="1"/>
                          </pic:cNvPicPr>
                        </pic:nvPicPr>
                        <pic:blipFill>
                          <a:blip r:embed="rId5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8"/>
        </w:tc>
      </w:tr>
    </w:tbl>
    <w:bookmarkEnd w:id="59"/>
    <w:bookmarkStart w:id="6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60"/>
    <w:bookmarkEnd w:id="61"/>
    <w:bookmarkEnd w:id="62"/>
    <w:bookmarkStart w:id="86" w:name="sec-s5"/>
    <w:p>
      <w:pPr>
        <w:pStyle w:val="Heading1"/>
      </w:pPr>
      <w:r>
        <w:t xml:space="preserve">S5. Periodisation Scheme Sensitivity</w:t>
      </w:r>
    </w:p>
    <w:bookmarkStart w:id="65" w:name="sec-s5-1"/>
    <w:p>
      <w:pPr>
        <w:pStyle w:val="Heading2"/>
      </w:pPr>
      <w:r>
        <w:t xml:space="preserve">S5.1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(S5.5).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Reference: network statistics under the two-phase periodisation used in the main text (threshold = 0.2). Aur-P1 = Proto + Early; Aur-P2 = Evolved.</w:t>
            </w:r>
          </w:p>
          <w:bookmarkEnd w:id="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Network statistics for the technology-assigned components of the two-phase baseline (Proto-Aurignacian, Early Aurignacian, Evolved Aurignacian) at threshold = 0.2. Aur-P1 = Proto + Early; Aur-P2 = Evolved.</w:t>
            </w:r>
          </w:p>
          <w:bookmarkEnd w:id="64"/>
        </w:tc>
      </w:tr>
    </w:tbl>
    <w:bookmarkEnd w:id="65"/>
    <w:bookmarkStart w:id="68" w:name="sec-s5-2"/>
    <w:p>
      <w:pPr>
        <w:pStyle w:val="Heading2"/>
      </w:pPr>
      <w:r>
        <w:t xml:space="preserve">S5.2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(S5.5)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7: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6"/>
        </w:tc>
      </w:tr>
    </w:tbl>
    <w:bookmarkStart w:id="67"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7"/>
    <w:bookmarkEnd w:id="68"/>
    <w:bookmarkStart w:id="70" w:name="sec-s5-3"/>
    <w:p>
      <w:pPr>
        <w:pStyle w:val="Heading2"/>
      </w:pPr>
      <w:r>
        <w:t xml:space="preserve">S5.3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69"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8: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69"/>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0"/>
    <w:bookmarkStart w:id="77" w:name="sec-s5-4"/>
    <w:p>
      <w:pPr>
        <w:pStyle w:val="Heading2"/>
      </w:pPr>
      <w:r>
        <w:t xml:space="preserve">S5.4 Phase-Boundary Sensitivity</w:t>
      </w:r>
    </w:p>
    <w:bookmarkStart w:id="73"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1"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9: Number of objects and sites within ±500 and ±1000 calibrated years of the single periodisation boundary at 37799 BP separating Aur-P1 from Aur-P2.</w:t>
            </w:r>
          </w:p>
          <w:bookmarkEnd w:id="7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2"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10: Network statistics at the baseline threshold of 0.2 under shifts of the single Aur-P1/Aur-P2 boundary. Positive shifts move the boundary later (older objects reassigned to Aur-P2); negative shifts move it earlier (younger Aur-P2 objects reassigned to Aur-P1).</w:t>
            </w:r>
          </w:p>
          <w:bookmarkEnd w:id="72"/>
        </w:tc>
      </w:tr>
    </w:tbl>
    <w:bookmarkEnd w:id="73"/>
    <w:bookmarkStart w:id="74"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4"/>
    <w:bookmarkStart w:id="75"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5"/>
    <w:bookmarkStart w:id="76"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6"/>
    <w:bookmarkEnd w:id="77"/>
    <w:bookmarkStart w:id="85" w:name="sec-s5-5"/>
    <w:p>
      <w:pPr>
        <w:pStyle w:val="Heading2"/>
      </w:pPr>
      <w:r>
        <w:t xml:space="preserve">S5.5 Technological Versus Date-Based Assignment</w:t>
      </w:r>
    </w:p>
    <w:bookmarkStart w:id="78"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8"/>
    <w:bookmarkStart w:id="80"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7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11: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79"/>
        </w:tc>
      </w:tr>
    </w:tbl>
    <w:bookmarkEnd w:id="80"/>
    <w:bookmarkStart w:id="8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1"/>
    <w:bookmarkStart w:id="83"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2"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12: Mean degree by phase under each reassignment condition. The Aur-P1 &gt; Aur-P2 ordering is preserved under every condition.</w:t>
            </w:r>
          </w:p>
          <w:bookmarkEnd w:id="82"/>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3"/>
    <w:bookmarkStart w:id="84"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S12.6 showing that Aur-P1’s network does not depend on a single site. Finally, the within-phase two-group structure (RQ1) , the restricted/broad dichotomy recovered by seriation, Louvain community detection, and bootstrap consensus (S6, S9) , is defined within each phase’s membership and is unaffected by the between-phase assignment criterion tested here. The stochastic block model (S9.3) does not recover this dichotomy (single block selected under all three emission models), consistent with the small size and sparsity of the sign-sharing networks falling below the detectability limit for block structure.</w:t>
      </w:r>
    </w:p>
    <w:bookmarkEnd w:id="84"/>
    <w:bookmarkEnd w:id="85"/>
    <w:bookmarkEnd w:id="86"/>
    <w:bookmarkStart w:id="111" w:name="sec-s6"/>
    <w:p>
      <w:pPr>
        <w:pStyle w:val="Heading1"/>
      </w:pPr>
      <w:r>
        <w:t xml:space="preserve">S6. Automated Group Recovery as a Circularity Check</w:t>
      </w:r>
    </w:p>
    <w:p>
      <w:pPr>
        <w:pStyle w:val="FirstParagraph"/>
      </w:pPr>
      <w:r>
        <w:t xml:space="preserve">The sensitivity analyses in S2–S5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10">
        <w:r>
          <w:rPr>
            <w:rStyle w:val="Hyperlink"/>
          </w:rPr>
          <w:t xml:space="preserve">Section 10</w:t>
        </w:r>
      </w:hyperlink>
      <w:r>
        <w:t xml:space="preserve">.</w:t>
      </w:r>
    </w:p>
    <w:bookmarkStart w:id="90" w:name="sec-s6-1"/>
    <w:p>
      <w:pPr>
        <w:pStyle w:val="Heading2"/>
      </w:pPr>
      <w:r>
        <w:t xml:space="preserve">S6.1 Louvain Community Partitioning</w:t>
      </w:r>
    </w:p>
    <w:bookmarkStart w:id="89"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7"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13: Louvain community memberships for each site, by phase and threshold. Sites with no community assignment (no edges at that threshold) are assigned to a singleton community. Groups are numbered by Louvain membership.</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14: Adjusted Rand Index (ARI) between Louvain-derived communities and the manually assigned restricted/broad groups, by phase and threshold. ARI = 1.0 indicates identical partitions; ARI ≈ 0 indicates agreement no better than chance.</w:t>
            </w:r>
          </w:p>
          <w:bookmarkEnd w:id="88"/>
        </w:tc>
      </w:tr>
    </w:tbl>
    <w:bookmarkEnd w:id="89"/>
    <w:bookmarkEnd w:id="90"/>
    <w:bookmarkStart w:id="93" w:name="sec-s6-2"/>
    <w:p>
      <w:pPr>
        <w:pStyle w:val="Heading2"/>
      </w:pPr>
      <w:r>
        <w:t xml:space="preserve">S6.2 Infomap Community Partitioning</w:t>
      </w:r>
    </w:p>
    <w:bookmarkStart w:id="92"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1"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15: Adjusted Rand Index (ARI) between Infomap-derived communities and Louvain-derived communities, by phase and threshold. ARI = 1.0 indicates identical partitions; ARI ≈ 0 indicates agreement no better than chance.</w:t>
            </w:r>
          </w:p>
          <w:bookmarkEnd w:id="91"/>
        </w:tc>
      </w:tr>
    </w:tbl>
    <w:bookmarkEnd w:id="92"/>
    <w:bookmarkEnd w:id="93"/>
    <w:bookmarkStart w:id="96" w:name="sec-s6-3"/>
    <w:p>
      <w:pPr>
        <w:pStyle w:val="Heading2"/>
      </w:pPr>
      <w:r>
        <w:t xml:space="preserve">S6.3 Leiden Community Partitioning</w:t>
      </w:r>
    </w:p>
    <w:bookmarkStart w:id="95"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4"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16: Adjusted Rand Index (ARI) between Leiden-derived communities and Louvain-derived communities, by phase and threshold. ARI = 1.0 indicates identical partitions; ARI ≈ 0 indicates agreement no better than chance.</w:t>
            </w:r>
          </w:p>
          <w:bookmarkEnd w:id="94"/>
        </w:tc>
      </w:tr>
    </w:tbl>
    <w:bookmarkEnd w:id="95"/>
    <w:bookmarkEnd w:id="96"/>
    <w:bookmarkStart w:id="99" w:name="sec-s6-4"/>
    <w:p>
      <w:pPr>
        <w:pStyle w:val="Heading2"/>
      </w:pPr>
      <w:r>
        <w:t xml:space="preserve">S6.4 Walktrap Community Partitioning</w:t>
      </w:r>
    </w:p>
    <w:bookmarkStart w:id="98"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7"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17: Adjusted Rand Index (ARI) between Walktrap-derived communities and Louvain-derived communities, by phase and threshold. ARI = 1.0 indicates identical partitions; ARI ≈ 0 indicates agreement no better than chance.</w:t>
            </w:r>
          </w:p>
          <w:bookmarkEnd w:id="97"/>
        </w:tc>
      </w:tr>
    </w:tbl>
    <w:bookmarkEnd w:id="98"/>
    <w:bookmarkEnd w:id="99"/>
    <w:bookmarkStart w:id="102" w:name="sec-s6-5"/>
    <w:p>
      <w:pPr>
        <w:pStyle w:val="Heading2"/>
      </w:pPr>
      <w:r>
        <w:t xml:space="preserve">S6.5 PerMANOVA Comparison</w:t>
      </w:r>
    </w:p>
    <w:bookmarkStart w:id="101"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0"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18: PerMANOVA comparison: manual (restricted/broad) grouping versus algorithmically derived groupings. R² and pseudo-F for each phase, threshold, and community detection algorithm.</w:t>
            </w:r>
          </w:p>
          <w:bookmarkEnd w:id="100"/>
        </w:tc>
      </w:tr>
    </w:tbl>
    <w:bookmarkEnd w:id="101"/>
    <w:bookmarkEnd w:id="102"/>
    <w:bookmarkStart w:id="105" w:name="sec-s6-6"/>
    <w:p>
      <w:pPr>
        <w:pStyle w:val="Heading2"/>
      </w:pPr>
      <w:r>
        <w:t xml:space="preserve">S6.6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13</w:t>
        </w:r>
      </w:hyperlink>
      <w:r>
        <w:t xml:space="preserve">,</w:t>
      </w:r>
      <w:r>
        <w:t xml:space="preserve"> </w:t>
      </w:r>
      <w:hyperlink w:anchor="tbl-ari-louvain">
        <w:r>
          <w:rPr>
            <w:rStyle w:val="Hyperlink"/>
          </w:rPr>
          <w:t xml:space="preserve">Table 14</w:t>
        </w:r>
      </w:hyperlink>
      <w:r>
        <w:t xml:space="preserve">,</w:t>
      </w:r>
      <w:r>
        <w:t xml:space="preserve"> </w:t>
      </w:r>
      <w:hyperlink w:anchor="tbl-ari-infomap">
        <w:r>
          <w:rPr>
            <w:rStyle w:val="Hyperlink"/>
          </w:rPr>
          <w:t xml:space="preserve">Table 15</w:t>
        </w:r>
      </w:hyperlink>
      <w:r>
        <w:t xml:space="preserve">,</w:t>
      </w:r>
      <w:r>
        <w:t xml:space="preserve"> </w:t>
      </w:r>
      <w:hyperlink w:anchor="tbl-ari-leiden">
        <w:r>
          <w:rPr>
            <w:rStyle w:val="Hyperlink"/>
          </w:rPr>
          <w:t xml:space="preserve">Table 16</w:t>
        </w:r>
      </w:hyperlink>
      <w:r>
        <w:t xml:space="preserve">,</w:t>
      </w:r>
      <w:r>
        <w:t xml:space="preserve"> </w:t>
      </w:r>
      <w:hyperlink w:anchor="tbl-ari-walktrap">
        <w:r>
          <w:rPr>
            <w:rStyle w:val="Hyperlink"/>
          </w:rPr>
          <w:t xml:space="preserve">Table 17</w:t>
        </w:r>
      </w:hyperlink>
      <w:r>
        <w:t xml:space="preserve">,</w:t>
      </w:r>
      <w:r>
        <w:t xml:space="preserve"> </w:t>
      </w:r>
      <w:hyperlink w:anchor="tbl-permanova-comparison">
        <w:r>
          <w:rPr>
            <w:rStyle w:val="Hyperlink"/>
          </w:rPr>
          <w:t xml:space="preserve">Table 18</w:t>
        </w:r>
      </w:hyperlink>
      <w:r>
        <w:t xml:space="preserve">). Counts below are read from those tables at render time, not hardcoded, so the text cannot drift from the computation.</w:t>
      </w:r>
    </w:p>
    <w:bookmarkStart w:id="103"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3"/>
    <w:bookmarkStart w:id="104"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4"/>
    <w:bookmarkEnd w:id="105"/>
    <w:bookmarkStart w:id="110" w:name="sec-s6-7"/>
    <w:p>
      <w:pPr>
        <w:pStyle w:val="Heading2"/>
      </w:pPr>
      <w:r>
        <w:t xml:space="preserve">S6.7 Interpretation</w:t>
      </w:r>
    </w:p>
    <w:bookmarkStart w:id="10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13</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6"/>
    <w:bookmarkStart w:id="10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14</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7"/>
    <w:bookmarkStart w:id="10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18</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8"/>
    <w:bookmarkStart w:id="10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10">
        <w:r>
          <w:rPr>
            <w:rStyle w:val="Hyperlink"/>
          </w:rPr>
          <w:t xml:space="preserve">Section 10</w:t>
        </w:r>
      </w:hyperlink>
      <w:r>
        <w:t xml:space="preserve">.</w:t>
      </w:r>
    </w:p>
    <w:bookmarkEnd w:id="109"/>
    <w:bookmarkEnd w:id="110"/>
    <w:bookmarkEnd w:id="111"/>
    <w:bookmarkStart w:id="122" w:name="sec-s7"/>
    <w:p>
      <w:pPr>
        <w:pStyle w:val="Heading1"/>
      </w:pPr>
      <w:r>
        <w:t xml:space="preserve">S7.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3" w:name="sec-s7-1"/>
    <w:p>
      <w:pPr>
        <w:pStyle w:val="Heading2"/>
      </w:pPr>
      <w:r>
        <w:t xml:space="preserve">S7.1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19: Observed modularity and null-model p-values for each Aurignacian phase at three Jaccard similarity thresholds.</w:t>
            </w:r>
          </w:p>
          <w:bookmarkEnd w:id="11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3"/>
    <w:bookmarkStart w:id="115" w:name="sec-s7-2"/>
    <w:p>
      <w:pPr>
        <w:pStyle w:val="Heading2"/>
      </w:pPr>
      <w:r>
        <w:t xml:space="preserve">S7.2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20: Spearman correlations between node degree and site sign richness (number of distinct sign types) within each Aurignacian phase, at the baseline threshold of 0.2.</w:t>
            </w:r>
          </w:p>
          <w:bookmarkEnd w:id="11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5"/>
    <w:bookmarkStart w:id="117" w:name="sec-s7-3"/>
    <w:p>
      <w:pPr>
        <w:pStyle w:val="Heading2"/>
      </w:pPr>
      <w:r>
        <w:t xml:space="preserve">S7.3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6"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21: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6"/>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117"/>
    <w:bookmarkStart w:id="119" w:name="sec-s7-4"/>
    <w:p>
      <w:pPr>
        <w:pStyle w:val="Heading2"/>
      </w:pPr>
      <w:r>
        <w:t xml:space="preserve">S7.4 Multiple-Testing Correction</w:t>
      </w:r>
    </w:p>
    <w:p>
      <w:pPr>
        <w:pStyle w:val="FirstParagraph"/>
      </w:pPr>
      <w:r>
        <w:t xml:space="preserve">The Mantel tests reported in</w:t>
      </w:r>
      <w:r>
        <w:t xml:space="preserve"> </w:t>
      </w:r>
      <w:hyperlink w:anchor="tbl-geodesic-mantel">
        <w:r>
          <w:rPr>
            <w:rStyle w:val="Hyperlink"/>
          </w:rPr>
          <w:t xml:space="preserve">Table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8"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22: Mantel test p-values before and after Benjamini–Hochberg correction for multiple testing across 2 phases × 2 distance measures (4 tests total). Results with adjusted p &lt; 0.05 are highlighted.</w:t>
            </w:r>
          </w:p>
          <w:bookmarkEnd w:id="118"/>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19"/>
    <w:bookmarkStart w:id="121" w:name="sec-s7-5"/>
    <w:p>
      <w:pPr>
        <w:pStyle w:val="Heading2"/>
      </w:pPr>
      <w:r>
        <w:t xml:space="preserve">S7.5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0"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23: Network metrics normalised by size-matched Erdos-Renyi expectation. Ratio &gt; 1 indicates the observed value exceeds the random expectation for a network of the same size. ER mean and SD are based on 100 random graphs per phase.</w:t>
            </w:r>
          </w:p>
          <w:bookmarkEnd w:id="120"/>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1"/>
    <w:bookmarkEnd w:id="122"/>
    <w:bookmarkStart w:id="138" w:name="sec-s8"/>
    <w:p>
      <w:pPr>
        <w:pStyle w:val="Heading1"/>
      </w:pPr>
      <w:r>
        <w:t xml:space="preserve">S8. Space, Time, and Regional Drivers</w:t>
      </w:r>
    </w:p>
    <w:p>
      <w:pPr>
        <w:pStyle w:val="FirstParagraph"/>
      </w:pPr>
      <w:r>
        <w:t xml:space="preserve">Geography, time, and regions test alternative drivers of sign dissimilarity. They do not test threshold or group existence.</w:t>
      </w:r>
    </w:p>
    <w:bookmarkStart w:id="123" w:name="sec-s8-1"/>
    <w:p>
      <w:pPr>
        <w:pStyle w:val="Heading2"/>
      </w:pPr>
      <w:r>
        <w:t xml:space="preserve">S8.1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3"/>
    <w:bookmarkStart w:id="128" w:name="sec-s8-2"/>
    <w:p>
      <w:pPr>
        <w:pStyle w:val="Heading2"/>
      </w:pPr>
      <w:r>
        <w:t xml:space="preserve">S8.2 Time-Lag Check</w:t>
      </w:r>
    </w:p>
    <w:bookmarkStart w:id="124"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4"/>
    <w:bookmarkStart w:id="12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24: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5"/>
        </w:tc>
      </w:tr>
    </w:tbl>
    <w:bookmarkEnd w:id="126"/>
    <w:bookmarkStart w:id="127"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24</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27"/>
    <w:bookmarkEnd w:id="128"/>
    <w:bookmarkStart w:id="137" w:name="sec-s8-3"/>
    <w:p>
      <w:pPr>
        <w:pStyle w:val="Heading2"/>
      </w:pPr>
      <w:r>
        <w:t xml:space="preserve">S8.3 Objective Regional Grouping</w:t>
      </w:r>
    </w:p>
    <w:bookmarkStart w:id="135"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29"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25: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2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0"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26: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s513-region-map"/>
          <w:p>
            <w:pPr>
              <w:pStyle w:val="Compact"/>
              <w:jc w:val="center"/>
            </w:pPr>
            <w:r>
              <w:drawing>
                <wp:inline>
                  <wp:extent cx="5943600" cy="4457699"/>
                  <wp:effectExtent b="0" l="0" r="0" t="0"/>
                  <wp:docPr descr="" title="" id="132" name="Picture"/>
                  <a:graphic>
                    <a:graphicData uri="http://schemas.openxmlformats.org/drawingml/2006/picture">
                      <pic:pic>
                        <pic:nvPicPr>
                          <pic:cNvPr descr="../figures/s513-region-map.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34"/>
        </w:tc>
      </w:tr>
    </w:tbl>
    <w:bookmarkEnd w:id="135"/>
    <w:bookmarkStart w:id="136"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6"/>
    <w:bookmarkEnd w:id="137"/>
    <w:bookmarkEnd w:id="138"/>
    <w:bookmarkStart w:id="287" w:name="sec-s9"/>
    <w:p>
      <w:pPr>
        <w:pStyle w:val="Heading1"/>
      </w:pPr>
      <w:r>
        <w:t xml:space="preserve">S9. Partition Stability and Generative Models</w:t>
      </w:r>
    </w:p>
    <w:bookmarkStart w:id="139" w:name="sec-s9-1"/>
    <w:p>
      <w:pPr>
        <w:pStyle w:val="Heading2"/>
      </w:pPr>
      <w:r>
        <w:t xml:space="preserve">S9.1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S2–S8.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S9.2 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 S9.3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 S9.4 we cross-validate the bootstrap and SBM assignments against the main-text restricted/broad groups using the Adjusted Rand Index (ARI)</w:t>
      </w:r>
      <w:r>
        <w:t xml:space="preserve"> </w:t>
      </w:r>
      <w:r>
        <w:t xml:space="preserve">[18]</w:t>
      </w:r>
      <w:r>
        <w:t xml:space="preserve">.</w:t>
      </w:r>
    </w:p>
    <w:bookmarkEnd w:id="139"/>
    <w:bookmarkStart w:id="148" w:name="sec-s9-2"/>
    <w:p>
      <w:pPr>
        <w:pStyle w:val="Heading2"/>
      </w:pPr>
      <w:r>
        <w:t xml:space="preserve">S9.2 Bootstrap Consensus Analysis</w:t>
      </w:r>
    </w:p>
    <w:bookmarkStart w:id="146"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28: Per-site bootstrap consistency: proportion of 1000 resamples in which each site is assigned to its modal (most frequent) block. Consistency near 1 indicates robust assignment; values near 0.5 indicate sites whose group membership flips across resamples.</w:t>
            </w:r>
          </w:p>
          <w:bookmarkEnd w:id="141"/>
        </w:tc>
      </w:tr>
    </w:tbl>
    <w:tbl>
      <w:tblPr>
        <w:tblStyle w:val="Table"/>
        <w:tblW w:type="pct" w:w="5000"/>
        <w:tblLook w:firstRow="0" w:lastRow="0" w:firstColumn="0" w:lastColumn="0" w:noHBand="0" w:noVBand="0" w:val="0000"/>
        <w:jc w:val="start"/>
        <w:tblLayout w:type="fixed"/>
      </w:tblPr>
      <w:tblGrid>
        <w:gridCol w:w="7920"/>
      </w:tblGrid>
      <w:tr>
        <w:tc>
          <w:tcPr/>
          <w:bookmarkStart w:id="145" w:name="fig-bootstrap-consensus"/>
          <w:p>
            <w:pPr>
              <w:pStyle w:val="Compact"/>
              <w:jc w:val="center"/>
            </w:pPr>
            <w:r>
              <w:drawing>
                <wp:inline>
                  <wp:extent cx="5943600" cy="6604000"/>
                  <wp:effectExtent b="0" l="0" r="0" t="0"/>
                  <wp:docPr descr="" title="" id="143" name="Picture"/>
                  <a:graphic>
                    <a:graphicData uri="http://schemas.openxmlformats.org/drawingml/2006/picture">
                      <pic:pic>
                        <pic:nvPicPr>
                          <pic:cNvPr descr="../figures/bootstrap-consensus-plot.png" id="144" name="Picture"/>
                          <pic:cNvPicPr>
                            <a:picLocks noChangeArrowheads="1" noChangeAspect="1"/>
                          </pic:cNvPicPr>
                        </pic:nvPicPr>
                        <pic:blipFill>
                          <a:blip r:embed="rId14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5"/>
        </w:tc>
      </w:tr>
    </w:tbl>
    <w:bookmarkEnd w:id="146"/>
    <w:bookmarkStart w:id="147"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28</w:t>
        </w:r>
      </w:hyperlink>
      <w:r>
        <w:t xml:space="preserve">.</w:t>
      </w:r>
    </w:p>
    <w:bookmarkEnd w:id="147"/>
    <w:bookmarkEnd w:id="148"/>
    <w:bookmarkStart w:id="282" w:name="sec-s9-3"/>
    <w:p>
      <w:pPr>
        <w:pStyle w:val="Heading2"/>
      </w:pPr>
      <w:r>
        <w:t xml:space="preserve">S9.3 Stochastic Block Models</w:t>
      </w:r>
    </w:p>
    <w:bookmarkStart w:id="280"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2.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3.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4.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5.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6.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7.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8.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9.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0.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1.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2.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13.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14.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15.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16.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17.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18.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19.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0.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2.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23.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6-sbm-compute-24.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6-sbm-compute-25.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6-sbm-compute-26.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6-sbm-compute-27.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6-sbm-compute-28.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6-sbm-compute-29.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6-sbm-compute-30.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6-sbm-compute-3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6-sbm-compute-32.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6-sbm-compute-33.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6-sbm-compute-34.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6-sbm-compute-35.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6-sbm-compute-36.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6-sbm-compute-37.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6-sbm-compute-38.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6-sbm-compute-39.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7" name="Picture"/>
            <a:graphic>
              <a:graphicData uri="http://schemas.openxmlformats.org/drawingml/2006/picture">
                <pic:pic>
                  <pic:nvPicPr>
                    <pic:cNvPr descr="S1-supplement-sensitivity_files/figure-docx/s6-sbm-compute-40.png" id="268" name="Picture"/>
                    <pic:cNvPicPr>
                      <a:picLocks noChangeArrowheads="1" noChangeAspect="1"/>
                    </pic:cNvPicPr>
                  </pic:nvPicPr>
                  <pic:blipFill>
                    <a:blip r:embed="rId2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0" name="Picture"/>
            <a:graphic>
              <a:graphicData uri="http://schemas.openxmlformats.org/drawingml/2006/picture">
                <pic:pic>
                  <pic:nvPicPr>
                    <pic:cNvPr descr="S1-supplement-sensitivity_files/figure-docx/s6-sbm-compute-41.png" id="271" name="Picture"/>
                    <pic:cNvPicPr>
                      <a:picLocks noChangeArrowheads="1" noChangeAspect="1"/>
                    </pic:cNvPicPr>
                  </pic:nvPicPr>
                  <pic:blipFill>
                    <a:blip r:embed="rId2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3" name="Picture"/>
            <a:graphic>
              <a:graphicData uri="http://schemas.openxmlformats.org/drawingml/2006/picture">
                <pic:pic>
                  <pic:nvPicPr>
                    <pic:cNvPr descr="S1-supplement-sensitivity_files/figure-docx/s6-sbm-compute-42.png" id="274" name="Picture"/>
                    <pic:cNvPicPr>
                      <a:picLocks noChangeArrowheads="1" noChangeAspect="1"/>
                    </pic:cNvPicPr>
                  </pic:nvPicPr>
                  <pic:blipFill>
                    <a:blip r:embed="rId2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6" name="Picture"/>
            <a:graphic>
              <a:graphicData uri="http://schemas.openxmlformats.org/drawingml/2006/picture">
                <pic:pic>
                  <pic:nvPicPr>
                    <pic:cNvPr descr="S1-supplement-sensitivity_files/figure-docx/s6-sbm-compute-43.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7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29: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30: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79"/>
        </w:tc>
      </w:tr>
    </w:tbl>
    <w:bookmarkEnd w:id="280"/>
    <w:bookmarkStart w:id="281"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29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30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81"/>
    <w:bookmarkEnd w:id="282"/>
    <w:bookmarkStart w:id="286" w:name="sec-s9-4"/>
    <w:p>
      <w:pPr>
        <w:pStyle w:val="Heading2"/>
      </w:pPr>
      <w:r>
        <w:t xml:space="preserve">S9.4 Cross-Validation of Group Assignments (ARI)</w:t>
      </w:r>
    </w:p>
    <w:bookmarkStart w:id="284" w:name="rationale-14"/>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(S9.2), and the SBM modal assignments (S9.3) under Bernoulli and Poisson emission models — we compute the Adjusted Rand Index (ARI) between each pair of partitions for each phase. ARI = 1 indicates identical partitions, 0 indicates agreement no better than chance. We use a self-contained implementation of ARI (the S6 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83"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31: Adjusted Rand Index between the main-text manual restricted/broad assignment, the bootstrap modal blocks (S9.2), and the SBM modal assignments (S9.3), by phase.</w:t>
            </w:r>
          </w:p>
          <w:bookmarkEnd w:id="283"/>
        </w:tc>
      </w:tr>
    </w:tbl>
    <w:bookmarkEnd w:id="284"/>
    <w:bookmarkStart w:id="285"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31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31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Bernoulli, Gaussian, and Poisson models all select a single block in both phases (S9.3),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10">
        <w:r>
          <w:rPr>
            <w:rStyle w:val="Hyperlink"/>
          </w:rPr>
          <w:t xml:space="preserve">Section 10</w:t>
        </w:r>
      </w:hyperlink>
      <w:r>
        <w:t xml:space="preserve">.</w:t>
      </w:r>
    </w:p>
    <w:bookmarkEnd w:id="285"/>
    <w:bookmarkEnd w:id="286"/>
    <w:bookmarkEnd w:id="287"/>
    <w:bookmarkStart w:id="295" w:name="sec-s10"/>
    <w:p>
      <w:pPr>
        <w:pStyle w:val="Heading1"/>
      </w:pPr>
      <w:r>
        <w:t xml:space="preserve">S10. Withheld-Data Validation</w:t>
      </w:r>
    </w:p>
    <w:bookmarkStart w:id="290"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(S6, S9)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88"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32: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88"/>
        </w:tc>
      </w:tr>
    </w:tbl>
    <w:bookmarkStart w:id="289"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89"/>
    <w:bookmarkEnd w:id="290"/>
    <w:bookmarkStart w:id="294" w:name="sec-s10-1"/>
    <w:p>
      <w:pPr>
        <w:pStyle w:val="Heading2"/>
      </w:pPr>
      <w:r>
        <w:t xml:space="preserve">S10.1 Richness-Preserving Nulls and Simpson Turnover</w:t>
      </w:r>
    </w:p>
    <w:bookmarkStart w:id="292"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1"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33: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1"/>
        </w:tc>
      </w:tr>
    </w:tbl>
    <w:bookmarkEnd w:id="292"/>
    <w:bookmarkStart w:id="293"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93"/>
    <w:bookmarkEnd w:id="294"/>
    <w:bookmarkEnd w:id="295"/>
    <w:bookmarkStart w:id="312" w:name="sec-s11"/>
    <w:p>
      <w:pPr>
        <w:pStyle w:val="Heading1"/>
      </w:pPr>
      <w:r>
        <w:t xml:space="preserve">S11. Community Description</w:t>
      </w:r>
    </w:p>
    <w:p>
      <w:pPr>
        <w:pStyle w:val="FirstParagraph"/>
      </w:pPr>
      <w:r>
        <w:t xml:space="preserve">The PerMANOVA results in S6.5 and bootstrap consensus in S9.2 show that the algorithmically detected communities are statistically significant and internally coherent. This section provides a detailed characterization of those communities: their site membership, geographic distribution, and sign-type composition.</w:t>
      </w:r>
    </w:p>
    <w:bookmarkStart w:id="301" w:name="sec-s11-1"/>
    <w:p>
      <w:pPr>
        <w:pStyle w:val="Heading2"/>
      </w:pPr>
      <w:r>
        <w:t xml:space="preserve">S11.1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96"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34: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96"/>
        </w:tc>
      </w:tr>
    </w:tbl>
    <w:tbl>
      <w:tblPr>
        <w:tblStyle w:val="Table"/>
        <w:tblW w:type="pct" w:w="5000"/>
        <w:tblLook w:firstRow="0" w:lastRow="0" w:firstColumn="0" w:lastColumn="0" w:noHBand="0" w:noVBand="0" w:val="0000"/>
        <w:jc w:val="start"/>
        <w:tblLayout w:type="fixed"/>
      </w:tblPr>
      <w:tblGrid>
        <w:gridCol w:w="7920"/>
      </w:tblGrid>
      <w:tr>
        <w:tc>
          <w:tcPr/>
          <w:bookmarkStart w:id="300" w:name="fig-comembership-heatmap"/>
          <w:p>
            <w:pPr>
              <w:pStyle w:val="Compact"/>
              <w:jc w:val="center"/>
            </w:pPr>
            <w:r>
              <w:drawing>
                <wp:inline>
                  <wp:extent cx="5943600" cy="5943600"/>
                  <wp:effectExtent b="0" l="0" r="0" t="0"/>
                  <wp:docPr descr="" title="" id="298" name="Picture"/>
                  <a:graphic>
                    <a:graphicData uri="http://schemas.openxmlformats.org/drawingml/2006/picture">
                      <pic:pic>
                        <pic:nvPicPr>
                          <pic:cNvPr descr="../figures/comembership-heatmap.png" id="299" name="Picture"/>
                          <pic:cNvPicPr>
                            <a:picLocks noChangeArrowheads="1" noChangeAspect="1"/>
                          </pic:cNvPicPr>
                        </pic:nvPicPr>
                        <pic:blipFill>
                          <a:blip r:embed="rId29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30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6</w:t>
        </w:r>
      </w:hyperlink>
      <w:r>
        <w:t xml:space="preserve"> </w:t>
      </w:r>
      <w:r>
        <w:t xml:space="preserve">quantify which of these co-memberships survive resampling.</w:t>
      </w:r>
    </w:p>
    <w:bookmarkEnd w:id="301"/>
    <w:bookmarkStart w:id="303" w:name="sec-s11-2"/>
    <w:p>
      <w:pPr>
        <w:pStyle w:val="Heading2"/>
      </w:pPr>
      <w:r>
        <w:t xml:space="preserve">S11.2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30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35: Sign-type composition of Louvain communities at threshold 0.2. Values show the proportion of sites within each community that have at least one object bearing the sign type. Only sign types present in ≥10% of sites in at least one community are shown.</w:t>
            </w:r>
          </w:p>
          <w:bookmarkEnd w:id="302"/>
        </w:tc>
      </w:tr>
    </w:tbl>
    <w:bookmarkEnd w:id="303"/>
    <w:bookmarkStart w:id="308" w:name="sec-s11-3"/>
    <w:p>
      <w:pPr>
        <w:pStyle w:val="Heading2"/>
      </w:pPr>
      <w:r>
        <w:t xml:space="preserve">S11.3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307" w:name="fig-community-maps"/>
          <w:p>
            <w:pPr>
              <w:pStyle w:val="Compact"/>
              <w:jc w:val="center"/>
            </w:pPr>
            <w:r>
              <w:drawing>
                <wp:inline>
                  <wp:extent cx="5943600" cy="4622800"/>
                  <wp:effectExtent b="0" l="0" r="0" t="0"/>
                  <wp:docPr descr="" title="" id="305" name="Picture"/>
                  <a:graphic>
                    <a:graphicData uri="http://schemas.openxmlformats.org/drawingml/2006/picture">
                      <pic:pic>
                        <pic:nvPicPr>
                          <pic:cNvPr descr="../figures/community-maps.png" id="306" name="Picture"/>
                          <pic:cNvPicPr>
                            <a:picLocks noChangeArrowheads="1" noChangeAspect="1"/>
                          </pic:cNvPicPr>
                        </pic:nvPicPr>
                        <pic:blipFill>
                          <a:blip r:embed="rId30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307"/>
        </w:tc>
      </w:tr>
    </w:tbl>
    <w:bookmarkEnd w:id="308"/>
    <w:bookmarkStart w:id="310" w:name="sec-s11-4"/>
    <w:p>
      <w:pPr>
        <w:pStyle w:val="Heading2"/>
      </w:pPr>
      <w:r>
        <w:t xml:space="preserve">S11.4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30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36: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309"/>
        </w:tc>
      </w:tr>
    </w:tbl>
    <w:bookmarkEnd w:id="310"/>
    <w:bookmarkStart w:id="311" w:name="sec-s11-5"/>
    <w:p>
      <w:pPr>
        <w:pStyle w:val="Heading2"/>
      </w:pPr>
      <w:r>
        <w:t xml:space="preserve">S11.5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34</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8</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34</w:t>
        </w:r>
      </w:hyperlink>
      <w:r>
        <w:t xml:space="preserve">). With only 9 sites total, the communities are small (1–3 sites each), and the PerMANOVA significance (S6.5) likely reflects strong pairwise similarities among a few sites rather than robust multi-site clusters. The geographic map (</w:t>
      </w:r>
      <w:hyperlink w:anchor="fig-community-maps">
        <w:r>
          <w:rPr>
            <w:rStyle w:val="Hyperlink"/>
          </w:rPr>
          <w:t xml:space="preserve">Figure 8</w:t>
        </w:r>
      </w:hyperlink>
      <w:r>
        <w:t xml:space="preserve">, Aur-P2 facet) shows limited spatial coherence, consistent with the non-significant null-benchmarked modularity (S7.1).</w:t>
      </w:r>
    </w:p>
    <w:p>
      <w:pPr>
        <w:pStyle w:val="BodyText"/>
      </w:pPr>
      <w:r>
        <w:rPr>
          <w:bCs/>
          <w:b/>
        </w:rPr>
        <w:t xml:space="preserve">Cross-algorithm consistency.</w:t>
      </w:r>
      <w:r>
        <w:t xml:space="preserve"> </w:t>
      </w:r>
      <w:hyperlink w:anchor="tbl-cross-algorithm-agreement">
        <w:r>
          <w:rPr>
            <w:rStyle w:val="Hyperlink"/>
          </w:rPr>
          <w:t xml:space="preserve">Table 36</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35</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311"/>
    <w:bookmarkEnd w:id="312"/>
    <w:bookmarkStart w:id="369" w:name="sec-s12"/>
    <w:p>
      <w:pPr>
        <w:pStyle w:val="Heading1"/>
      </w:pPr>
      <w:r>
        <w:t xml:space="preserve">S12.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 S10.1.</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12"/>
        </w:numPr>
        <w:pStyle w:val="Compact"/>
      </w:pPr>
      <w:r>
        <w:rPr>
          <w:bCs/>
          <w:b/>
        </w:rPr>
        <w:t xml:space="preserve">(S12.2)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(S12.3)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(S12.4)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(S12.5)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(S12.7)</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(S10.1)</w:t>
      </w:r>
      <w:r>
        <w:t xml:space="preserve"> </w:t>
      </w:r>
      <w:r>
        <w:t xml:space="preserve">Does the restricted/broad pattern survive richness-preserving nulls, and does the manual-group PerMANOVA hold on Simpson turnover dissimilarity, which removes the nestedness component of Jaccard?</w:t>
      </w:r>
    </w:p>
    <w:bookmarkStart w:id="320" w:name="sec-s12-1"/>
    <w:p>
      <w:pPr>
        <w:pStyle w:val="Heading2"/>
      </w:pPr>
      <w:r>
        <w:t xml:space="preserve">S12.1 Object-count distribution and feasible common counts</w:t>
      </w:r>
    </w:p>
    <w:bookmarkStart w:id="318"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13"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37: Per-site object counts by phase and manual restricted(1)/broad(2) group.</w:t>
            </w:r>
          </w:p>
          <w:bookmarkEnd w:id="313"/>
        </w:tc>
      </w:tr>
    </w:tbl>
    <w:tbl>
      <w:tblPr>
        <w:tblStyle w:val="Table"/>
        <w:tblW w:type="pct" w:w="5000"/>
        <w:tblLook w:firstRow="0" w:lastRow="0" w:firstColumn="0" w:lastColumn="0" w:noHBand="0" w:noVBand="0" w:val="0000"/>
        <w:jc w:val="start"/>
        <w:tblLayout w:type="fixed"/>
      </w:tblPr>
      <w:tblGrid>
        <w:gridCol w:w="7920"/>
      </w:tblGrid>
      <w:tr>
        <w:tc>
          <w:tcPr/>
          <w:bookmarkStart w:id="317" w:name="fig-s9-objhist"/>
          <w:p>
            <w:pPr>
              <w:pStyle w:val="Compact"/>
              <w:jc w:val="center"/>
            </w:pPr>
            <w:r>
              <w:drawing>
                <wp:inline>
                  <wp:extent cx="5943600" cy="2971800"/>
                  <wp:effectExtent b="0" l="0" r="0" t="0"/>
                  <wp:docPr descr="" title="" id="315" name="Picture"/>
                  <a:graphic>
                    <a:graphicData uri="http://schemas.openxmlformats.org/drawingml/2006/picture">
                      <pic:pic>
                        <pic:nvPicPr>
                          <pic:cNvPr descr="S1-supplement-sensitivity_files/figure-docx/fig-s9-objhist-1.png" id="316" name="Picture"/>
                          <pic:cNvPicPr>
                            <a:picLocks noChangeArrowheads="1" noChangeAspect="1"/>
                          </pic:cNvPicPr>
                        </pic:nvPicPr>
                        <pic:blipFill>
                          <a:blip r:embed="rId31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object counts per site by phase. Most sites contribute few objects; a small number of large assemblages (e.g. Vogelherd) dominate the upper tail.</w:t>
            </w:r>
          </w:p>
          <w:bookmarkEnd w:id="317"/>
        </w:tc>
      </w:tr>
    </w:tbl>
    <w:bookmarkEnd w:id="318"/>
    <w:bookmarkStart w:id="319"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19"/>
    <w:bookmarkEnd w:id="320"/>
    <w:bookmarkStart w:id="329" w:name="sec-s12-2"/>
    <w:p>
      <w:pPr>
        <w:pStyle w:val="Heading2"/>
      </w:pPr>
      <w:r>
        <w:t xml:space="preserve">S12.2 Object-level downsampling sensitivity</w:t>
      </w:r>
    </w:p>
    <w:bookmarkStart w:id="327"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21"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2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22"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22"/>
        </w:tc>
      </w:tr>
    </w:tbl>
    <w:tbl>
      <w:tblPr>
        <w:tblStyle w:val="Table"/>
        <w:tblW w:type="pct" w:w="5000"/>
        <w:tblLook w:firstRow="0" w:lastRow="0" w:firstColumn="0" w:lastColumn="0" w:noHBand="0" w:noVBand="0" w:val="0000"/>
        <w:jc w:val="start"/>
        <w:tblLayout w:type="fixed"/>
      </w:tblPr>
      <w:tblGrid>
        <w:gridCol w:w="7920"/>
      </w:tblGrid>
      <w:tr>
        <w:tc>
          <w:tcPr/>
          <w:bookmarkStart w:id="326" w:name="fig-s9-retention"/>
          <w:p>
            <w:pPr>
              <w:pStyle w:val="Compact"/>
              <w:jc w:val="center"/>
            </w:pPr>
            <w:r>
              <w:drawing>
                <wp:inline>
                  <wp:extent cx="5943600" cy="5943600"/>
                  <wp:effectExtent b="0" l="0" r="0" t="0"/>
                  <wp:docPr descr="" title="" id="324" name="Picture"/>
                  <a:graphic>
                    <a:graphicData uri="http://schemas.openxmlformats.org/drawingml/2006/picture">
                      <pic:pic>
                        <pic:nvPicPr>
                          <pic:cNvPr descr="S1-supplement-sensitivity_files/figure-docx/fig-s9-retention-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26"/>
        </w:tc>
      </w:tr>
    </w:tbl>
    <w:bookmarkEnd w:id="327"/>
    <w:bookmarkStart w:id="328"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28"/>
    <w:bookmarkEnd w:id="329"/>
    <w:bookmarkStart w:id="337" w:name="sec-s12-3"/>
    <w:p>
      <w:pPr>
        <w:pStyle w:val="Heading2"/>
      </w:pPr>
      <w:r>
        <w:t xml:space="preserve">S12.3 Coverage-based rarefaction</w:t>
      </w:r>
    </w:p>
    <w:bookmarkStart w:id="335"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30"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30"/>
        </w:tc>
      </w:tr>
    </w:tbl>
    <w:tbl>
      <w:tblPr>
        <w:tblStyle w:val="Table"/>
        <w:tblW w:type="pct" w:w="5000"/>
        <w:tblLook w:firstRow="0" w:lastRow="0" w:firstColumn="0" w:lastColumn="0" w:noHBand="0" w:noVBand="0" w:val="0000"/>
        <w:jc w:val="start"/>
        <w:tblLayout w:type="fixed"/>
      </w:tblPr>
      <w:tblGrid>
        <w:gridCol w:w="7920"/>
      </w:tblGrid>
      <w:tr>
        <w:tc>
          <w:tcPr/>
          <w:bookmarkStart w:id="334" w:name="fig-s9-rarefaction"/>
          <w:p>
            <w:pPr>
              <w:pStyle w:val="Compact"/>
              <w:jc w:val="center"/>
            </w:pPr>
            <w:r>
              <w:drawing>
                <wp:inline>
                  <wp:extent cx="5943600" cy="3396342"/>
                  <wp:effectExtent b="0" l="0" r="0" t="0"/>
                  <wp:docPr descr="" title="" id="332" name="Picture"/>
                  <a:graphic>
                    <a:graphicData uri="http://schemas.openxmlformats.org/drawingml/2006/picture">
                      <pic:pic>
                        <pic:nvPicPr>
                          <pic:cNvPr descr="S1-supplement-sensitivity_files/figure-docx/fig-s9-rarefaction-1.png" id="333" name="Picture"/>
                          <pic:cNvPicPr>
                            <a:picLocks noChangeArrowheads="1" noChangeAspect="1"/>
                          </pic:cNvPicPr>
                        </pic:nvPicPr>
                        <pic:blipFill>
                          <a:blip r:embed="rId331"/>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Sign-type richness estimated at target coverage = 0.9 with 95% confidence intervals, by manual group, for sites that reach that coverage. Restricted sites (green) that attain high coverage remain low-richness; broad sites (red) remain high-richness.</w:t>
            </w:r>
          </w:p>
          <w:bookmarkEnd w:id="334"/>
        </w:tc>
      </w:tr>
    </w:tbl>
    <w:bookmarkEnd w:id="335"/>
    <w:bookmarkStart w:id="336"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336"/>
    <w:bookmarkEnd w:id="337"/>
    <w:bookmarkStart w:id="341" w:name="sec-s12-4"/>
    <w:p>
      <w:pPr>
        <w:pStyle w:val="Heading2"/>
      </w:pPr>
      <w:r>
        <w:t xml:space="preserve">S12.4 Negative-binomial regression with object-count covariate</w:t>
      </w:r>
    </w:p>
    <w:bookmarkStart w:id="339"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38"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38"/>
        </w:tc>
      </w:tr>
    </w:tbl>
    <w:bookmarkEnd w:id="339"/>
    <w:bookmarkStart w:id="340"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40"/>
    <w:bookmarkEnd w:id="341"/>
    <w:bookmarkStart w:id="349" w:name="sec-s12-5"/>
    <w:p>
      <w:pPr>
        <w:pStyle w:val="Heading2"/>
      </w:pPr>
      <w:r>
        <w:t xml:space="preserve">S12.5 Equal-effort pool comparison (iNEXT)</w:t>
      </w:r>
    </w:p>
    <w:bookmarkStart w:id="347"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42"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42"/>
        </w:tc>
      </w:tr>
    </w:tbl>
    <w:tbl>
      <w:tblPr>
        <w:tblStyle w:val="Table"/>
        <w:tblW w:type="pct" w:w="5000"/>
        <w:tblLook w:firstRow="0" w:lastRow="0" w:firstColumn="0" w:lastColumn="0" w:noHBand="0" w:noVBand="0" w:val="0000"/>
        <w:jc w:val="start"/>
        <w:tblLayout w:type="fixed"/>
      </w:tblPr>
      <w:tblGrid>
        <w:gridCol w:w="7920"/>
      </w:tblGrid>
      <w:tr>
        <w:tc>
          <w:tcPr/>
          <w:bookmarkStart w:id="346" w:name="fig-s9-pool-inext"/>
          <w:p>
            <w:pPr>
              <w:pStyle w:val="Compact"/>
              <w:jc w:val="center"/>
            </w:pPr>
            <w:r>
              <w:drawing>
                <wp:inline>
                  <wp:extent cx="5943600" cy="3566160"/>
                  <wp:effectExtent b="0" l="0" r="0" t="0"/>
                  <wp:docPr descr="" title="" id="344" name="Picture"/>
                  <a:graphic>
                    <a:graphicData uri="http://schemas.openxmlformats.org/drawingml/2006/picture">
                      <pic:pic>
                        <pic:nvPicPr>
                          <pic:cNvPr descr="S1-supplement-sensitivity_files/figure-docx/fig-s9-pool-inext-1.png" id="345" name="Picture"/>
                          <pic:cNvPicPr>
                            <a:picLocks noChangeArrowheads="1" noChangeAspect="1"/>
                          </pic:cNvPicPr>
                        </pic:nvPicPr>
                        <pic:blipFill>
                          <a:blip r:embed="rId34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46"/>
        </w:tc>
      </w:tr>
    </w:tbl>
    <w:bookmarkEnd w:id="347"/>
    <w:bookmarkStart w:id="348"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48"/>
    <w:bookmarkEnd w:id="349"/>
    <w:bookmarkStart w:id="367" w:name="sec-s12-6"/>
    <w:p>
      <w:pPr>
        <w:pStyle w:val="Heading2"/>
      </w:pPr>
      <w:r>
        <w:t xml:space="preserve">S12.6 Figurine Exclusion</w:t>
      </w:r>
    </w:p>
    <w:bookmarkStart w:id="350"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350"/>
    <w:bookmarkStart w:id="352"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35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43: Distribution of figurine objects across phases and sites. Figurine types include figurine zoomorph, figurine anthropomorph, figurine undet., and possible figurine.</w:t>
            </w:r>
          </w:p>
          <w:bookmarkEnd w:id="351"/>
        </w:tc>
      </w:tr>
    </w:tbl>
    <w:p>
      <w:pPr>
        <w:pStyle w:val="BodyText"/>
      </w:pPr>
      <w:hyperlink w:anchor="tbl-figurine-count">
        <w:r>
          <w:rPr>
            <w:rStyle w:val="Hyperlink"/>
          </w:rPr>
          <w:t xml:space="preserve">Table 43</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352"/>
    <w:bookmarkStart w:id="353" w:name="analysis-1-exclude-all-figurines"/>
    <w:p>
      <w:pPr>
        <w:pStyle w:val="Heading3"/>
      </w:pPr>
      <w:r>
        <w:t xml:space="preserve">Analysis 1: Exclude All Figurines</w:t>
      </w:r>
    </w:p>
    <w:bookmarkEnd w:id="353"/>
    <w:bookmarkStart w:id="35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5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44: Network statistics before and after excluding all figurine objects (figurine zoomorph, figurine anthropomorph, figurine undet., and possible figurine). Threshold = 0.2, Jaccard similarity.</w:t>
            </w:r>
          </w:p>
          <w:bookmarkEnd w:id="3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5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45: Number of sites per phase before and after figurine exclusion. Sites are lost when all objects at that site are figurines.</w:t>
            </w:r>
          </w:p>
          <w:bookmarkEnd w:id="355"/>
        </w:tc>
      </w:tr>
    </w:tbl>
    <w:bookmarkEnd w:id="356"/>
    <w:bookmarkStart w:id="357"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57"/>
    <w:bookmarkStart w:id="358" w:name="Xc06319a9554f6ddf282b3cf388364ef3835d432"/>
    <w:p>
      <w:pPr>
        <w:pStyle w:val="Heading3"/>
      </w:pPr>
      <w:r>
        <w:t xml:space="preserve">Analysis 2: Exclude Vogelherd Figurines Only</w:t>
      </w:r>
    </w:p>
    <w:bookmarkEnd w:id="358"/>
    <w:bookmarkStart w:id="36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59"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46: Network statistics before and after excluding figurines from Vogelherd only. All other figurines (Hohle Fels, Geissenklösterle, Hohlenstein-Stadel, La Ferrassie) are retained. Threshold = 0.2, Jaccard similarity.</w:t>
            </w:r>
          </w:p>
          <w:bookmarkEnd w:id="35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6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47: Vogelherd object counts before and after removing figurines. Non-figurine objects at Vogelherd (tools, plaquettes, etc.) are retained.</w:t>
            </w:r>
          </w:p>
          <w:bookmarkEnd w:id="360"/>
        </w:tc>
      </w:tr>
    </w:tbl>
    <w:bookmarkEnd w:id="361"/>
    <w:bookmarkStart w:id="362"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62"/>
    <w:bookmarkStart w:id="364"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363"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48: Side-by-side comparison of network statistics across all conditions: baseline (all objects), exclude all figurines, and exclude Vogelherd figurines only. The rightmost columns show the percentage change in mean degree from baseline.</w:t>
            </w:r>
          </w:p>
          <w:bookmarkEnd w:id="363"/>
        </w:tc>
      </w:tr>
    </w:tbl>
    <w:bookmarkEnd w:id="364"/>
    <w:bookmarkStart w:id="366"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48</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65"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49: Mean degree by figurine-exclusion condition, with percentage change from baseline. Reproduced directly from the joint comparison in</w:t>
            </w:r>
            <w:r>
              <w:t xml:space="preserve"> </w:t>
            </w:r>
            <w:hyperlink w:anchor="tbl-objtype-joint">
              <w:r>
                <w:rPr>
                  <w:rStyle w:val="Hyperlink"/>
                </w:rPr>
                <w:t xml:space="preserve">Table 48</w:t>
              </w:r>
            </w:hyperlink>
            <w:r>
              <w:t xml:space="preserve">.</w:t>
            </w:r>
          </w:p>
          <w:bookmarkEnd w:id="365"/>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366"/>
    <w:bookmarkEnd w:id="367"/>
    <w:bookmarkStart w:id="368" w:name="sec-s12-7"/>
    <w:p>
      <w:pPr>
        <w:pStyle w:val="Heading2"/>
      </w:pPr>
      <w:r>
        <w:t xml:space="preserve">S12.7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(S12.2). (2) Coverage-based rarefaction shows the broad/restricted contrast persists among the sites assessable at equal coverage, but the majority of the smallest sites never reach a comparable coverage, so the method cannot vindicate them (S12.3). (3) The offset model’s null group effect was a property of fixing the richness-effort exponent at 1; with the exponent estimated, the group contrast persists, so the gap is not distinguishable from a genuine group difference at saturating effort (S12.4). (4) At equal effort with</w:t>
      </w:r>
      <w:r>
        <w:t xml:space="preserve"> </w:t>
      </w:r>
      <w:r>
        <w:rPr>
          <w:rStyle w:val="VerbatimChar"/>
        </w:rPr>
        <w:t xml:space="preserve">iNEXT</w:t>
      </w:r>
      <w:r>
        <w:t xml:space="preserve">, the Aur-P1 vs Aur-P2 sign-type pool difference lies inside sampling variation, even when restricted to shared object types (S12.5). (5) Under fixed margins the Jaccard group separation is not distinguished from richness structure alone (Aur-P1 exceeds object-sampling expectation; Aur-P2 does not), while Simpson turnover dissimilarity shows no group separation in either phase (S10.1). Figurine exclusion (S12.6)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68"/>
    <w:bookmarkEnd w:id="369"/>
    <w:bookmarkStart w:id="425" w:name="sec-s13"/>
    <w:p>
      <w:pPr>
        <w:pStyle w:val="Heading1"/>
      </w:pPr>
      <w:r>
        <w:t xml:space="preserve">S13. Overall Synthesis</w:t>
      </w:r>
    </w:p>
    <w:p>
      <w:pPr>
        <w:pStyle w:val="FirstParagraph"/>
      </w:pPr>
      <w:r>
        <w:t xml:space="preserve">All results are conditional on the retained sample in S1.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 S2. It holds under Jaccard, Sorensen-Dice, and Simpson in S3. It holds under geodesic and Euclidean distance in S4, where neither phase shows a geographic correlation. It holds across two, three, and four phase schemes, across date variants, across boundary shifts, and under date-based versus technological assignment in S5.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 S6 and bootstrap stability in S9 show that the restricted versus broad axis is coherent under resampling, most clearly in Aur-P1. Generative modelling in S9 does not recover multiple blocks under Bernoulli, Gaussian, or Poisson specifications. Withheld-data validation in S10 does not find separation beyond richness structure under the fixed-fixed null, and Simpson turnover shows no separation in either phase. The supported claim is a dominant richness axis that is recoverable from disjoint objects in well sampled sites, not discrete provinces that emerge from an unsupervised generative model.</w:t>
      </w:r>
    </w:p>
    <w:p>
      <w:pPr>
        <w:pStyle w:val="BodyText"/>
      </w:pPr>
      <w:r>
        <w:t xml:space="preserve">Sampling intensity qualifies small-site assignments. Downsampling, coverage, regression with estimated exponent, and equal-effort pool comparison in S12 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424" w:name="references-cited"/>
    <w:p>
      <w:pPr>
        <w:pStyle w:val="Heading2"/>
      </w:pPr>
      <w:r>
        <w:t xml:space="preserve">References cited</w:t>
      </w:r>
    </w:p>
    <w:bookmarkStart w:id="423" w:name="refs"/>
    <w:bookmarkStart w:id="371"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70">
        <w:r>
          <w:rPr>
            <w:rStyle w:val="Hyperlink"/>
          </w:rPr>
          <w:t xml:space="preserve">https://doi.org/10.18637/jss.v022.i07</w:t>
        </w:r>
      </w:hyperlink>
      <w:r>
        <w:t xml:space="preserve">.</w:t>
      </w:r>
    </w:p>
    <w:bookmarkEnd w:id="371"/>
    <w:bookmarkStart w:id="373"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72">
        <w:r>
          <w:rPr>
            <w:rStyle w:val="Hyperlink"/>
          </w:rPr>
          <w:t xml:space="preserve">https://doi.org/10.1016/j.quascirev.2021.106995</w:t>
        </w:r>
      </w:hyperlink>
      <w:r>
        <w:t xml:space="preserve">.</w:t>
      </w:r>
    </w:p>
    <w:bookmarkEnd w:id="373"/>
    <w:bookmarkStart w:id="375"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74">
        <w:r>
          <w:rPr>
            <w:rStyle w:val="Hyperlink"/>
          </w:rPr>
          <w:t xml:space="preserve">https://doi.org/10.1007/s41982-017-0004-4</w:t>
        </w:r>
      </w:hyperlink>
      <w:r>
        <w:t xml:space="preserve">.</w:t>
      </w:r>
    </w:p>
    <w:bookmarkEnd w:id="375"/>
    <w:bookmarkStart w:id="377"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76">
        <w:r>
          <w:rPr>
            <w:rStyle w:val="Hyperlink"/>
          </w:rPr>
          <w:t xml:space="preserve">https://doi.org/10.30861/9781841718309</w:t>
        </w:r>
      </w:hyperlink>
      <w:r>
        <w:t xml:space="preserve">.</w:t>
      </w:r>
    </w:p>
    <w:bookmarkEnd w:id="377"/>
    <w:bookmarkStart w:id="379"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78">
        <w:r>
          <w:rPr>
            <w:rStyle w:val="Hyperlink"/>
          </w:rPr>
          <w:t xml:space="preserve">https://doi.org/10.1016/j.jhevol.2011.06.005</w:t>
        </w:r>
      </w:hyperlink>
      <w:r>
        <w:t xml:space="preserve">.</w:t>
      </w:r>
    </w:p>
    <w:bookmarkEnd w:id="379"/>
    <w:bookmarkStart w:id="381"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80">
        <w:r>
          <w:rPr>
            <w:rStyle w:val="Hyperlink"/>
          </w:rPr>
          <w:t xml:space="preserve">https://doi.org/10.1002/jqs.3236</w:t>
        </w:r>
      </w:hyperlink>
      <w:r>
        <w:t xml:space="preserve">.</w:t>
      </w:r>
    </w:p>
    <w:bookmarkEnd w:id="381"/>
    <w:bookmarkStart w:id="382"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82"/>
    <w:bookmarkStart w:id="384"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83">
        <w:r>
          <w:rPr>
            <w:rStyle w:val="Hyperlink"/>
          </w:rPr>
          <w:t xml:space="preserve">https://doi.org/10.1007/978-3-211-49294-9_4</w:t>
        </w:r>
      </w:hyperlink>
      <w:r>
        <w:t xml:space="preserve">.</w:t>
      </w:r>
    </w:p>
    <w:bookmarkEnd w:id="384"/>
    <w:bookmarkStart w:id="386"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85">
        <w:r>
          <w:rPr>
            <w:rStyle w:val="Hyperlink"/>
          </w:rPr>
          <w:t xml:space="preserve">https://doi.org/10.1038/nature03585</w:t>
        </w:r>
      </w:hyperlink>
      <w:r>
        <w:t xml:space="preserve">.</w:t>
      </w:r>
    </w:p>
    <w:bookmarkEnd w:id="386"/>
    <w:bookmarkStart w:id="38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87">
        <w:r>
          <w:rPr>
            <w:rStyle w:val="Hyperlink"/>
          </w:rPr>
          <w:t xml:space="preserve">https://doi.org/10.1007/s41982-025-00246-x</w:t>
        </w:r>
      </w:hyperlink>
      <w:r>
        <w:t xml:space="preserve">.</w:t>
      </w:r>
    </w:p>
    <w:bookmarkEnd w:id="388"/>
    <w:bookmarkStart w:id="390"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89">
        <w:r>
          <w:rPr>
            <w:rStyle w:val="Hyperlink"/>
          </w:rPr>
          <w:t xml:space="preserve">https://doi.org/10.1088/1742-5468/2008/10/P10008</w:t>
        </w:r>
      </w:hyperlink>
      <w:r>
        <w:t xml:space="preserve">.</w:t>
      </w:r>
    </w:p>
    <w:bookmarkEnd w:id="390"/>
    <w:bookmarkStart w:id="392"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391">
        <w:r>
          <w:rPr>
            <w:rStyle w:val="Hyperlink"/>
          </w:rPr>
          <w:t xml:space="preserve">https://doi.org/10.1103/PhysRevE.69.026113</w:t>
        </w:r>
      </w:hyperlink>
      <w:r>
        <w:t xml:space="preserve">.</w:t>
      </w:r>
    </w:p>
    <w:bookmarkEnd w:id="392"/>
    <w:bookmarkStart w:id="394"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93">
        <w:r>
          <w:rPr>
            <w:rStyle w:val="Hyperlink"/>
          </w:rPr>
          <w:t xml:space="preserve">https://doi.org/10.1016/j.socnet.2020.11.005</w:t>
        </w:r>
      </w:hyperlink>
      <w:r>
        <w:t xml:space="preserve">.</w:t>
      </w:r>
    </w:p>
    <w:bookmarkEnd w:id="394"/>
    <w:bookmarkStart w:id="396"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95">
        <w:r>
          <w:rPr>
            <w:rStyle w:val="Hyperlink"/>
          </w:rPr>
          <w:t xml:space="preserve">https://doi.org/10.1198/108571102320</w:t>
        </w:r>
      </w:hyperlink>
      <w:r>
        <w:t xml:space="preserve">.</w:t>
      </w:r>
    </w:p>
    <w:bookmarkEnd w:id="396"/>
    <w:bookmarkStart w:id="398"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397">
        <w:r>
          <w:rPr>
            <w:rStyle w:val="Hyperlink"/>
          </w:rPr>
          <w:t xml:space="preserve">https://doi.org/10.1007/s11258-006-9126-3</w:t>
        </w:r>
      </w:hyperlink>
      <w:r>
        <w:t xml:space="preserve">.</w:t>
      </w:r>
    </w:p>
    <w:bookmarkEnd w:id="398"/>
    <w:bookmarkStart w:id="400"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99">
        <w:r>
          <w:rPr>
            <w:rStyle w:val="Hyperlink"/>
          </w:rPr>
          <w:t xml:space="preserve">https://doi.org/10.1023/A:1023949509487</w:t>
        </w:r>
      </w:hyperlink>
      <w:r>
        <w:t xml:space="preserve">.</w:t>
      </w:r>
    </w:p>
    <w:bookmarkEnd w:id="400"/>
    <w:bookmarkStart w:id="402"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401">
        <w:r>
          <w:rPr>
            <w:rStyle w:val="Hyperlink"/>
          </w:rPr>
          <w:t xml:space="preserve">https://doi.org/10.48550/arXiv.1602.07587</w:t>
        </w:r>
      </w:hyperlink>
      <w:r>
        <w:t xml:space="preserve">.</w:t>
      </w:r>
    </w:p>
    <w:bookmarkEnd w:id="402"/>
    <w:bookmarkStart w:id="404"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403">
        <w:r>
          <w:rPr>
            <w:rStyle w:val="Hyperlink"/>
          </w:rPr>
          <w:t xml:space="preserve">https://doi.org/10.1007/BF01908075</w:t>
        </w:r>
      </w:hyperlink>
      <w:r>
        <w:t xml:space="preserve">.</w:t>
      </w:r>
    </w:p>
    <w:bookmarkEnd w:id="404"/>
    <w:bookmarkStart w:id="406"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405">
        <w:r>
          <w:rPr>
            <w:rStyle w:val="Hyperlink"/>
          </w:rPr>
          <w:t xml:space="preserve">https://doi.org/10.1080/01621459.2022.2116331</w:t>
        </w:r>
      </w:hyperlink>
      <w:r>
        <w:t xml:space="preserve">.</w:t>
      </w:r>
    </w:p>
    <w:bookmarkEnd w:id="406"/>
    <w:bookmarkStart w:id="408"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407">
        <w:r>
          <w:rPr>
            <w:rStyle w:val="Hyperlink"/>
          </w:rPr>
          <w:t xml:space="preserve">https://doi.org/10.1093/biostatistics/kxac047</w:t>
        </w:r>
      </w:hyperlink>
      <w:r>
        <w:t xml:space="preserve">.</w:t>
      </w:r>
    </w:p>
    <w:bookmarkEnd w:id="408"/>
    <w:bookmarkStart w:id="410"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409">
        <w:r>
          <w:rPr>
            <w:rStyle w:val="Hyperlink"/>
          </w:rPr>
          <w:t xml:space="preserve">https://doi.org/10.2307/2529826</w:t>
        </w:r>
      </w:hyperlink>
      <w:r>
        <w:t xml:space="preserve">.</w:t>
      </w:r>
    </w:p>
    <w:bookmarkEnd w:id="410"/>
    <w:bookmarkStart w:id="412"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411">
        <w:r>
          <w:rPr>
            <w:rStyle w:val="Hyperlink"/>
          </w:rPr>
          <w:t xml:space="preserve">https://doi.org/10.1093/bioinformatics/btw438</w:t>
        </w:r>
      </w:hyperlink>
      <w:r>
        <w:t xml:space="preserve">.</w:t>
      </w:r>
    </w:p>
    <w:bookmarkEnd w:id="412"/>
    <w:bookmarkStart w:id="414"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413">
        <w:r>
          <w:rPr>
            <w:rStyle w:val="Hyperlink"/>
          </w:rPr>
          <w:t xml:space="preserve">https://doi.org/10.1890/11-1952.1</w:t>
        </w:r>
      </w:hyperlink>
      <w:r>
        <w:t xml:space="preserve">.</w:t>
      </w:r>
    </w:p>
    <w:bookmarkEnd w:id="414"/>
    <w:bookmarkStart w:id="416"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15">
        <w:r>
          <w:rPr>
            <w:rStyle w:val="Hyperlink"/>
          </w:rPr>
          <w:t xml:space="preserve">https://doi.org/10.1046/j.1461-0248.2001.00230.x</w:t>
        </w:r>
      </w:hyperlink>
      <w:r>
        <w:t xml:space="preserve">.</w:t>
      </w:r>
    </w:p>
    <w:bookmarkEnd w:id="416"/>
    <w:bookmarkStart w:id="418"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7">
        <w:r>
          <w:rPr>
            <w:rStyle w:val="Hyperlink"/>
          </w:rPr>
          <w:t xml:space="preserve">https://doi.org/10.1111/2041-210X.12613</w:t>
        </w:r>
      </w:hyperlink>
      <w:r>
        <w:t xml:space="preserve">.</w:t>
      </w:r>
    </w:p>
    <w:bookmarkEnd w:id="418"/>
    <w:bookmarkStart w:id="420"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419">
        <w:r>
          <w:rPr>
            <w:rStyle w:val="Hyperlink"/>
          </w:rPr>
          <w:t xml:space="preserve">https://doi.org/10.1007/978-0-387-21706-2</w:t>
        </w:r>
      </w:hyperlink>
      <w:r>
        <w:t xml:space="preserve">.</w:t>
      </w:r>
    </w:p>
    <w:bookmarkEnd w:id="420"/>
    <w:bookmarkStart w:id="422"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421">
        <w:r>
          <w:rPr>
            <w:rStyle w:val="Hyperlink"/>
          </w:rPr>
          <w:t xml:space="preserve">https://doi.org/10.1073/pnas.2520385123</w:t>
        </w:r>
      </w:hyperlink>
      <w:r>
        <w:t xml:space="preserve">.</w:t>
      </w:r>
    </w:p>
    <w:bookmarkEnd w:id="422"/>
    <w:bookmarkEnd w:id="423"/>
    <w:bookmarkEnd w:id="424"/>
    <w:bookmarkEnd w:id="42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297" Target="media/rId297.png" /><Relationship Type="http://schemas.openxmlformats.org/officeDocument/2006/relationships/image" Id="rId304" Target="media/rId304.png" /><Relationship Type="http://schemas.openxmlformats.org/officeDocument/2006/relationships/image" Id="rId131" Target="media/rId131.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314" Target="media/rId314.png" /><Relationship Type="http://schemas.openxmlformats.org/officeDocument/2006/relationships/image" Id="rId343" Target="media/rId343.png" /><Relationship Type="http://schemas.openxmlformats.org/officeDocument/2006/relationships/image" Id="rId331" Target="media/rId331.png" /><Relationship Type="http://schemas.openxmlformats.org/officeDocument/2006/relationships/image" Id="rId323" Target="media/rId323.png" /><Relationship Type="http://schemas.openxmlformats.org/officeDocument/2006/relationships/image" Id="rId37" Target="media/rId37.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152" Target="media/rId152.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155" Target="media/rId15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58" Target="media/rId158.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2026-09-05T20:54:04Z</dcterms:created>
  <dcterms:modified xsi:type="dcterms:W3CDTF">2026-09-05T20:54:04Z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