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accompanied the expansion of</w:t>
      </w:r>
      <w:r>
        <w:t xml:space="preserve"> </w:t>
      </w:r>
      <w:r>
        <w:rPr>
          <w:iCs/>
          <w:i/>
        </w:rPr>
        <w:t xml:space="preserve">Homo sapiens</w:t>
      </w:r>
      <w:r>
        <w:t xml:space="preserve"> </w:t>
      </w:r>
      <w:r>
        <w:t xml:space="preserve">across western Eurasia. Geometric signs on mobile objects may have communicated information about identity or social connections, but it remains unclear whether their distribution records geographically structured groups. We assessed this question using SignBase 1.0, an open dataset of geometric signs from Upper Palaeolithic European sites. We assigned signs to two analytically defined Aurignacian phases and then analysed presence-absence data using seriation, stochastic block models, sign-sharing networks, and distance-based tests, and evaluated apparent group structure against randomization tests that preserved site richness and sign-type frequencies. Seriation revealed an apparent contrast between sites with restricted and broad sign repertoires, but neither the ordering nor the preference for multiple stochastic blocks exceeded the corresponding richness-preserving null models. The contrast was therefore better described as a gradient in repertoire richness than as a discrete partition, particularly in the smaller later-phase sample. Although the earlier phase produced a larger network, size-aware permutation tests found no significant phase difference in connectivity, community structure, or centrality. Geographic distance was not significantly associated with sign dissimilarity in either phase, although the small samples limit the ability to exclude moderate geographic effects. These results provide no evidence in this sample for discrete geographically structured sign groups analogous to those reported for personal ornaments. They also show that richness and sampling intensity must be separated from group structure when geometric signs are used to infer past social organization.</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robust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date-parsing attrition counts are in S1 §</w:t>
      </w:r>
      <w:r>
        <w:t xml:space="preserve">S1.1</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S2).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correlation at the nominal 0.05 threshold (R = 0.062, p = 0.004). The very small effect size (R ≈ 0.06) indicates that temporal distance explains only a small fraction of the variation in sign-type distribution. This weak association shows only that time has little explanatory power for sign composition. We tested this inference more directly with a time-lag analysis (S1 §</w:t>
      </w:r>
      <w:r>
        <w:t xml:space="preserve">S1.8.3</w:t>
      </w:r>
      <w:r>
        <w:t xml:space="preserve">):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distance and Jaccard sign composition dissimilarity (R = 0.151, p = 0.071). This result concerns pairwise composition only. It does not remove the separate correlation between object count and sign-type richness per site. We test that richness confound directly at the object level (S1 §</w:t>
      </w:r>
      <w:r>
        <w:t xml:space="preserve">S1.12.3</w:t>
      </w:r>
      <w:r>
        <w:t xml:space="preserve">, §</w:t>
      </w:r>
      <w:r>
        <w:t xml:space="preserve">S1.12.4</w:t>
      </w:r>
      <w:r>
        <w:t xml:space="preserve"> </w:t>
      </w:r>
      <w:r>
        <w:t xml:space="preserve">and §</w:t>
      </w:r>
      <w:r>
        <w:t xml:space="preserve">S1.12.5</w:t>
      </w:r>
      <w:r>
        <w:t xml:space="preserve">). The Mantel result supports presence/absence coding without implying independence from sampling effort. Beyond presence/absence coding, we additionally tested the residual object-count confound directly at the object level via downsampling, coverage-based rarefaction, and a negative-binomial regression with log object count as a covariate (S1 §</w:t>
      </w:r>
      <w:r>
        <w:t xml:space="preserve">S1.12.3</w:t>
      </w:r>
      <w:r>
        <w:t xml:space="preserve">, §</w:t>
      </w:r>
      <w:r>
        <w:t xml:space="preserve">S1.12.4</w:t>
      </w:r>
      <w:r>
        <w:t xml:space="preserve"> </w:t>
      </w:r>
      <w:r>
        <w:t xml:space="preserve">and §</w:t>
      </w:r>
      <w:r>
        <w:t xml:space="preserve">S1.12.5</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This null result provides lack of evidence for isolation by distance in this sample. It does not show that isolation by distance fails to account for the patterns. It should be interpreted cautiously given the small sample sizes (S1 §</w:t>
      </w:r>
      <w:r>
        <w:t xml:space="preserve">S1.4.3</w:t>
      </w:r>
      <w:r>
        <w:t xml:space="preserve">). To test whether the non-significant Mantel result reflects a particular alternative process, we additionally fit a multiple regression on distance matrices with sign dissimilarity as the response and geographic, temporal, and object-count distances as predictors (S1 §</w:t>
      </w:r>
      <w:r>
        <w:t xml:space="preserve">S1.8.2</w:t>
      </w:r>
      <w:r>
        <w:t xml:space="preserve">). This reveals no candidate is significant, so the null Mantel does not identify any specific alternative process. A Mantel correlogram likewise did not detect spatial structure at any distance lag, and bootstrap confidence intervals on the Mantel R indicate the test is underpowered at these sample sizes, so the non-significant result is best read as a lack of evidence rather than evidence of absence (S1 §</w:t>
      </w:r>
      <w:r>
        <w:t xml:space="preserve">S1.4.3</w:t>
      </w:r>
      <w:r>
        <w:t xml:space="preserve">).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w:t>
      </w:r>
      <w:r>
        <w:t xml:space="preserve">S1.4.4</w:t>
      </w:r>
      <w:r>
        <w:t xml:space="preserve">). It detects a weak linear geographic trend in Aur-P1 (R² = 0.156, adjusted R² = 0.057, p = 0.038) but no signal in Aur-P2 (R² = 0.191, adjusted R² = -0.078, p = 0.85). The Aur-P1 trend explains only about six percent of the adjusted variation. We interpret this, at most, a faint geographic gradient,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c>
                <w:tcPr/>
                <w:p>
                  <w:pPr>
                    <w:pStyle w:val="Compact"/>
                    <w:jc w:val="left"/>
                    <w:jc w:val="center"/>
                  </w:pPr>
                  <w:r>
                    <w:t xml:space="preserve">Mantel 95% CI</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c>
                <w:tcPr/>
                <w:p>
                  <w:pPr>
                    <w:pStyle w:val="Compact"/>
                    <w:jc w:val="left"/>
                    <w:jc w:val="center"/>
                  </w:pPr>
                  <w:r>
                    <w:t xml:space="preserve">[-0.022, 0.086]</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c>
                <w:tcPr/>
                <w:p>
                  <w:pPr>
                    <w:pStyle w:val="Compact"/>
                    <w:jc w:val="left"/>
                    <w:jc w:val="center"/>
                  </w:pPr>
                  <w:r>
                    <w:t xml:space="preserve">[-0.355, -0.231]</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 at https://github.com/sophiecooper2/SignBase</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(S1 §</w:t>
      </w:r>
      <w:r>
        <w:t xml:space="preserve">S1.2</w:t>
      </w:r>
      <w:r>
        <w:t xml:space="preserve"> </w:t>
      </w:r>
      <w:r>
        <w:t xml:space="preserve">and §</w:t>
      </w:r>
      <w:r>
        <w:t xml:space="preserve">S1.3</w:t>
      </w:r>
      <w:r>
        <w:t xml:space="preserve">).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 §</w:t>
      </w:r>
      <w:r>
        <w:t xml:space="preserve">S1.10</w:t>
      </w:r>
      <w:r>
        <w:t xml:space="preserve"> </w:t>
      </w:r>
      <w:r>
        <w:t xml:space="preserve">and §</w:t>
      </w:r>
      <w:r>
        <w:t xml:space="preserve">S1.10.3</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 (S1 §</w:t>
      </w:r>
      <w:r>
        <w:t xml:space="preserve">S1.13</w:t>
      </w:r>
      <w:r>
        <w:t xml:space="preserve">).</w:t>
      </w:r>
    </w:p>
    <w:p>
      <w:pPr>
        <w:pStyle w:val="BodyText"/>
      </w:pPr>
      <w:r>
        <w:t xml:space="preserve">To quantitatively evaluate the two-group hypothesis inferred from the seriation analysis, we used bootstrap resampling and stochastic block models, which we describe in detail in S1 §</w:t>
      </w:r>
      <w:r>
        <w:t xml:space="preserve">S1.9.2</w:t>
      </w:r>
      <w:r>
        <w:t xml:space="preserve"> </w:t>
      </w:r>
      <w:r>
        <w:t xml:space="preserve">and §</w:t>
      </w:r>
      <w:r>
        <w:t xml:space="preserve">S1.9.3</w:t>
      </w:r>
      <w:r>
        <w:t xml:space="preserve">.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This pattern shows that the imposed restricted/broad labels remain stable under object-within-site resampling. It does not test whether two discrete groups exist beyond richness differences. The strength of this signal is much lower for Aur-P2, where the pattern is 0.49 within the restricted block and 0.92 within the broader block, against 0.4 across the blocks. We also reran the Brower–Kile seriation on 999 Curveball matrices, this preserves site richness and sign frequency while randomising associations (S1 §</w:t>
      </w:r>
      <w:r>
        <w:t xml:space="preserve">S1.9.5</w:t>
      </w:r>
      <w:r>
        <w:t xml:space="preserve">). Neither diagonal concentration nor path length exceeded the richness-preserving null in either phase, so the visually compelling diagonal pattern in both phases is not statistically distinguishable from what the fixed-fixed Curveball null generates. These results support interpreting the seriation patterns as a descriptive richness-related trend rather than evidence for a discrete group structure.</w:t>
      </w:r>
    </w:p>
    <w:p>
      <w:pPr>
        <w:pStyle w:val="BodyText"/>
      </w:pPr>
      <w:r>
        <w:t xml:space="preserve">The stochastic block model analysis, which tests whether the proposed groups emerge as latent blocks from the data without being supplied to the model in advance, shows that all three emission models select more than two blocks as optimal in Aur-P1: Bernoulli K = 3 (ICL = -110.1), Gaussian K = 4 (ICL = 73.5), Poisson K = 3 (ICL = -263.3). In each model the restricted/broad split is recovered as the two largest blocks; Bernoulli and Gaussian additionally isolate Labeko Koba, Les Cottés, and Trou al’Wesse as a small third block, while under Poisson the same two broad sites pair off and Grotte du Renne joins the large mixed block (S1 §</w:t>
      </w:r>
      <w:r>
        <w:t xml:space="preserve">S1.9.3</w:t>
      </w:r>
      <w:r>
        <w:t xml:space="preserve">). In Aur-P2 the Bernoulli and Poisson models select a single block and only the Gaussian model selects two blocks, by a marginal 0.9 ICL points. We additionally compared the SBM preference for multiple blocks with a fixed-fixed Curveball null, across 499 null replicates and six phase-by-emission-model tests, no observed ICL improvement over the one-block model remained significant after Benjamini–Hochberg correction (S1 §</w:t>
      </w:r>
      <w:r>
        <w:t xml:space="preserve">S1.9.4</w:t>
      </w:r>
      <w:r>
        <w:t xml:space="preserve">). We therefore consider the restricted/broad division as a dominant axis of sign type composition variation (rich vs. poor sign repertoires), rather than a well-defined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phase-label permutation, which shuffles site phase assignments while preserving phase sizes,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A separate assemblage-permutation modularity test (S1 §</w:t>
      </w:r>
      <w:r>
        <w:t xml:space="preserve">S1.7.2</w:t>
      </w:r>
      <w:r>
        <w:t xml:space="preserve">), which permutes site-level sign vectors among phases while preserving phase sizes, shows that Aur-P1’s observed modularity (0.336 at threshold 0.2) significantly exceeds that null expectation (p = 0.000), while Aur-P2’s observed modularity (0.161) does not (p = 0.078), consistent with Aur-P2’s small sample size. The Aur-P1–Aur-P2 contrast is therefore primarily one of network scale rather than a statistically distinguishable community structure. Object-within-site bootstrap stability bands likewise overlap between phases for both mean degree and modularity (S1 §</w:t>
      </w:r>
      <w:r>
        <w:t xml:space="preserve">S1.7.4</w:t>
      </w:r>
      <w:r>
        <w:t xml:space="preserve">),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 §</w:t>
      </w:r>
      <w:r>
        <w:t xml:space="preserve">S1.5.5</w:t>
      </w:r>
      <w:r>
        <w:t xml:space="preserve"> </w:t>
      </w:r>
      <w:r>
        <w:t xml:space="preserve">and §</w:t>
      </w:r>
      <w:r>
        <w:t xml:space="preserve">S1.12.7</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 §</w:t>
      </w:r>
      <w:r>
        <w:t xml:space="preserve">S1.7.6</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likely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appear more widely dispersed in the map. This appearance reflects the much smaller sample of this phase. It does not support a demographic expansion claim from these data. Partitions Around Medoids on geodesic distances between sites finds two groups as a parsimonious grouping for Aur-P1 only (S1 §</w:t>
      </w:r>
      <w:r>
        <w:t xml:space="preserve">S1.8.4</w:t>
      </w:r>
      <w:r>
        <w:t xml:space="preserve">). These two groups are roughly West versus Central Europe, separating the Dordogne bloc tradition from the Swabian ivory tradition, and likely reflective research effort history rather than past cultural groups with distinctive sign repertoires.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1900"/>
              <w:gridCol w:w="1372"/>
              <w:gridCol w:w="1267"/>
              <w:gridCol w:w="1267"/>
              <w:gridCol w:w="2112"/>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c>
                <w:tcPr/>
                <w:p>
                  <w:pPr>
                    <w:pStyle w:val="Compact"/>
                    <w:jc w:val="left"/>
                    <w:jc w:val="center"/>
                  </w:pPr>
                  <w:r>
                    <w:t xml:space="preserve">PerMANOVA R2 95% CI</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c>
                <w:tcPr/>
                <w:p>
                  <w:pPr>
                    <w:pStyle w:val="Compact"/>
                    <w:jc w:val="left"/>
                    <w:jc w:val="center"/>
                  </w:pPr>
                  <w:r>
                    <w:t xml:space="preserve">[0.145, 0.206]</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c>
                <w:tcPr/>
                <w:p>
                  <w:pPr>
                    <w:pStyle w:val="Compact"/>
                    <w:jc w:val="left"/>
                    <w:jc w:val="center"/>
                  </w:pPr>
                  <w:r>
                    <w:t xml:space="preserve">[0.132, 0.229]</w:t>
                  </w:r>
                </w:p>
              </w:tc>
            </w:tr>
          </w:tbl>
          <w:p>
            <w:pPr>
              <w:jc w:val="center"/>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However, this separation vanishes under Simpson turnover dissimilarity (which removes the nestedness/richness component), indicating the Jaccard signal comes from the nestedness component—rich versus poor repertoires—rather than by compositional turnover between the groups (S1 §</w:t>
      </w:r>
      <w:r>
        <w:t xml:space="preserve">S1.10.3</w:t>
      </w:r>
      <w:r>
        <w:t xml:space="preserve">). Beta dispersion analysis did not detect a significant difference in within-group dispersion in either phase; this does not establish equal dispersions, so the PerMANOVA results should be interpreted cautiously. Leave-one-out classification indicates that the labels vary smoothly across the Jaccard composition space rather than independently confirming a discrete partition (S1 §</w:t>
      </w:r>
      <w:r>
        <w:t xml:space="preserve">S1.10</w:t>
      </w:r>
      <w:r>
        <w:t xml:space="preserve">), and the fixed-fixed Curveball test does not show that the optimised split exceeds richness-preserving expectations (S1 §</w:t>
      </w:r>
      <w:r>
        <w:t xml:space="preserve">S1.10</w:t>
      </w:r>
      <w:r>
        <w:t xml:space="preserve">).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(S1 §</w:t>
      </w:r>
      <w:r>
        <w:t xml:space="preserve">S1.5.5</w:t>
      </w:r>
      <w:r>
        <w:t xml:space="preserve"> </w:t>
      </w:r>
      <w:r>
        <w:t xml:space="preserve">and §</w:t>
      </w:r>
      <w:r>
        <w:t xml:space="preserve">S1.12.7</w:t>
      </w:r>
      <w:r>
        <w:t xml:space="preserve">).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w:t>
      </w:r>
      <w:r>
        <w:t xml:space="preserve">S1.6.6</w:t>
      </w:r>
      <w:r>
        <w:t xml:space="preserve"> </w:t>
      </w:r>
      <w:r>
        <w:t xml:space="preserve">and §</w:t>
      </w:r>
      <w:r>
        <w:t xml:space="preserve">S1.6.7</w:t>
      </w:r>
      <w:r>
        <w:t xml:space="preserve">). Communities differ mainly in the frequency of the most widespread sign types, with no type exclusive to one community, which favours graded repertoires over discrete provinces (S1 §</w:t>
      </w:r>
      <w:r>
        <w:t xml:space="preserve">S1.11.3</w:t>
      </w:r>
      <w:r>
        <w:t xml:space="preserve">).</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w:t>
      </w:r>
      <w:r>
        <w:t xml:space="preserve">S1.7.6</w:t>
      </w:r>
      <w:r>
        <w:t xml:space="preserve">), indicating the Aur-P1–Aur-P2 contrast cannot distinguish a difference in network scale from a difference in connectedness or community structure at these sample sizes (S1 §</w:t>
      </w:r>
      <w:r>
        <w:rPr>
          <w:bCs/>
          <w:b/>
        </w:rPr>
        <w:t xml:space="preserve">?@sec-s-power</w:t>
      </w:r>
      <w:r>
        <w:t xml:space="preserv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(S1 §</w:t>
      </w:r>
      <w:r>
        <w:t xml:space="preserve">S1.10</w:t>
      </w:r>
      <w:r>
        <w:t xml:space="preserve"> </w:t>
      </w:r>
      <w:r>
        <w:t xml:space="preserve">and §</w:t>
      </w:r>
      <w:r>
        <w:t xml:space="preserve">S1.10.3</w:t>
      </w:r>
      <w:r>
        <w:t xml:space="preserve">).</w:t>
      </w:r>
    </w:p>
    <w:p>
      <w:pPr>
        <w:pStyle w:val="BodyText"/>
      </w:pPr>
      <w:r>
        <w:t xml:space="preserve">Sampling effort is a major qualification on interpreting our results: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w:t>
      </w:r>
      <w:r>
        <w:t xml:space="preserve">S1.12.3</w:t>
      </w:r>
      <w:r>
        <w:t xml:space="preserve">). Among the subset of sites that attain comparable coverage (S1 §</w:t>
      </w:r>
      <w:r>
        <w:t xml:space="preserve">S1.12.4</w:t>
      </w:r>
      <w:r>
        <w:t xml:space="preserve">), broad-range sites remain richer in the observed sample. A negative-binomial model with an estimated exponent estimates higher richness for broad-range sites at equal object count (rate ratio = 2.31, p = 0.003; S1 §</w:t>
      </w:r>
      <w:r>
        <w:t xml:space="preserve">S1.12.5</w:t>
      </w:r>
      <w:r>
        <w:t xml:space="preserve">). This estimate is imprecise because the sample is small and group membership is strongly collinear with object count. A negative-binomial model with a fixed exponent of 1 as an offset shows no effect (rate ratio = 0.72, p = 0.292; S1 §</w:t>
      </w:r>
      <w:r>
        <w:t xml:space="preserve">S1.12.5</w:t>
      </w:r>
      <w:r>
        <w:t xml:space="preserve">). The two fits describe sensitivity to the exponent assumption. They do not demonstrate independence from sampling effort. At the phase level, the Jaccard separation is not greater than expected under a fixed-margin null preserving site richness and sign-type frequencies, and no separation remains on Simpson turnover, which removes the nestedness component of Jaccard (S1 §</w:t>
      </w:r>
      <w:r>
        <w:t xml:space="preserve">S1.10.3</w:t>
      </w:r>
      <w:r>
        <w:t xml:space="preserve">).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(S1 §</w:t>
      </w:r>
      <w:r>
        <w:t xml:space="preserve">S1.13</w:t>
      </w:r>
      <w:r>
        <w:t xml:space="preserve"> </w:t>
      </w:r>
      <w:r>
        <w:t xml:space="preserve">and §</w:t>
      </w:r>
      <w:r>
        <w:t xml:space="preserve">S1.4.3</w:t>
      </w:r>
      <w:r>
        <w:t xml:space="preserve">), and bootstrap confidence intervals on the Mantel R show that a moderate geographic correlation could not be excluded at these sample sizes (S1 §</w:t>
      </w:r>
      <w:r>
        <w:t xml:space="preserve">S1.4.3</w:t>
      </w:r>
      <w:r>
        <w:t xml:space="preserve">).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pattern raises the hypothesis of a distinction between shorter-term information exchange (for example the highly interconnected sites in</w:t>
      </w:r>
      <w:r>
        <w:t xml:space="preserve"> </w:t>
      </w:r>
      <w:hyperlink w:anchor="fig-neighbor-net">
        <w:r>
          <w:rPr>
            <w:rStyle w:val="Hyperlink"/>
          </w:rPr>
          <w:t xml:space="preserve">Figure 3</w:t>
        </w:r>
      </w:hyperlink>
      <w:r>
        <w:t xml:space="preserve">) and longer-term residential movement for aggregation (for example the sites with higher than average diversity in</w:t>
      </w:r>
      <w:r>
        <w:t xml:space="preserve"> </w:t>
      </w:r>
      <w:hyperlink w:anchor="fig-div-plot">
        <w:r>
          <w:rPr>
            <w:rStyle w:val="Hyperlink"/>
          </w:rPr>
          <w:t xml:space="preserve">Figure 6</w:t>
        </w:r>
      </w:hyperlink>
      <w:r>
        <w:t xml:space="preserve">). Testing this hypothesis, sites whose diversity lies above the simulated mean showed a weak non-significant association with network degree after Benjamini-Hochberg correction (ρ = -0.35, p = 0.095). Because this association is not significant, it provides no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tracks position on the broad-to-restricted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 §</w:t>
      </w:r>
      <w:r>
        <w:t xml:space="preserve">S1.4.3</w:t>
      </w:r>
      <w:r>
        <w:t xml:space="preserve"> </w:t>
      </w:r>
      <w:r>
        <w:t xml:space="preserve">and §</w:t>
      </w:r>
      <w:r>
        <w:t xml:space="preserve">S1.13</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 (S1 §</w:t>
      </w:r>
      <w:r>
        <w:t xml:space="preserve">S1.4.3</w:t>
      </w:r>
      <w:r>
        <w:t xml:space="preserve">).</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As a speculative analogy, the Core/Extended framework would place highly connected Dordogne sites in Core Areas and lower-connectivity peripheral sites in periodically visited Extended Areas. The smaller Aur-P2 network would then correspond to more localised interaction under consolidation. These analogies are not tested by our analyses, which detected no significant size-adjusted network differences and no significant geographic signal.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(S1 §</w:t>
      </w:r>
      <w:r>
        <w:t xml:space="preserve">S1.12.6</w:t>
      </w:r>
      <w:r>
        <w:t xml:space="preserve">).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We therefore did not detect sign sharing driven primarily by expansion into new, spatially structured niches in this sample.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the apparent wider spatial spread of the small Aur-P2 sample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w:t>
      </w:r>
      <w:r>
        <w:t xml:space="preserve">S1.8.4</w:t>
      </w:r>
      <w:r>
        <w:t xml:space="preserve">).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 §</w:t>
      </w:r>
      <w:r>
        <w:t xml:space="preserve">S1.4.3</w:t>
      </w:r>
      <w:r>
        <w:t xml:space="preserve">).</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w:t>
      </w:r>
      <w:r>
        <w:t xml:space="preserve">S1.12.6</w:t>
      </w:r>
      <w:r>
        <w:t xml:space="preserve">).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However the low power of our analysis (S1 §S1.13) means this remains a hypothesis.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have protocuneiform-like information density, suggesting notational function, or</w:t>
      </w:r>
      <w:r>
        <w:t xml:space="preserve"> </w:t>
      </w:r>
      <w:r>
        <w:t xml:space="preserve">[107]</w:t>
      </w:r>
      <w:r>
        <w:t xml:space="preserve">’s claim that some signs record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visible in seriation and bootstrap co-clustering, and stochastic block models recover it as the two largest blocks in Aur-P1. The split does not exceed fixed-fixed Curveball expectations in either phase, and the Jaccard separation disappears under Simpson turnover which removes the nestedness component (S1 §</w:t>
      </w:r>
      <w:r>
        <w:t xml:space="preserve">S1.9.5</w:t>
      </w:r>
      <w:r>
        <w:t xml:space="preserve"> </w:t>
      </w:r>
      <w:r>
        <w:t xml:space="preserve">and §</w:t>
      </w:r>
      <w:r>
        <w:t xml:space="preserve">S1.10.3</w:t>
      </w:r>
      <w:r>
        <w:t xml:space="preserve">). The division is therefore a descriptive richness gradient whose independence from object count is not demonstrated for sites with small numbers of signs.</w:t>
      </w:r>
    </w:p>
    <w:p>
      <w:pPr>
        <w:pStyle w:val="BodyText"/>
      </w:pPr>
      <w:r>
        <w:t xml:space="preserve">No significant isolation-by-distance signal is detected in either phase (Mantel R = 0.046, p = 0.301; R = -0.299, p = 0.933). However, bootstrap confidence intervals (S1 §</w:t>
      </w:r>
      <w:r>
        <w:t xml:space="preserve">S1.4.3</w:t>
      </w:r>
      <w:r>
        <w:t xml:space="preserve">) show the tests are underpowered, so these are null results reflecting limited power, not evidence of geographic irrelevance.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functions (notation, calendrical recording, information storage) remains speculative</w:t>
      </w:r>
      <w:r>
        <w:t xml:space="preserve"> </w:t>
      </w:r>
      <w:r>
        <w:t xml:space="preserve">[106–111]</w:t>
      </w:r>
      <w:r>
        <w:t xml:space="preserve">.</w:t>
      </w:r>
    </w:p>
    <w:p>
      <w:pPr>
        <w:pStyle w:val="BodyText"/>
      </w:pPr>
      <w:r>
        <w:t xml:space="preserve">Our study has three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Date parsing itself removes assemblages whose reported dates lack uncertainties, including a large assemblage that would otherwise fall late, so the small Aur-P2 sample partly reflects dating-quality filtering rather than only archaeology (S1 §</w:t>
      </w:r>
      <w:r>
        <w:t xml:space="preserve">S1.1</w:t>
      </w:r>
      <w:r>
        <w:t xml:space="preserve">). Alternative calibrations move a few boundary sites between phases without changing the phase ordering (S1 §</w:t>
      </w:r>
      <w:r>
        <w:t xml:space="preserve">S1.5.3</w:t>
      </w:r>
      <w:r>
        <w:t xml:space="preserve">).</w:t>
      </w:r>
    </w:p>
    <w:bookmarkEnd w:id="61"/>
    <w:bookmarkStart w:id="307" w:name="references"/>
    <w:p>
      <w:pPr>
        <w:pStyle w:val="Heading1"/>
      </w:pPr>
      <w:r>
        <w:t xml:space="preserve">References</w:t>
      </w:r>
    </w:p>
    <w:bookmarkStart w:id="306"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w:t>
      </w:r>
      <w:r>
        <w:t xml:space="preserve"> </w:t>
      </w:r>
      <w:hyperlink r:id="rId112">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https://doi.org/10.1890/0012-9615(1999)069[0001:DBRATM]2.0.CO;2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w:t>
      </w:r>
      <w:r>
        <w:t xml:space="preserve"> </w:t>
      </w:r>
      <w:hyperlink r:id="rId134">
        <w:r>
          <w:rPr>
            <w:rStyle w:val="Hyperlink"/>
          </w:rPr>
          <w:t xml:space="preserve">Statnet: Software tools for the statistical analysis of network data</w:t>
        </w:r>
      </w:hyperlink>
      <w:r>
        <w:t xml:space="preserve"> </w:t>
      </w:r>
      <w:r>
        <w:t xml:space="preserve">2019.</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8"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88"/>
    <w:bookmarkStart w:id="190"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89">
        <w:r>
          <w:rPr>
            <w:rStyle w:val="Hyperlink"/>
          </w:rPr>
          <w:t xml:space="preserve">https://doi.org/10.2307/j.ctvdmwwz4.7</w:t>
        </w:r>
      </w:hyperlink>
      <w:r>
        <w:t xml:space="preserve">.</w:t>
      </w:r>
    </w:p>
    <w:bookmarkEnd w:id="190"/>
    <w:bookmarkStart w:id="192"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1">
        <w:r>
          <w:rPr>
            <w:rStyle w:val="Hyperlink"/>
          </w:rPr>
          <w:t xml:space="preserve">https://doi.org/10.2307/j.ctvdmwwz4.10</w:t>
        </w:r>
      </w:hyperlink>
      <w:r>
        <w:t xml:space="preserve">.</w:t>
      </w:r>
    </w:p>
    <w:bookmarkEnd w:id="192"/>
    <w:bookmarkStart w:id="194"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3">
        <w:r>
          <w:rPr>
            <w:rStyle w:val="Hyperlink"/>
          </w:rPr>
          <w:t xml:space="preserve">https://doi.org/10.1098/rstb.2020.0318</w:t>
        </w:r>
      </w:hyperlink>
      <w:r>
        <w:t xml:space="preserve">.</w:t>
      </w:r>
    </w:p>
    <w:bookmarkEnd w:id="194"/>
    <w:bookmarkStart w:id="196"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5">
        <w:r>
          <w:rPr>
            <w:rStyle w:val="Hyperlink"/>
          </w:rPr>
          <w:t xml:space="preserve">https://doi.org/10.1111/tops.12762</w:t>
        </w:r>
      </w:hyperlink>
      <w:r>
        <w:t xml:space="preserve">.</w:t>
      </w:r>
    </w:p>
    <w:bookmarkEnd w:id="196"/>
    <w:bookmarkStart w:id="198"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7">
        <w:r>
          <w:rPr>
            <w:rStyle w:val="Hyperlink"/>
          </w:rPr>
          <w:t xml:space="preserve">https://doi.org/10.3213/2191-5784-10243</w:t>
        </w:r>
      </w:hyperlink>
      <w:r>
        <w:t xml:space="preserve">.</w:t>
      </w:r>
    </w:p>
    <w:bookmarkEnd w:id="198"/>
    <w:bookmarkStart w:id="200" w:name="ref-Newlander_2012"/>
    <w:p>
      <w:pPr>
        <w:pStyle w:val="Bibliography"/>
      </w:pPr>
      <w:r>
        <w:t xml:space="preserve">[73]</w:t>
      </w:r>
      <w:r>
        <w:t xml:space="preserve"> </w:t>
      </w:r>
      <w:r>
        <w:t xml:space="preserve">	</w:t>
      </w:r>
      <w:r>
        <w:t xml:space="preserve">Newlander KS.</w:t>
      </w:r>
      <w:r>
        <w:t xml:space="preserve"> </w:t>
      </w:r>
      <w:hyperlink r:id="rId199">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0"/>
    <w:bookmarkStart w:id="202"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1">
        <w:r>
          <w:rPr>
            <w:rStyle w:val="Hyperlink"/>
          </w:rPr>
          <w:t xml:space="preserve">https://doi.org/10.1371/journal.pone.0265329</w:t>
        </w:r>
      </w:hyperlink>
      <w:r>
        <w:t xml:space="preserve">.</w:t>
      </w:r>
    </w:p>
    <w:bookmarkEnd w:id="202"/>
    <w:bookmarkStart w:id="204"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3">
        <w:r>
          <w:rPr>
            <w:rStyle w:val="Hyperlink"/>
          </w:rPr>
          <w:t xml:space="preserve">https://doi.org/10.1086/202540</w:t>
        </w:r>
      </w:hyperlink>
      <w:r>
        <w:t xml:space="preserve">.</w:t>
      </w:r>
    </w:p>
    <w:bookmarkEnd w:id="204"/>
    <w:bookmarkStart w:id="206"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5">
        <w:r>
          <w:rPr>
            <w:rStyle w:val="Hyperlink"/>
          </w:rPr>
          <w:t xml:space="preserve">https://doi.org/10.1086/701523</w:t>
        </w:r>
      </w:hyperlink>
      <w:r>
        <w:t xml:space="preserve">.</w:t>
      </w:r>
    </w:p>
    <w:bookmarkEnd w:id="206"/>
    <w:bookmarkStart w:id="208"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7">
        <w:r>
          <w:rPr>
            <w:rStyle w:val="Hyperlink"/>
          </w:rPr>
          <w:t xml:space="preserve">https://doi.org/10.1111/j.1468-0092.1982.tb00313.x</w:t>
        </w:r>
      </w:hyperlink>
      <w:r>
        <w:t xml:space="preserve">.</w:t>
      </w:r>
    </w:p>
    <w:bookmarkEnd w:id="208"/>
    <w:bookmarkStart w:id="210"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9">
        <w:r>
          <w:rPr>
            <w:rStyle w:val="Hyperlink"/>
          </w:rPr>
          <w:t xml:space="preserve">https://doi.org/10.1016/j.jaa.2013.05.005</w:t>
        </w:r>
      </w:hyperlink>
      <w:r>
        <w:t xml:space="preserve">.</w:t>
      </w:r>
    </w:p>
    <w:bookmarkEnd w:id="210"/>
    <w:bookmarkStart w:id="212"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1">
        <w:r>
          <w:rPr>
            <w:rStyle w:val="Hyperlink"/>
          </w:rPr>
          <w:t xml:space="preserve">https://doi.org/10.4000/palethnologie.4945</w:t>
        </w:r>
      </w:hyperlink>
      <w:r>
        <w:t xml:space="preserve">.</w:t>
      </w:r>
    </w:p>
    <w:bookmarkEnd w:id="212"/>
    <w:bookmarkStart w:id="214"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3">
        <w:r>
          <w:rPr>
            <w:rStyle w:val="Hyperlink"/>
          </w:rPr>
          <w:t xml:space="preserve">https://doi.org/10.1086/202802</w:t>
        </w:r>
      </w:hyperlink>
      <w:r>
        <w:t xml:space="preserve">.</w:t>
      </w:r>
    </w:p>
    <w:bookmarkEnd w:id="214"/>
    <w:bookmarkStart w:id="215"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5"/>
    <w:bookmarkStart w:id="217"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6">
        <w:r>
          <w:rPr>
            <w:rStyle w:val="Hyperlink"/>
          </w:rPr>
          <w:t xml:space="preserve">https://doi.org/10.1146/annurev.an.23.100194.002411</w:t>
        </w:r>
      </w:hyperlink>
      <w:r>
        <w:t xml:space="preserve">.</w:t>
      </w:r>
    </w:p>
    <w:bookmarkEnd w:id="217"/>
    <w:bookmarkStart w:id="219"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8">
        <w:r>
          <w:rPr>
            <w:rStyle w:val="Hyperlink"/>
          </w:rPr>
          <w:t xml:space="preserve">https://doi.org/10.5281/zenodo.15397990</w:t>
        </w:r>
      </w:hyperlink>
      <w:r>
        <w:t xml:space="preserve">.</w:t>
      </w:r>
    </w:p>
    <w:bookmarkEnd w:id="219"/>
    <w:bookmarkStart w:id="221"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0">
        <w:r>
          <w:rPr>
            <w:rStyle w:val="Hyperlink"/>
          </w:rPr>
          <w:t xml:space="preserve">https://doi.org/10.2307/280511</w:t>
        </w:r>
      </w:hyperlink>
      <w:r>
        <w:t xml:space="preserve">.</w:t>
      </w:r>
    </w:p>
    <w:bookmarkEnd w:id="221"/>
    <w:bookmarkStart w:id="223"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2">
        <w:r>
          <w:rPr>
            <w:rStyle w:val="Hyperlink"/>
          </w:rPr>
          <w:t xml:space="preserve">https://doi.org/10.1038/s41467-024-51349-y</w:t>
        </w:r>
      </w:hyperlink>
      <w:r>
        <w:t xml:space="preserve">.</w:t>
      </w:r>
    </w:p>
    <w:bookmarkEnd w:id="223"/>
    <w:bookmarkStart w:id="225"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24">
        <w:r>
          <w:rPr>
            <w:rStyle w:val="Hyperlink"/>
          </w:rPr>
          <w:t xml:space="preserve">https://doi.org/10.1080/03122417.1992.11681454</w:t>
        </w:r>
      </w:hyperlink>
      <w:r>
        <w:t xml:space="preserve">.</w:t>
      </w:r>
    </w:p>
    <w:bookmarkEnd w:id="225"/>
    <w:bookmarkStart w:id="226"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6"/>
    <w:bookmarkStart w:id="228"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7">
        <w:r>
          <w:rPr>
            <w:rStyle w:val="Hyperlink"/>
          </w:rPr>
          <w:t xml:space="preserve">https://doi.org/10.1002/9780470773475.ch5</w:t>
        </w:r>
      </w:hyperlink>
      <w:r>
        <w:t xml:space="preserve">.</w:t>
      </w:r>
    </w:p>
    <w:bookmarkEnd w:id="228"/>
    <w:bookmarkStart w:id="230"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29">
        <w:r>
          <w:rPr>
            <w:rStyle w:val="Hyperlink"/>
          </w:rPr>
          <w:t xml:space="preserve">https://doi.org/10.1016/B978-0-12-564750-2.50020-2</w:t>
        </w:r>
      </w:hyperlink>
      <w:r>
        <w:t xml:space="preserve">.</w:t>
      </w:r>
    </w:p>
    <w:bookmarkEnd w:id="230"/>
    <w:bookmarkStart w:id="232"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1">
        <w:r>
          <w:rPr>
            <w:rStyle w:val="Hyperlink"/>
          </w:rPr>
          <w:t xml:space="preserve">https://doi.org/10.1080/00438243.1994.9980272</w:t>
        </w:r>
      </w:hyperlink>
      <w:r>
        <w:t xml:space="preserve">.</w:t>
      </w:r>
    </w:p>
    <w:bookmarkEnd w:id="232"/>
    <w:bookmarkStart w:id="234"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3">
        <w:r>
          <w:rPr>
            <w:rStyle w:val="Hyperlink"/>
          </w:rPr>
          <w:t xml:space="preserve">https://doi.org/10.1002/9781118253892.ch6</w:t>
        </w:r>
      </w:hyperlink>
      <w:r>
        <w:t xml:space="preserve">.</w:t>
      </w:r>
    </w:p>
    <w:bookmarkEnd w:id="234"/>
    <w:bookmarkStart w:id="236"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5">
        <w:r>
          <w:rPr>
            <w:rStyle w:val="Hyperlink"/>
          </w:rPr>
          <w:t xml:space="preserve">https://doi.org/10.2307/40035267</w:t>
        </w:r>
      </w:hyperlink>
      <w:r>
        <w:t xml:space="preserve">.</w:t>
      </w:r>
    </w:p>
    <w:bookmarkEnd w:id="236"/>
    <w:bookmarkStart w:id="238"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7">
        <w:r>
          <w:rPr>
            <w:rStyle w:val="Hyperlink"/>
          </w:rPr>
          <w:t xml:space="preserve">https://doi.org/10.1016/0278-4165(84)90002-3</w:t>
        </w:r>
      </w:hyperlink>
      <w:r>
        <w:t xml:space="preserve">.</w:t>
      </w:r>
    </w:p>
    <w:bookmarkEnd w:id="238"/>
    <w:bookmarkStart w:id="240"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39">
        <w:r>
          <w:rPr>
            <w:rStyle w:val="Hyperlink"/>
          </w:rPr>
          <w:t xml:space="preserve">https://doi.org/10.1080/03122417.1992.11681450</w:t>
        </w:r>
      </w:hyperlink>
      <w:r>
        <w:t xml:space="preserve">.</w:t>
      </w:r>
    </w:p>
    <w:bookmarkEnd w:id="240"/>
    <w:bookmarkStart w:id="242"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1">
        <w:r>
          <w:rPr>
            <w:rStyle w:val="Hyperlink"/>
          </w:rPr>
          <w:t xml:space="preserve">https://doi.org/10.1007/978-4-431-55363-2_8</w:t>
        </w:r>
      </w:hyperlink>
      <w:r>
        <w:t xml:space="preserve">.</w:t>
      </w:r>
    </w:p>
    <w:bookmarkEnd w:id="242"/>
    <w:bookmarkStart w:id="243"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3"/>
    <w:bookmarkStart w:id="244"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4"/>
    <w:bookmarkStart w:id="245"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5"/>
    <w:bookmarkStart w:id="247"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6">
        <w:r>
          <w:rPr>
            <w:rStyle w:val="Hyperlink"/>
          </w:rPr>
          <w:t xml:space="preserve">https://doi.org/10.2307/4128416</w:t>
        </w:r>
      </w:hyperlink>
      <w:r>
        <w:t xml:space="preserve">.</w:t>
      </w:r>
    </w:p>
    <w:bookmarkEnd w:id="247"/>
    <w:bookmarkStart w:id="249"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8">
        <w:r>
          <w:rPr>
            <w:rStyle w:val="Hyperlink"/>
          </w:rPr>
          <w:t xml:space="preserve">https://doi.org/10.1126/sciadv.aax5913</w:t>
        </w:r>
      </w:hyperlink>
      <w:r>
        <w:t xml:space="preserve">.</w:t>
      </w:r>
    </w:p>
    <w:bookmarkEnd w:id="249"/>
    <w:bookmarkStart w:id="251"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0">
        <w:r>
          <w:rPr>
            <w:rStyle w:val="Hyperlink"/>
          </w:rPr>
          <w:t xml:space="preserve">https://doi.org/10.1111/brv.12599</w:t>
        </w:r>
      </w:hyperlink>
      <w:r>
        <w:t xml:space="preserve">.</w:t>
      </w:r>
    </w:p>
    <w:bookmarkEnd w:id="251"/>
    <w:bookmarkStart w:id="253"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2">
        <w:r>
          <w:rPr>
            <w:rStyle w:val="Hyperlink"/>
          </w:rPr>
          <w:t xml:space="preserve">https://doi.org/10.1093/oxfordhb/9780198854265.013.34</w:t>
        </w:r>
      </w:hyperlink>
      <w:r>
        <w:t xml:space="preserve">.</w:t>
      </w:r>
    </w:p>
    <w:bookmarkEnd w:id="253"/>
    <w:bookmarkStart w:id="255"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w:t>
      </w:r>
      <w:r>
        <w:t xml:space="preserve"> </w:t>
      </w:r>
      <w:hyperlink r:id="rId254">
        <w:r>
          <w:rPr>
            <w:rStyle w:val="Hyperlink"/>
          </w:rPr>
          <w:t xml:space="preserve">https://doi.org/10.1007/s12520-022-01641-z</w:t>
        </w:r>
      </w:hyperlink>
      <w:r>
        <w:t xml:space="preserve">.</w:t>
      </w:r>
    </w:p>
    <w:bookmarkEnd w:id="255"/>
    <w:bookmarkStart w:id="257"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6">
        <w:r>
          <w:rPr>
            <w:rStyle w:val="Hyperlink"/>
          </w:rPr>
          <w:t xml:space="preserve">https://doi.org/10.1016/j.jaa.2005.08.001</w:t>
        </w:r>
      </w:hyperlink>
      <w:r>
        <w:t xml:space="preserve">.</w:t>
      </w:r>
    </w:p>
    <w:bookmarkEnd w:id="257"/>
    <w:bookmarkStart w:id="259"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58">
        <w:r>
          <w:rPr>
            <w:rStyle w:val="Hyperlink"/>
          </w:rPr>
          <w:t xml:space="preserve">https://doi.org/10.1007/s10816-026-09796-y</w:t>
        </w:r>
      </w:hyperlink>
      <w:r>
        <w:t xml:space="preserve">.</w:t>
      </w:r>
    </w:p>
    <w:bookmarkEnd w:id="259"/>
    <w:bookmarkStart w:id="261"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0">
        <w:r>
          <w:rPr>
            <w:rStyle w:val="Hyperlink"/>
          </w:rPr>
          <w:t xml:space="preserve">https://doi.org/10.1073/pnas.2520385123</w:t>
        </w:r>
      </w:hyperlink>
      <w:r>
        <w:t xml:space="preserve">.</w:t>
      </w:r>
    </w:p>
    <w:bookmarkEnd w:id="261"/>
    <w:bookmarkStart w:id="263"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2">
        <w:r>
          <w:rPr>
            <w:rStyle w:val="Hyperlink"/>
          </w:rPr>
          <w:t xml:space="preserve">https://doi.org/10.1017/S0959774322000415</w:t>
        </w:r>
      </w:hyperlink>
      <w:r>
        <w:t xml:space="preserve">.</w:t>
      </w:r>
    </w:p>
    <w:bookmarkEnd w:id="263"/>
    <w:bookmarkStart w:id="265"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4">
        <w:r>
          <w:rPr>
            <w:rStyle w:val="Hyperlink"/>
          </w:rPr>
          <w:t xml:space="preserve">https://doi.org/10.2139/ssrn.7053279</w:t>
        </w:r>
      </w:hyperlink>
      <w:r>
        <w:t xml:space="preserve">.</w:t>
      </w:r>
    </w:p>
    <w:bookmarkEnd w:id="265"/>
    <w:bookmarkStart w:id="267"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6">
        <w:r>
          <w:rPr>
            <w:rStyle w:val="Hyperlink"/>
          </w:rPr>
          <w:t xml:space="preserve">https://doi.org/10.1007/s41982-023-00158-8</w:t>
        </w:r>
      </w:hyperlink>
      <w:r>
        <w:t xml:space="preserve">.</w:t>
      </w:r>
    </w:p>
    <w:bookmarkEnd w:id="267"/>
    <w:bookmarkStart w:id="269"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8">
        <w:r>
          <w:rPr>
            <w:rStyle w:val="Hyperlink"/>
          </w:rPr>
          <w:t xml:space="preserve">https://doi.org/10.1080/1751696X.2024.2441115</w:t>
        </w:r>
      </w:hyperlink>
      <w:r>
        <w:t xml:space="preserve">.</w:t>
      </w:r>
    </w:p>
    <w:bookmarkEnd w:id="269"/>
    <w:bookmarkStart w:id="271"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0">
        <w:r>
          <w:rPr>
            <w:rStyle w:val="Hyperlink"/>
          </w:rPr>
          <w:t xml:space="preserve">https://doi.org/10.1017/S0959774324000155</w:t>
        </w:r>
      </w:hyperlink>
      <w:r>
        <w:t xml:space="preserve">.</w:t>
      </w:r>
    </w:p>
    <w:bookmarkEnd w:id="271"/>
    <w:bookmarkStart w:id="273"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2">
        <w:r>
          <w:rPr>
            <w:rStyle w:val="Hyperlink"/>
          </w:rPr>
          <w:t xml:space="preserve">https://doi.org/10.1007/978-981-13-8980-1_12</w:t>
        </w:r>
      </w:hyperlink>
      <w:r>
        <w:t xml:space="preserve">.</w:t>
      </w:r>
    </w:p>
    <w:bookmarkEnd w:id="273"/>
    <w:bookmarkStart w:id="274"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4"/>
    <w:bookmarkStart w:id="276"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5">
        <w:r>
          <w:rPr>
            <w:rStyle w:val="Hyperlink"/>
          </w:rPr>
          <w:t xml:space="preserve">https://doi.org/10.1016/j.jasrep.2021.103118</w:t>
        </w:r>
      </w:hyperlink>
      <w:r>
        <w:t xml:space="preserve">.</w:t>
      </w:r>
    </w:p>
    <w:bookmarkEnd w:id="276"/>
    <w:bookmarkStart w:id="278"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7">
        <w:r>
          <w:rPr>
            <w:rStyle w:val="Hyperlink"/>
          </w:rPr>
          <w:t xml:space="preserve">https://doi.org/10.2307/2802103</w:t>
        </w:r>
      </w:hyperlink>
      <w:r>
        <w:t xml:space="preserve">.</w:t>
      </w:r>
    </w:p>
    <w:bookmarkEnd w:id="278"/>
    <w:bookmarkStart w:id="280"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9">
        <w:r>
          <w:rPr>
            <w:rStyle w:val="Hyperlink"/>
          </w:rPr>
          <w:t xml:space="preserve">https://doi.org/10.1016/j.quascirev.2018.12.011</w:t>
        </w:r>
      </w:hyperlink>
      <w:r>
        <w:t xml:space="preserve">.</w:t>
      </w:r>
    </w:p>
    <w:bookmarkEnd w:id="280"/>
    <w:bookmarkStart w:id="282"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1">
        <w:r>
          <w:rPr>
            <w:rStyle w:val="Hyperlink"/>
          </w:rPr>
          <w:t xml:space="preserve">https://doi.org/10.1098/rsif.2017.0171</w:t>
        </w:r>
      </w:hyperlink>
      <w:r>
        <w:t xml:space="preserve">.</w:t>
      </w:r>
    </w:p>
    <w:bookmarkEnd w:id="282"/>
    <w:bookmarkStart w:id="284"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3">
        <w:r>
          <w:rPr>
            <w:rStyle w:val="Hyperlink"/>
          </w:rPr>
          <w:t xml:space="preserve">https://doi.org/10.1007/978-1-4757-9945-3_4</w:t>
        </w:r>
      </w:hyperlink>
      <w:r>
        <w:t xml:space="preserve">.</w:t>
      </w:r>
    </w:p>
    <w:bookmarkEnd w:id="284"/>
    <w:bookmarkStart w:id="286"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5">
        <w:r>
          <w:rPr>
            <w:rStyle w:val="Hyperlink"/>
          </w:rPr>
          <w:t xml:space="preserve">https://doi.org/10.1371/journal.pone.0102806</w:t>
        </w:r>
      </w:hyperlink>
      <w:r>
        <w:t xml:space="preserve">.</w:t>
      </w:r>
    </w:p>
    <w:bookmarkEnd w:id="286"/>
    <w:bookmarkStart w:id="288"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7">
        <w:r>
          <w:rPr>
            <w:rStyle w:val="Hyperlink"/>
          </w:rPr>
          <w:t xml:space="preserve">https://doi.org/10.1073/pnas.1518798113</w:t>
        </w:r>
      </w:hyperlink>
      <w:r>
        <w:t xml:space="preserve">.</w:t>
      </w:r>
    </w:p>
    <w:bookmarkEnd w:id="288"/>
    <w:bookmarkStart w:id="289"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89"/>
    <w:bookmarkStart w:id="291"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0">
        <w:r>
          <w:rPr>
            <w:rStyle w:val="Hyperlink"/>
          </w:rPr>
          <w:t xml:space="preserve">https://doi.org/10.3828/hgr.2023.12</w:t>
        </w:r>
      </w:hyperlink>
      <w:r>
        <w:t xml:space="preserve">.</w:t>
      </w:r>
    </w:p>
    <w:bookmarkEnd w:id="291"/>
    <w:bookmarkStart w:id="293"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2">
        <w:r>
          <w:rPr>
            <w:rStyle w:val="Hyperlink"/>
          </w:rPr>
          <w:t xml:space="preserve">https://doi.org/10.1093/oxfordhb/9780198854265.013.31</w:t>
        </w:r>
      </w:hyperlink>
      <w:r>
        <w:t xml:space="preserve">.</w:t>
      </w:r>
    </w:p>
    <w:bookmarkEnd w:id="293"/>
    <w:bookmarkStart w:id="295"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4">
        <w:r>
          <w:rPr>
            <w:rStyle w:val="Hyperlink"/>
          </w:rPr>
          <w:t xml:space="preserve">https://doi.org/10.1007/s10816-023-09608-7</w:t>
        </w:r>
      </w:hyperlink>
      <w:r>
        <w:t xml:space="preserve">.</w:t>
      </w:r>
    </w:p>
    <w:bookmarkEnd w:id="295"/>
    <w:bookmarkStart w:id="297"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6">
        <w:r>
          <w:rPr>
            <w:rStyle w:val="Hyperlink"/>
          </w:rPr>
          <w:t xml:space="preserve">https://doi.org/10.30861/9781841718309</w:t>
        </w:r>
      </w:hyperlink>
      <w:r>
        <w:t xml:space="preserve">.</w:t>
      </w:r>
    </w:p>
    <w:bookmarkEnd w:id="297"/>
    <w:bookmarkStart w:id="299"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8">
        <w:r>
          <w:rPr>
            <w:rStyle w:val="Hyperlink"/>
          </w:rPr>
          <w:t xml:space="preserve">https://doi.org/10.1016/j.jhevol.2011.06.005</w:t>
        </w:r>
      </w:hyperlink>
      <w:r>
        <w:t xml:space="preserve">.</w:t>
      </w:r>
    </w:p>
    <w:bookmarkEnd w:id="299"/>
    <w:bookmarkStart w:id="301"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0">
        <w:r>
          <w:rPr>
            <w:rStyle w:val="Hyperlink"/>
          </w:rPr>
          <w:t xml:space="preserve">https://doi.org/10.1002/jqs.3236</w:t>
        </w:r>
      </w:hyperlink>
      <w:r>
        <w:t xml:space="preserve">.</w:t>
      </w:r>
    </w:p>
    <w:bookmarkEnd w:id="301"/>
    <w:bookmarkStart w:id="303"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2">
        <w:r>
          <w:rPr>
            <w:rStyle w:val="Hyperlink"/>
          </w:rPr>
          <w:t xml:space="preserve">https://doi.org/10.1038/nature03585</w:t>
        </w:r>
      </w:hyperlink>
      <w:r>
        <w:t xml:space="preserve">.</w:t>
      </w:r>
    </w:p>
    <w:bookmarkEnd w:id="303"/>
    <w:bookmarkStart w:id="305"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4">
        <w:r>
          <w:rPr>
            <w:rStyle w:val="Hyperlink"/>
          </w:rPr>
          <w:t xml:space="preserve">https://doi.org/10.1007/s41982-025-00246-x</w:t>
        </w:r>
      </w:hyperlink>
      <w:r>
        <w:t xml:space="preserve">.</w:t>
      </w:r>
    </w:p>
    <w:bookmarkEnd w:id="305"/>
    <w:bookmarkEnd w:id="306"/>
    <w:bookmarkEnd w:id="307"/>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ATM]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ATM]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2026-10-03T19:17:22Z</dcterms:created>
  <dcterms:modified xsi:type="dcterms:W3CDTF">2026-10-03T19:17:22Z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October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